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FE" w:rsidRDefault="000B7FFE" w:rsidP="000B7FFE">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p>
    <w:p w:rsidR="000B7FFE" w:rsidRPr="00EF71C7" w:rsidRDefault="000B7FFE" w:rsidP="000B7FFE">
      <w:pPr>
        <w:spacing w:line="600" w:lineRule="exact"/>
        <w:jc w:val="center"/>
        <w:rPr>
          <w:rFonts w:ascii="黑体" w:eastAsia="黑体" w:hAnsi="黑体"/>
          <w:sz w:val="44"/>
          <w:szCs w:val="44"/>
        </w:rPr>
      </w:pPr>
      <w:r w:rsidRPr="00EF71C7">
        <w:rPr>
          <w:rFonts w:ascii="黑体" w:eastAsia="黑体" w:hAnsi="黑体" w:hint="eastAsia"/>
          <w:sz w:val="44"/>
          <w:szCs w:val="44"/>
        </w:rPr>
        <w:t>中南六省（区）2016律师论坛</w:t>
      </w:r>
    </w:p>
    <w:p w:rsidR="000B7FFE" w:rsidRPr="00EF71C7" w:rsidRDefault="000B7FFE" w:rsidP="000B7FFE">
      <w:pPr>
        <w:spacing w:line="600" w:lineRule="exact"/>
        <w:jc w:val="center"/>
        <w:rPr>
          <w:rFonts w:ascii="黑体" w:eastAsia="黑体" w:hAnsi="黑体"/>
          <w:sz w:val="44"/>
          <w:szCs w:val="44"/>
        </w:rPr>
      </w:pPr>
      <w:r w:rsidRPr="00EF71C7">
        <w:rPr>
          <w:rFonts w:ascii="黑体" w:eastAsia="黑体" w:hAnsi="黑体" w:hint="eastAsia"/>
          <w:sz w:val="44"/>
          <w:szCs w:val="44"/>
        </w:rPr>
        <w:t>论文参考题目</w:t>
      </w:r>
    </w:p>
    <w:p w:rsidR="000B7FFE" w:rsidRDefault="000B7FFE" w:rsidP="000B7FFE">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Pr="00096C9E">
        <w:rPr>
          <w:rFonts w:ascii="黑体" w:eastAsia="黑体" w:hAnsi="黑体" w:hint="eastAsia"/>
          <w:sz w:val="32"/>
          <w:szCs w:val="32"/>
        </w:rPr>
        <w:t>“一带一路”和自贸区建设与律师服务</w:t>
      </w:r>
    </w:p>
    <w:p w:rsidR="000B7FFE" w:rsidRPr="00453842"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Pr="00453842">
        <w:rPr>
          <w:rFonts w:ascii="仿宋_GB2312" w:eastAsia="仿宋_GB2312" w:hint="eastAsia"/>
          <w:sz w:val="32"/>
          <w:szCs w:val="32"/>
        </w:rPr>
        <w:t>“一带一路”战略、自贸区建设</w:t>
      </w:r>
      <w:r w:rsidRPr="00453842">
        <w:rPr>
          <w:rFonts w:ascii="仿宋_GB2312" w:eastAsia="仿宋_GB2312"/>
          <w:sz w:val="32"/>
          <w:szCs w:val="32"/>
        </w:rPr>
        <w:t>相关政策以及</w:t>
      </w:r>
      <w:r w:rsidRPr="00453842">
        <w:rPr>
          <w:rFonts w:ascii="仿宋_GB2312" w:eastAsia="仿宋_GB2312" w:hint="eastAsia"/>
          <w:sz w:val="32"/>
          <w:szCs w:val="32"/>
        </w:rPr>
        <w:t>相关法律服务政策的解读；</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2.“一带一路”、“自贸区</w:t>
      </w:r>
      <w:r w:rsidRPr="00453842">
        <w:rPr>
          <w:rFonts w:ascii="仿宋_GB2312" w:eastAsia="仿宋_GB2312" w:hint="eastAsia"/>
          <w:sz w:val="32"/>
          <w:szCs w:val="32"/>
        </w:rPr>
        <w:t>”政策对法律服务的新机遇；</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3.适应构建对外开放经济新体制要求，律师如何服务我国外交工作大局和国家重大发展战略；</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4.律师在</w:t>
      </w:r>
      <w:r w:rsidRPr="00453842">
        <w:rPr>
          <w:rFonts w:ascii="仿宋_GB2312" w:eastAsia="仿宋_GB2312" w:hint="eastAsia"/>
          <w:sz w:val="32"/>
          <w:szCs w:val="32"/>
        </w:rPr>
        <w:t>“一带一路”、“自贸区发展”</w:t>
      </w:r>
      <w:r>
        <w:rPr>
          <w:rFonts w:ascii="仿宋_GB2312" w:eastAsia="仿宋_GB2312" w:hint="eastAsia"/>
          <w:sz w:val="32"/>
          <w:szCs w:val="32"/>
        </w:rPr>
        <w:t>建设中的作用发挥；</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5.涉外法律服务内容与服务标准；</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6.涉外律师人才培训机制建设；</w:t>
      </w:r>
    </w:p>
    <w:p w:rsidR="000B7FFE" w:rsidRPr="00453842"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7.如何搭建“一带一路”国际律师</w:t>
      </w:r>
      <w:r w:rsidRPr="00453842">
        <w:rPr>
          <w:rFonts w:ascii="仿宋_GB2312" w:eastAsia="仿宋_GB2312" w:hint="eastAsia"/>
          <w:sz w:val="32"/>
          <w:szCs w:val="32"/>
        </w:rPr>
        <w:t>合作平台</w:t>
      </w:r>
      <w:r>
        <w:rPr>
          <w:rFonts w:ascii="仿宋_GB2312" w:eastAsia="仿宋_GB2312" w:hint="eastAsia"/>
          <w:sz w:val="32"/>
          <w:szCs w:val="32"/>
        </w:rPr>
        <w:t>；</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8.</w:t>
      </w:r>
      <w:r w:rsidRPr="00096C9E">
        <w:rPr>
          <w:rFonts w:ascii="仿宋_GB2312" w:eastAsia="仿宋_GB2312" w:hint="eastAsia"/>
          <w:sz w:val="32"/>
          <w:szCs w:val="32"/>
        </w:rPr>
        <w:t xml:space="preserve"> </w:t>
      </w:r>
      <w:r w:rsidRPr="00453842">
        <w:rPr>
          <w:rFonts w:ascii="仿宋_GB2312" w:eastAsia="仿宋_GB2312" w:hint="eastAsia"/>
          <w:sz w:val="32"/>
          <w:szCs w:val="32"/>
        </w:rPr>
        <w:t>“一带一路</w:t>
      </w:r>
      <w:r w:rsidRPr="00453842">
        <w:rPr>
          <w:rFonts w:ascii="仿宋_GB2312" w:eastAsia="仿宋_GB2312"/>
          <w:sz w:val="32"/>
          <w:szCs w:val="32"/>
        </w:rPr>
        <w:t>”</w:t>
      </w:r>
      <w:r>
        <w:rPr>
          <w:rFonts w:ascii="仿宋_GB2312" w:eastAsia="仿宋_GB2312" w:hint="eastAsia"/>
          <w:sz w:val="32"/>
          <w:szCs w:val="32"/>
        </w:rPr>
        <w:t>、自贸区建设律师业务开拓思路和服务产品介绍；</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9.</w:t>
      </w:r>
      <w:r w:rsidRPr="00453842">
        <w:rPr>
          <w:rFonts w:ascii="仿宋_GB2312" w:eastAsia="仿宋_GB2312" w:hint="eastAsia"/>
          <w:sz w:val="32"/>
          <w:szCs w:val="32"/>
        </w:rPr>
        <w:t>如何打造律师事务所国际化品牌</w:t>
      </w:r>
      <w:r w:rsidRPr="00453842">
        <w:rPr>
          <w:rFonts w:ascii="仿宋_GB2312" w:eastAsia="仿宋_GB2312"/>
          <w:sz w:val="32"/>
          <w:szCs w:val="32"/>
        </w:rPr>
        <w:t>，</w:t>
      </w:r>
      <w:r w:rsidRPr="00453842">
        <w:rPr>
          <w:rFonts w:ascii="仿宋_GB2312" w:eastAsia="仿宋_GB2312" w:hint="eastAsia"/>
          <w:sz w:val="32"/>
          <w:szCs w:val="32"/>
        </w:rPr>
        <w:t>提高</w:t>
      </w:r>
      <w:r>
        <w:rPr>
          <w:rFonts w:ascii="仿宋_GB2312" w:eastAsia="仿宋_GB2312" w:hint="eastAsia"/>
          <w:sz w:val="32"/>
          <w:szCs w:val="32"/>
        </w:rPr>
        <w:t>我国</w:t>
      </w:r>
      <w:r w:rsidRPr="00453842">
        <w:rPr>
          <w:rFonts w:ascii="仿宋_GB2312" w:eastAsia="仿宋_GB2312"/>
          <w:sz w:val="32"/>
          <w:szCs w:val="32"/>
        </w:rPr>
        <w:t>律师业国际竞争力</w:t>
      </w:r>
      <w:r w:rsidRPr="00453842">
        <w:rPr>
          <w:rFonts w:ascii="仿宋_GB2312" w:eastAsia="仿宋_GB2312" w:hint="eastAsia"/>
          <w:sz w:val="32"/>
          <w:szCs w:val="32"/>
        </w:rPr>
        <w:t>；</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10.党委政府对提高律师涉外法律水平的政策支持；</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11．律师涉外法律业务发展的困境与机遇；</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12.一带一路、自贸区建设战略背景下，律师事务所设立模式的创新。</w:t>
      </w:r>
    </w:p>
    <w:p w:rsidR="000B7FFE" w:rsidRPr="006A2EC9" w:rsidRDefault="000B7FFE" w:rsidP="000B7FFE">
      <w:pPr>
        <w:spacing w:line="520" w:lineRule="exact"/>
        <w:ind w:firstLineChars="200" w:firstLine="640"/>
        <w:rPr>
          <w:rFonts w:ascii="黑体" w:eastAsia="黑体" w:hAnsi="黑体"/>
          <w:sz w:val="32"/>
          <w:szCs w:val="32"/>
        </w:rPr>
      </w:pPr>
      <w:r w:rsidRPr="006A2EC9">
        <w:rPr>
          <w:rFonts w:ascii="黑体" w:eastAsia="黑体" w:hAnsi="黑体" w:hint="eastAsia"/>
          <w:sz w:val="32"/>
          <w:szCs w:val="32"/>
        </w:rPr>
        <w:t>二、互联网+法律服务</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1.互联网思维与法治建设；</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2.互联网时代与律师服务转型升级；</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3.互联网+对律师服务产品创新的启发；</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4.互联网法律服务市场现状与发展；</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5.律师服务对互联网工具的需求；</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6.互联网法律服务与律师传统服务；</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7.司法行政部门和律师协会应为律师行业提供的互联网平台和应用工具；</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8</w:t>
      </w:r>
      <w:r w:rsidRPr="006A2EC9">
        <w:rPr>
          <w:rFonts w:ascii="仿宋_GB2312" w:eastAsia="仿宋_GB2312" w:hint="eastAsia"/>
          <w:sz w:val="32"/>
          <w:szCs w:val="32"/>
        </w:rPr>
        <w:t>.互联网法律服务的利弊分析</w:t>
      </w:r>
      <w:r>
        <w:rPr>
          <w:rFonts w:ascii="仿宋_GB2312" w:eastAsia="仿宋_GB2312" w:hint="eastAsia"/>
          <w:sz w:val="32"/>
          <w:szCs w:val="32"/>
        </w:rPr>
        <w:t>；</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9.律师事务所微信营销与律师业务拓展；</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10.大数据与律师事务所管理；</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11.电子证据取证、举证、质证、保全等实务与技巧；</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12.网络侵权案件诉讼实务；</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13.互联网金融与法律实务；</w:t>
      </w:r>
    </w:p>
    <w:p w:rsidR="000B7FFE"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14.大数据与公司治理；</w:t>
      </w:r>
    </w:p>
    <w:p w:rsidR="000B7FFE" w:rsidRPr="006A2EC9" w:rsidRDefault="000B7FFE" w:rsidP="000B7FFE">
      <w:pPr>
        <w:spacing w:line="520" w:lineRule="exact"/>
        <w:ind w:firstLineChars="200" w:firstLine="640"/>
        <w:rPr>
          <w:rFonts w:ascii="仿宋_GB2312" w:eastAsia="仿宋_GB2312"/>
          <w:sz w:val="32"/>
          <w:szCs w:val="32"/>
        </w:rPr>
      </w:pPr>
      <w:r>
        <w:rPr>
          <w:rFonts w:ascii="仿宋_GB2312" w:eastAsia="仿宋_GB2312" w:hint="eastAsia"/>
          <w:sz w:val="32"/>
          <w:szCs w:val="32"/>
        </w:rPr>
        <w:t>15．互联网时代下的个人信息保护。</w:t>
      </w:r>
    </w:p>
    <w:p w:rsidR="000B7FFE" w:rsidRPr="00A66768" w:rsidRDefault="000B7FFE" w:rsidP="000B7FFE">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Pr="00A66768">
        <w:rPr>
          <w:rFonts w:ascii="黑体" w:eastAsia="黑体" w:hAnsi="黑体" w:hint="eastAsia"/>
          <w:sz w:val="32"/>
          <w:szCs w:val="32"/>
        </w:rPr>
        <w:t>、知识产权强国建设与律师服务</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1</w:t>
      </w:r>
      <w:r>
        <w:rPr>
          <w:rFonts w:ascii="仿宋_GB2312" w:eastAsia="仿宋_GB2312" w:hint="eastAsia"/>
          <w:sz w:val="32"/>
          <w:szCs w:val="32"/>
        </w:rPr>
        <w:t>．</w:t>
      </w:r>
      <w:r w:rsidRPr="0025025E">
        <w:rPr>
          <w:rFonts w:ascii="仿宋_GB2312" w:eastAsia="仿宋_GB2312" w:hint="eastAsia"/>
          <w:sz w:val="32"/>
          <w:szCs w:val="32"/>
        </w:rPr>
        <w:t>“一带一路”战略下的知识产权保护问题；</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2</w:t>
      </w:r>
      <w:r>
        <w:rPr>
          <w:rFonts w:ascii="仿宋_GB2312" w:eastAsia="仿宋_GB2312" w:hint="eastAsia"/>
          <w:sz w:val="32"/>
          <w:szCs w:val="32"/>
        </w:rPr>
        <w:t>．</w:t>
      </w:r>
      <w:r w:rsidRPr="0025025E">
        <w:rPr>
          <w:rFonts w:ascii="仿宋_GB2312" w:eastAsia="仿宋_GB2312" w:hint="eastAsia"/>
          <w:sz w:val="32"/>
          <w:szCs w:val="32"/>
        </w:rPr>
        <w:t>我国知识产权商业化的现状与发展</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3</w:t>
      </w:r>
      <w:r>
        <w:rPr>
          <w:rFonts w:ascii="仿宋_GB2312" w:eastAsia="仿宋_GB2312" w:hint="eastAsia"/>
          <w:sz w:val="32"/>
          <w:szCs w:val="32"/>
        </w:rPr>
        <w:t>．</w:t>
      </w:r>
      <w:r w:rsidRPr="0025025E">
        <w:rPr>
          <w:rFonts w:ascii="仿宋_GB2312" w:eastAsia="仿宋_GB2312" w:hint="eastAsia"/>
          <w:sz w:val="32"/>
          <w:szCs w:val="32"/>
        </w:rPr>
        <w:t>我国专利运营的模式与发展</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4</w:t>
      </w:r>
      <w:r>
        <w:rPr>
          <w:rFonts w:ascii="仿宋_GB2312" w:eastAsia="仿宋_GB2312" w:hint="eastAsia"/>
          <w:sz w:val="32"/>
          <w:szCs w:val="32"/>
        </w:rPr>
        <w:t>．</w:t>
      </w:r>
      <w:r w:rsidRPr="0025025E">
        <w:rPr>
          <w:rFonts w:ascii="仿宋_GB2312" w:eastAsia="仿宋_GB2312" w:hint="eastAsia"/>
          <w:sz w:val="32"/>
          <w:szCs w:val="32"/>
        </w:rPr>
        <w:t>知识产权法院的设立对律师业务格局的影响</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5</w:t>
      </w:r>
      <w:r>
        <w:rPr>
          <w:rFonts w:ascii="仿宋_GB2312" w:eastAsia="仿宋_GB2312" w:hint="eastAsia"/>
          <w:sz w:val="32"/>
          <w:szCs w:val="32"/>
        </w:rPr>
        <w:t>．</w:t>
      </w:r>
      <w:r w:rsidRPr="0025025E">
        <w:rPr>
          <w:rFonts w:ascii="仿宋_GB2312" w:eastAsia="仿宋_GB2312" w:hint="eastAsia"/>
          <w:sz w:val="32"/>
          <w:szCs w:val="32"/>
        </w:rPr>
        <w:t>律师参与知识产权贯标服务的优势与意义</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6</w:t>
      </w:r>
      <w:r>
        <w:rPr>
          <w:rFonts w:ascii="仿宋_GB2312" w:eastAsia="仿宋_GB2312" w:hint="eastAsia"/>
          <w:sz w:val="32"/>
          <w:szCs w:val="32"/>
        </w:rPr>
        <w:t>．</w:t>
      </w:r>
      <w:r w:rsidRPr="0025025E">
        <w:rPr>
          <w:rFonts w:ascii="仿宋_GB2312" w:eastAsia="仿宋_GB2312" w:hint="eastAsia"/>
          <w:sz w:val="32"/>
          <w:szCs w:val="32"/>
        </w:rPr>
        <w:t>知识产权交易中的律师业务</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7</w:t>
      </w:r>
      <w:r>
        <w:rPr>
          <w:rFonts w:ascii="仿宋_GB2312" w:eastAsia="仿宋_GB2312" w:hint="eastAsia"/>
          <w:sz w:val="32"/>
          <w:szCs w:val="32"/>
        </w:rPr>
        <w:t>．</w:t>
      </w:r>
      <w:r w:rsidRPr="0025025E">
        <w:rPr>
          <w:rFonts w:ascii="仿宋_GB2312" w:eastAsia="仿宋_GB2312" w:hint="eastAsia"/>
          <w:sz w:val="32"/>
          <w:szCs w:val="32"/>
        </w:rPr>
        <w:t>知识产权联盟建设与律师创新业务</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8</w:t>
      </w:r>
      <w:r>
        <w:rPr>
          <w:rFonts w:ascii="仿宋_GB2312" w:eastAsia="仿宋_GB2312" w:hint="eastAsia"/>
          <w:sz w:val="32"/>
          <w:szCs w:val="32"/>
        </w:rPr>
        <w:t>．</w:t>
      </w:r>
      <w:r w:rsidRPr="0025025E">
        <w:rPr>
          <w:rFonts w:ascii="仿宋_GB2312" w:eastAsia="仿宋_GB2312" w:hint="eastAsia"/>
          <w:sz w:val="32"/>
          <w:szCs w:val="32"/>
        </w:rPr>
        <w:t>我国知识产权融资业务的现状与发展</w:t>
      </w:r>
      <w:r>
        <w:rPr>
          <w:rFonts w:ascii="仿宋_GB2312" w:eastAsia="仿宋_GB2312" w:hint="eastAsia"/>
          <w:sz w:val="32"/>
          <w:szCs w:val="32"/>
        </w:rPr>
        <w:t>；</w:t>
      </w:r>
    </w:p>
    <w:p w:rsidR="000B7FFE" w:rsidRPr="0025025E" w:rsidRDefault="000B7FFE" w:rsidP="000B7FFE">
      <w:pPr>
        <w:spacing w:line="520" w:lineRule="exact"/>
        <w:ind w:firstLineChars="200" w:firstLine="640"/>
        <w:rPr>
          <w:rFonts w:ascii="仿宋_GB2312" w:eastAsia="仿宋_GB2312"/>
          <w:sz w:val="32"/>
          <w:szCs w:val="32"/>
        </w:rPr>
      </w:pPr>
      <w:r w:rsidRPr="0025025E">
        <w:rPr>
          <w:rFonts w:ascii="仿宋_GB2312" w:eastAsia="仿宋_GB2312" w:hint="eastAsia"/>
          <w:sz w:val="32"/>
          <w:szCs w:val="32"/>
        </w:rPr>
        <w:t>9</w:t>
      </w:r>
      <w:r>
        <w:rPr>
          <w:rFonts w:ascii="仿宋_GB2312" w:eastAsia="仿宋_GB2312" w:hint="eastAsia"/>
          <w:sz w:val="32"/>
          <w:szCs w:val="32"/>
        </w:rPr>
        <w:t>．</w:t>
      </w:r>
      <w:r w:rsidRPr="0025025E">
        <w:rPr>
          <w:rFonts w:ascii="仿宋_GB2312" w:eastAsia="仿宋_GB2312" w:hint="eastAsia"/>
          <w:sz w:val="32"/>
          <w:szCs w:val="32"/>
        </w:rPr>
        <w:t>知识产权保险制度与律师创新业务</w:t>
      </w:r>
      <w:r>
        <w:rPr>
          <w:rFonts w:ascii="仿宋_GB2312" w:eastAsia="仿宋_GB2312" w:hint="eastAsia"/>
          <w:sz w:val="32"/>
          <w:szCs w:val="32"/>
        </w:rPr>
        <w:t>；</w:t>
      </w:r>
    </w:p>
    <w:p w:rsidR="000B7FFE" w:rsidRPr="00055E1F" w:rsidRDefault="000B7FFE" w:rsidP="000B7FFE">
      <w:pPr>
        <w:spacing w:line="600" w:lineRule="exact"/>
        <w:ind w:firstLineChars="200" w:firstLine="640"/>
        <w:rPr>
          <w:rFonts w:ascii="仿宋_GB2312" w:eastAsia="仿宋_GB2312"/>
          <w:sz w:val="32"/>
          <w:szCs w:val="32"/>
        </w:rPr>
      </w:pPr>
      <w:r w:rsidRPr="0025025E">
        <w:rPr>
          <w:rFonts w:ascii="仿宋_GB2312" w:eastAsia="仿宋_GB2312" w:hint="eastAsia"/>
          <w:sz w:val="32"/>
          <w:szCs w:val="32"/>
        </w:rPr>
        <w:t>10</w:t>
      </w:r>
      <w:r>
        <w:rPr>
          <w:rFonts w:ascii="仿宋_GB2312" w:eastAsia="仿宋_GB2312" w:hint="eastAsia"/>
          <w:sz w:val="32"/>
          <w:szCs w:val="32"/>
        </w:rPr>
        <w:t>．</w:t>
      </w:r>
      <w:r w:rsidRPr="0025025E">
        <w:rPr>
          <w:rFonts w:ascii="仿宋_GB2312" w:eastAsia="仿宋_GB2312" w:hint="eastAsia"/>
          <w:sz w:val="32"/>
          <w:szCs w:val="32"/>
        </w:rPr>
        <w:t>非物质文化遗产的传承、创新与知识产权保护</w:t>
      </w:r>
      <w:r>
        <w:rPr>
          <w:rFonts w:ascii="仿宋_GB2312" w:eastAsia="仿宋_GB2312" w:hint="eastAsia"/>
          <w:sz w:val="32"/>
          <w:szCs w:val="32"/>
        </w:rPr>
        <w:t>。</w:t>
      </w:r>
    </w:p>
    <w:p w:rsidR="00BB3ADE" w:rsidRPr="000B7FFE" w:rsidRDefault="00BB3ADE">
      <w:bookmarkStart w:id="0" w:name="_GoBack"/>
      <w:bookmarkEnd w:id="0"/>
    </w:p>
    <w:sectPr w:rsidR="00BB3ADE" w:rsidRPr="000B7FFE" w:rsidSect="00175BC9">
      <w:pgSz w:w="11906" w:h="16838"/>
      <w:pgMar w:top="1871" w:right="1588" w:bottom="175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FE"/>
    <w:rsid w:val="000B7FFE"/>
    <w:rsid w:val="00BB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8D46-DFE8-4531-8CD9-DA3AEE9A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753</Characters>
  <Application>Microsoft Office Word</Application>
  <DocSecurity>0</DocSecurity>
  <Lines>6</Lines>
  <Paragraphs>1</Paragraphs>
  <ScaleCrop>false</ScaleCrop>
  <Company>Sky123.Org</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2016-08-01T01:14:00Z</dcterms:created>
  <dcterms:modified xsi:type="dcterms:W3CDTF">2016-08-01T01:14:00Z</dcterms:modified>
</cp:coreProperties>
</file>