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0" w:line="640" w:lineRule="exact"/>
        <w:jc w:val="both"/>
        <w:textAlignment w:val="auto"/>
        <w:outlineLvl w:val="0"/>
        <w:rPr>
          <w:rFonts w:hint="eastAsia" w:ascii="方正小标宋简体" w:hAnsi="方正小标宋简体" w:eastAsia="方正小标宋简体" w:cs="方正小标宋简体"/>
          <w:color w:val="000000"/>
          <w:sz w:val="40"/>
          <w:szCs w:val="40"/>
          <w:shd w:val="clear" w:color="auto" w:fill="FFFFFF"/>
        </w:rPr>
      </w:pPr>
      <w:bookmarkStart w:id="0" w:name="_Toc30587"/>
    </w:p>
    <w:p>
      <w:pPr>
        <w:keepNext w:val="0"/>
        <w:keepLines w:val="0"/>
        <w:pageBreakBefore w:val="0"/>
        <w:widowControl w:val="0"/>
        <w:kinsoku/>
        <w:wordWrap/>
        <w:topLinePunct w:val="0"/>
        <w:autoSpaceDE/>
        <w:autoSpaceDN/>
        <w:bidi w:val="0"/>
        <w:adjustRightInd/>
        <w:snapToGrid/>
        <w:spacing w:after="0" w:line="520" w:lineRule="exact"/>
        <w:jc w:val="center"/>
        <w:textAlignment w:val="auto"/>
        <w:outlineLvl w:val="0"/>
        <w:rPr>
          <w:rFonts w:hint="eastAsia" w:ascii="方正小标宋简体" w:hAnsi="方正小标宋简体" w:eastAsia="方正小标宋简体" w:cs="方正小标宋简体"/>
          <w:color w:val="000000"/>
          <w:sz w:val="40"/>
          <w:szCs w:val="40"/>
          <w:shd w:val="clear" w:color="auto" w:fill="FFFFFF"/>
        </w:rPr>
      </w:pPr>
    </w:p>
    <w:p>
      <w:pPr>
        <w:keepNext w:val="0"/>
        <w:keepLines w:val="0"/>
        <w:pageBreakBefore w:val="0"/>
        <w:widowControl w:val="0"/>
        <w:kinsoku/>
        <w:wordWrap/>
        <w:topLinePunct w:val="0"/>
        <w:autoSpaceDE/>
        <w:autoSpaceDN/>
        <w:bidi w:val="0"/>
        <w:adjustRightInd/>
        <w:snapToGrid/>
        <w:spacing w:after="0" w:line="520" w:lineRule="exact"/>
        <w:jc w:val="center"/>
        <w:textAlignment w:val="auto"/>
        <w:outlineLvl w:val="0"/>
        <w:rPr>
          <w:rFonts w:hint="eastAsia" w:ascii="方正小标宋简体" w:hAnsi="方正小标宋简体" w:eastAsia="方正小标宋简体" w:cs="方正小标宋简体"/>
          <w:color w:val="000000"/>
          <w:sz w:val="40"/>
          <w:szCs w:val="40"/>
          <w:shd w:val="clear" w:color="auto" w:fill="FFFFFF"/>
        </w:rPr>
      </w:pPr>
    </w:p>
    <w:p>
      <w:pPr>
        <w:keepNext w:val="0"/>
        <w:keepLines w:val="0"/>
        <w:pageBreakBefore w:val="0"/>
        <w:widowControl w:val="0"/>
        <w:kinsoku/>
        <w:wordWrap/>
        <w:topLinePunct w:val="0"/>
        <w:autoSpaceDE/>
        <w:autoSpaceDN/>
        <w:bidi w:val="0"/>
        <w:adjustRightInd/>
        <w:snapToGrid/>
        <w:spacing w:after="0" w:line="520" w:lineRule="exact"/>
        <w:jc w:val="center"/>
        <w:textAlignment w:val="auto"/>
        <w:outlineLvl w:val="0"/>
        <w:rPr>
          <w:rFonts w:hint="eastAsia" w:ascii="方正小标宋简体" w:hAnsi="方正小标宋简体" w:eastAsia="方正小标宋简体" w:cs="方正小标宋简体"/>
          <w:color w:val="000000"/>
          <w:sz w:val="40"/>
          <w:szCs w:val="40"/>
          <w:shd w:val="clear" w:color="auto" w:fill="FFFFFF"/>
        </w:rPr>
      </w:pPr>
    </w:p>
    <w:p>
      <w:pPr>
        <w:keepNext w:val="0"/>
        <w:keepLines w:val="0"/>
        <w:pageBreakBefore w:val="0"/>
        <w:widowControl w:val="0"/>
        <w:kinsoku/>
        <w:wordWrap/>
        <w:overflowPunct/>
        <w:topLinePunct w:val="0"/>
        <w:autoSpaceDE/>
        <w:autoSpaceDN/>
        <w:bidi w:val="0"/>
        <w:adjustRightInd/>
        <w:snapToGrid/>
        <w:spacing w:after="0" w:line="1100" w:lineRule="exact"/>
        <w:jc w:val="center"/>
        <w:textAlignment w:val="auto"/>
        <w:outlineLvl w:val="0"/>
        <w:rPr>
          <w:rFonts w:hint="eastAsia" w:ascii="方正粗倩简体" w:hAnsi="方正粗倩简体" w:eastAsia="方正粗倩简体" w:cs="方正粗倩简体"/>
          <w:b/>
          <w:bCs/>
          <w:color w:val="000000"/>
          <w:sz w:val="48"/>
          <w:szCs w:val="48"/>
          <w:shd w:val="clear" w:color="auto" w:fill="FFFFFF"/>
        </w:rPr>
      </w:pPr>
      <w:r>
        <w:rPr>
          <w:rFonts w:hint="eastAsia" w:ascii="方正粗倩简体" w:hAnsi="方正粗倩简体" w:eastAsia="方正粗倩简体" w:cs="方正粗倩简体"/>
          <w:b/>
          <w:bCs/>
          <w:color w:val="000000"/>
          <w:sz w:val="48"/>
          <w:szCs w:val="48"/>
          <w:shd w:val="clear" w:color="auto" w:fill="FFFFFF"/>
        </w:rPr>
        <w:t>湖南省律师业务操作指引</w:t>
      </w:r>
    </w:p>
    <w:p>
      <w:pPr>
        <w:keepNext w:val="0"/>
        <w:keepLines w:val="0"/>
        <w:pageBreakBefore w:val="0"/>
        <w:widowControl w:val="0"/>
        <w:kinsoku/>
        <w:wordWrap/>
        <w:overflowPunct/>
        <w:topLinePunct w:val="0"/>
        <w:autoSpaceDE/>
        <w:autoSpaceDN/>
        <w:bidi w:val="0"/>
        <w:adjustRightInd/>
        <w:snapToGrid/>
        <w:spacing w:before="625" w:beforeLines="200" w:after="0" w:line="520" w:lineRule="exact"/>
        <w:jc w:val="center"/>
        <w:textAlignment w:val="auto"/>
        <w:outlineLvl w:val="0"/>
        <w:rPr>
          <w:rFonts w:hint="eastAsia" w:ascii="方正小标宋简体" w:hAnsi="方正小标宋简体" w:eastAsia="方正小标宋简体" w:cs="方正小标宋简体"/>
          <w:color w:val="000000"/>
          <w:sz w:val="40"/>
          <w:szCs w:val="40"/>
          <w:shd w:val="clear" w:color="auto" w:fill="FFFFFF"/>
          <w:lang w:eastAsia="zh-CN"/>
        </w:rPr>
      </w:pPr>
    </w:p>
    <w:p>
      <w:pPr>
        <w:keepNext w:val="0"/>
        <w:keepLines w:val="0"/>
        <w:pageBreakBefore w:val="0"/>
        <w:widowControl w:val="0"/>
        <w:kinsoku/>
        <w:wordWrap/>
        <w:topLinePunct w:val="0"/>
        <w:autoSpaceDE/>
        <w:autoSpaceDN/>
        <w:bidi w:val="0"/>
        <w:adjustRightInd/>
        <w:snapToGrid/>
        <w:spacing w:after="0" w:line="520" w:lineRule="exact"/>
        <w:jc w:val="center"/>
        <w:textAlignment w:val="auto"/>
        <w:outlineLvl w:val="0"/>
        <w:rPr>
          <w:rFonts w:hint="eastAsia" w:ascii="方正小标宋简体" w:hAnsi="方正小标宋简体" w:eastAsia="方正小标宋简体" w:cs="方正小标宋简体"/>
          <w:color w:val="000000"/>
          <w:sz w:val="40"/>
          <w:szCs w:val="40"/>
          <w:shd w:val="clear" w:color="auto" w:fill="FFFFFF"/>
        </w:rPr>
      </w:pPr>
    </w:p>
    <w:p>
      <w:pPr>
        <w:keepNext w:val="0"/>
        <w:keepLines w:val="0"/>
        <w:pageBreakBefore w:val="0"/>
        <w:widowControl w:val="0"/>
        <w:kinsoku/>
        <w:wordWrap/>
        <w:topLinePunct w:val="0"/>
        <w:autoSpaceDE/>
        <w:autoSpaceDN/>
        <w:bidi w:val="0"/>
        <w:adjustRightInd/>
        <w:snapToGrid/>
        <w:spacing w:after="0" w:line="520" w:lineRule="exact"/>
        <w:jc w:val="center"/>
        <w:textAlignment w:val="auto"/>
        <w:outlineLvl w:val="0"/>
        <w:rPr>
          <w:rFonts w:hint="eastAsia" w:ascii="方正小标宋简体" w:hAnsi="方正小标宋简体" w:eastAsia="方正小标宋简体" w:cs="方正小标宋简体"/>
          <w:color w:val="000000"/>
          <w:sz w:val="40"/>
          <w:szCs w:val="40"/>
          <w:shd w:val="clear" w:color="auto" w:fill="FFFFFF"/>
        </w:rPr>
      </w:pPr>
    </w:p>
    <w:p>
      <w:pPr>
        <w:keepNext w:val="0"/>
        <w:keepLines w:val="0"/>
        <w:pageBreakBefore w:val="0"/>
        <w:widowControl w:val="0"/>
        <w:kinsoku/>
        <w:wordWrap/>
        <w:topLinePunct w:val="0"/>
        <w:autoSpaceDE/>
        <w:autoSpaceDN/>
        <w:bidi w:val="0"/>
        <w:adjustRightInd/>
        <w:snapToGrid/>
        <w:spacing w:after="0" w:line="520" w:lineRule="exact"/>
        <w:jc w:val="center"/>
        <w:textAlignment w:val="auto"/>
        <w:outlineLvl w:val="0"/>
        <w:rPr>
          <w:rFonts w:hint="eastAsia" w:ascii="方正小标宋简体" w:hAnsi="方正小标宋简体" w:eastAsia="方正小标宋简体" w:cs="方正小标宋简体"/>
          <w:color w:val="000000"/>
          <w:sz w:val="40"/>
          <w:szCs w:val="40"/>
          <w:shd w:val="clear" w:color="auto" w:fill="FFFFFF"/>
        </w:rPr>
      </w:pPr>
    </w:p>
    <w:p>
      <w:pPr>
        <w:keepNext w:val="0"/>
        <w:keepLines w:val="0"/>
        <w:pageBreakBefore w:val="0"/>
        <w:widowControl w:val="0"/>
        <w:kinsoku/>
        <w:wordWrap/>
        <w:topLinePunct w:val="0"/>
        <w:autoSpaceDE/>
        <w:autoSpaceDN/>
        <w:bidi w:val="0"/>
        <w:adjustRightInd/>
        <w:snapToGrid/>
        <w:spacing w:after="0" w:line="520" w:lineRule="exact"/>
        <w:jc w:val="center"/>
        <w:textAlignment w:val="auto"/>
        <w:outlineLvl w:val="0"/>
        <w:rPr>
          <w:rFonts w:hint="eastAsia" w:ascii="方正小标宋简体" w:hAnsi="方正小标宋简体" w:eastAsia="方正小标宋简体" w:cs="方正小标宋简体"/>
          <w:color w:val="000000"/>
          <w:sz w:val="40"/>
          <w:szCs w:val="40"/>
          <w:shd w:val="clear" w:color="auto" w:fill="FFFFFF"/>
        </w:rPr>
      </w:pPr>
    </w:p>
    <w:p>
      <w:pPr>
        <w:keepNext w:val="0"/>
        <w:keepLines w:val="0"/>
        <w:pageBreakBefore w:val="0"/>
        <w:widowControl w:val="0"/>
        <w:kinsoku/>
        <w:wordWrap/>
        <w:topLinePunct w:val="0"/>
        <w:autoSpaceDE/>
        <w:autoSpaceDN/>
        <w:bidi w:val="0"/>
        <w:adjustRightInd/>
        <w:snapToGrid/>
        <w:spacing w:after="0" w:line="520" w:lineRule="exact"/>
        <w:jc w:val="center"/>
        <w:textAlignment w:val="auto"/>
        <w:outlineLvl w:val="0"/>
        <w:rPr>
          <w:rFonts w:hint="eastAsia" w:ascii="方正小标宋简体" w:hAnsi="方正小标宋简体" w:eastAsia="方正小标宋简体" w:cs="方正小标宋简体"/>
          <w:color w:val="000000"/>
          <w:sz w:val="40"/>
          <w:szCs w:val="40"/>
          <w:shd w:val="clear" w:color="auto" w:fill="FFFFFF"/>
        </w:rPr>
      </w:pPr>
    </w:p>
    <w:p>
      <w:pPr>
        <w:keepNext w:val="0"/>
        <w:keepLines w:val="0"/>
        <w:pageBreakBefore w:val="0"/>
        <w:widowControl w:val="0"/>
        <w:kinsoku/>
        <w:wordWrap/>
        <w:topLinePunct w:val="0"/>
        <w:autoSpaceDE/>
        <w:autoSpaceDN/>
        <w:bidi w:val="0"/>
        <w:adjustRightInd/>
        <w:snapToGrid/>
        <w:spacing w:after="0" w:line="520" w:lineRule="exact"/>
        <w:jc w:val="center"/>
        <w:textAlignment w:val="auto"/>
        <w:outlineLvl w:val="0"/>
        <w:rPr>
          <w:rFonts w:hint="eastAsia" w:ascii="方正小标宋简体" w:hAnsi="方正小标宋简体" w:eastAsia="方正小标宋简体" w:cs="方正小标宋简体"/>
          <w:color w:val="000000"/>
          <w:sz w:val="40"/>
          <w:szCs w:val="40"/>
          <w:shd w:val="clear" w:color="auto" w:fill="FFFFFF"/>
        </w:rPr>
      </w:pPr>
    </w:p>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eastAsia" w:ascii="华文中宋" w:hAnsi="华文中宋" w:eastAsia="华文中宋" w:cs="华文中宋"/>
          <w:b/>
          <w:bCs/>
          <w:color w:val="000000"/>
          <w:sz w:val="36"/>
          <w:szCs w:val="36"/>
          <w:lang w:eastAsia="zh-CN"/>
        </w:rPr>
      </w:pPr>
      <w:r>
        <w:rPr>
          <w:rFonts w:hint="eastAsia" w:ascii="华文中宋" w:hAnsi="华文中宋" w:eastAsia="华文中宋" w:cs="华文中宋"/>
          <w:b/>
          <w:bCs/>
          <w:color w:val="000000"/>
          <w:sz w:val="36"/>
          <w:szCs w:val="36"/>
          <w:lang w:eastAsia="zh-CN"/>
        </w:rPr>
        <w:t>湖南省律师协会</w:t>
      </w:r>
    </w:p>
    <w:p>
      <w:pPr>
        <w:keepNext w:val="0"/>
        <w:keepLines w:val="0"/>
        <w:pageBreakBefore w:val="0"/>
        <w:widowControl w:val="0"/>
        <w:kinsoku/>
        <w:wordWrap/>
        <w:overflowPunct/>
        <w:topLinePunct w:val="0"/>
        <w:autoSpaceDE/>
        <w:autoSpaceDN/>
        <w:bidi w:val="0"/>
        <w:adjustRightInd/>
        <w:snapToGrid/>
        <w:spacing w:after="0" w:line="500" w:lineRule="exact"/>
        <w:jc w:val="center"/>
        <w:textAlignment w:val="auto"/>
        <w:outlineLvl w:val="0"/>
        <w:rPr>
          <w:rFonts w:hint="eastAsia" w:ascii="方正小标宋简体" w:hAnsi="方正小标宋简体" w:eastAsia="方正小标宋简体" w:cs="方正小标宋简体"/>
          <w:color w:val="000000"/>
          <w:sz w:val="40"/>
          <w:szCs w:val="40"/>
          <w:shd w:val="clear" w:color="auto" w:fill="FFFFFF"/>
        </w:rPr>
      </w:pPr>
      <w:r>
        <w:rPr>
          <w:rFonts w:hint="eastAsia" w:ascii="华文中宋" w:hAnsi="华文中宋" w:eastAsia="华文中宋" w:cs="华文中宋"/>
          <w:b/>
          <w:bCs/>
          <w:color w:val="000000"/>
          <w:sz w:val="36"/>
          <w:szCs w:val="36"/>
          <w:lang w:eastAsia="zh-CN"/>
        </w:rPr>
        <w:t>二○二一年十</w:t>
      </w:r>
      <w:bookmarkStart w:id="719" w:name="_GoBack"/>
      <w:bookmarkEnd w:id="719"/>
      <w:r>
        <w:rPr>
          <w:rFonts w:hint="eastAsia" w:ascii="华文中宋" w:hAnsi="华文中宋" w:eastAsia="华文中宋" w:cs="华文中宋"/>
          <w:b/>
          <w:bCs/>
          <w:color w:val="000000"/>
          <w:sz w:val="36"/>
          <w:szCs w:val="36"/>
          <w:lang w:eastAsia="zh-CN"/>
        </w:rPr>
        <w:t>一月</w:t>
      </w:r>
      <w:r>
        <w:rPr>
          <w:rFonts w:hint="eastAsia" w:ascii="华文中宋" w:hAnsi="华文中宋" w:eastAsia="华文中宋" w:cs="华文中宋"/>
          <w:color w:val="000000"/>
          <w:sz w:val="36"/>
          <w:szCs w:val="36"/>
          <w:shd w:val="clear" w:color="auto" w:fill="FFFFFF"/>
        </w:rPr>
        <w:br w:type="page"/>
      </w:r>
      <w:r>
        <w:rPr>
          <w:rFonts w:hint="eastAsia" w:ascii="方正小标宋简体" w:hAnsi="方正小标宋简体" w:eastAsia="方正小标宋简体" w:cs="方正小标宋简体"/>
          <w:color w:val="000000"/>
          <w:sz w:val="40"/>
          <w:szCs w:val="40"/>
          <w:shd w:val="clear" w:color="auto" w:fill="FFFFFF"/>
        </w:rPr>
        <w:br w:type="page"/>
      </w:r>
      <w:r>
        <w:rPr>
          <w:rFonts w:hint="eastAsia" w:ascii="方正小标宋简体" w:hAnsi="方正小标宋简体" w:eastAsia="方正小标宋简体" w:cs="方正小标宋简体"/>
          <w:color w:val="000000"/>
          <w:sz w:val="40"/>
          <w:szCs w:val="40"/>
          <w:shd w:val="clear" w:color="auto" w:fill="FFFFFF"/>
        </w:rPr>
        <w:t>目</w:t>
      </w:r>
      <w:r>
        <w:rPr>
          <w:rFonts w:hint="eastAsia" w:ascii="方正小标宋简体" w:hAnsi="方正小标宋简体" w:eastAsia="方正小标宋简体" w:cs="方正小标宋简体"/>
          <w:color w:val="000000"/>
          <w:sz w:val="40"/>
          <w:szCs w:val="40"/>
          <w:shd w:val="clear" w:color="auto" w:fill="FFFFFF"/>
          <w:lang w:val="en-US" w:eastAsia="zh-CN"/>
        </w:rPr>
        <w:t xml:space="preserve">  </w:t>
      </w:r>
      <w:r>
        <w:rPr>
          <w:rFonts w:hint="eastAsia" w:ascii="方正小标宋简体" w:hAnsi="方正小标宋简体" w:eastAsia="方正小标宋简体" w:cs="方正小标宋简体"/>
          <w:color w:val="000000"/>
          <w:sz w:val="40"/>
          <w:szCs w:val="40"/>
          <w:shd w:val="clear" w:color="auto" w:fill="FFFFFF"/>
        </w:rPr>
        <w:t>录</w:t>
      </w:r>
      <w:bookmarkEnd w:id="0"/>
    </w:p>
    <w:p>
      <w:pPr>
        <w:keepNext w:val="0"/>
        <w:keepLines w:val="0"/>
        <w:pageBreakBefore w:val="0"/>
        <w:widowControl w:val="0"/>
        <w:kinsoku/>
        <w:wordWrap/>
        <w:topLinePunct w:val="0"/>
        <w:autoSpaceDE/>
        <w:autoSpaceDN/>
        <w:bidi w:val="0"/>
        <w:adjustRightInd/>
        <w:snapToGrid/>
        <w:spacing w:after="0" w:line="500" w:lineRule="exact"/>
        <w:jc w:val="center"/>
        <w:textAlignment w:val="auto"/>
        <w:rPr>
          <w:rFonts w:hint="eastAsia" w:ascii="方正小标宋简体" w:hAnsi="方正小标宋简体" w:eastAsia="方正小标宋简体" w:cs="方正小标宋简体"/>
          <w:color w:val="000000"/>
          <w:sz w:val="40"/>
          <w:szCs w:val="40"/>
          <w:shd w:val="clear" w:color="auto" w:fill="FFFFFF"/>
        </w:rPr>
      </w:pPr>
    </w:p>
    <w:p>
      <w:pPr>
        <w:keepNext w:val="0"/>
        <w:keepLines w:val="0"/>
        <w:pageBreakBefore w:val="0"/>
        <w:widowControl w:val="0"/>
        <w:tabs>
          <w:tab w:val="right" w:leader="middleDot" w:pos="7560"/>
        </w:tabs>
        <w:kinsoku/>
        <w:wordWrap/>
        <w:topLinePunct w:val="0"/>
        <w:autoSpaceDE/>
        <w:autoSpaceDN/>
        <w:bidi w:val="0"/>
        <w:adjustRightInd/>
        <w:snapToGrid/>
        <w:spacing w:after="0" w:line="460" w:lineRule="exact"/>
        <w:textAlignment w:val="auto"/>
        <w:outlineLvl w:val="0"/>
        <w:rPr>
          <w:rFonts w:ascii="Times New Roman" w:hAnsi="Times New Roman" w:eastAsia="仿宋_GB2312" w:cs="Times New Roman"/>
          <w:color w:val="000000"/>
          <w:sz w:val="28"/>
          <w:szCs w:val="28"/>
          <w:shd w:val="clear" w:color="auto" w:fill="FFFFFF"/>
        </w:rPr>
      </w:pPr>
      <w:bookmarkStart w:id="1" w:name="_Toc5435"/>
      <w:r>
        <w:rPr>
          <w:rFonts w:ascii="Times New Roman" w:hAnsi="Times New Roman" w:eastAsia="仿宋_GB2312" w:cs="Times New Roman"/>
          <w:color w:val="000000"/>
          <w:sz w:val="28"/>
          <w:szCs w:val="28"/>
          <w:shd w:val="clear" w:color="auto" w:fill="FFFFFF"/>
        </w:rPr>
        <w:t>1.</w:t>
      </w:r>
      <w:r>
        <w:rPr>
          <w:rFonts w:ascii="Times New Roman" w:hAnsi="仿宋_GB2312" w:eastAsia="仿宋_GB2312" w:cs="Times New Roman"/>
          <w:color w:val="000000"/>
          <w:sz w:val="28"/>
          <w:szCs w:val="28"/>
          <w:shd w:val="clear" w:color="auto" w:fill="FFFFFF"/>
        </w:rPr>
        <w:t>律师办理认罪认罚从宽案件业务操作指引</w:t>
      </w:r>
      <w:r>
        <w:rPr>
          <w:rFonts w:ascii="Times New Roman" w:hAnsi="Times New Roman" w:eastAsia="仿宋_GB2312" w:cs="Times New Roman"/>
          <w:color w:val="000000"/>
          <w:sz w:val="28"/>
          <w:szCs w:val="28"/>
          <w:shd w:val="clear" w:color="auto" w:fill="FFFFFF"/>
        </w:rPr>
        <w:tab/>
      </w:r>
      <w:r>
        <w:rPr>
          <w:rFonts w:ascii="Times New Roman" w:hAnsi="Times New Roman" w:eastAsia="仿宋_GB2312" w:cs="Times New Roman"/>
          <w:color w:val="000000"/>
          <w:sz w:val="28"/>
          <w:szCs w:val="28"/>
          <w:shd w:val="clear" w:color="auto" w:fill="FFFFFF"/>
        </w:rPr>
        <w:t>1</w:t>
      </w:r>
      <w:bookmarkEnd w:id="1"/>
    </w:p>
    <w:p>
      <w:pPr>
        <w:keepNext w:val="0"/>
        <w:keepLines w:val="0"/>
        <w:pageBreakBefore w:val="0"/>
        <w:widowControl w:val="0"/>
        <w:tabs>
          <w:tab w:val="right" w:leader="middleDot" w:pos="7560"/>
        </w:tabs>
        <w:kinsoku/>
        <w:wordWrap/>
        <w:topLinePunct w:val="0"/>
        <w:autoSpaceDE/>
        <w:autoSpaceDN/>
        <w:bidi w:val="0"/>
        <w:adjustRightInd/>
        <w:snapToGrid/>
        <w:spacing w:after="0" w:line="460" w:lineRule="exact"/>
        <w:textAlignment w:val="auto"/>
        <w:outlineLvl w:val="0"/>
        <w:rPr>
          <w:rFonts w:ascii="Times New Roman" w:hAnsi="Times New Roman" w:eastAsia="仿宋_GB2312" w:cs="Times New Roman"/>
          <w:color w:val="000000"/>
          <w:sz w:val="28"/>
          <w:szCs w:val="28"/>
          <w:shd w:val="clear" w:color="auto" w:fill="FFFFFF"/>
        </w:rPr>
      </w:pPr>
      <w:bookmarkStart w:id="2" w:name="_Toc13815"/>
      <w:r>
        <w:rPr>
          <w:rFonts w:ascii="Times New Roman" w:hAnsi="Times New Roman" w:eastAsia="仿宋_GB2312" w:cs="Times New Roman"/>
          <w:color w:val="000000"/>
          <w:sz w:val="28"/>
          <w:szCs w:val="28"/>
          <w:shd w:val="clear" w:color="auto" w:fill="FFFFFF"/>
        </w:rPr>
        <w:t>2.</w:t>
      </w:r>
      <w:r>
        <w:rPr>
          <w:rFonts w:ascii="Times New Roman" w:hAnsi="仿宋_GB2312" w:eastAsia="仿宋_GB2312" w:cs="Times New Roman"/>
          <w:color w:val="000000"/>
          <w:sz w:val="28"/>
          <w:szCs w:val="28"/>
          <w:shd w:val="clear" w:color="auto" w:fill="FFFFFF"/>
        </w:rPr>
        <w:t>民事合同纠纷案件诉讼业务操作指引</w:t>
      </w:r>
      <w:r>
        <w:rPr>
          <w:rFonts w:ascii="Times New Roman" w:hAnsi="Times New Roman" w:eastAsia="仿宋_GB2312" w:cs="Times New Roman"/>
          <w:color w:val="000000"/>
          <w:sz w:val="28"/>
          <w:szCs w:val="28"/>
          <w:shd w:val="clear" w:color="auto" w:fill="FFFFFF"/>
        </w:rPr>
        <w:tab/>
      </w:r>
      <w:r>
        <w:rPr>
          <w:rFonts w:ascii="Times New Roman" w:hAnsi="Times New Roman" w:eastAsia="仿宋_GB2312" w:cs="Times New Roman"/>
          <w:color w:val="000000"/>
          <w:sz w:val="28"/>
          <w:szCs w:val="28"/>
          <w:shd w:val="clear" w:color="auto" w:fill="FFFFFF"/>
        </w:rPr>
        <w:t>13</w:t>
      </w:r>
      <w:bookmarkEnd w:id="2"/>
    </w:p>
    <w:p>
      <w:pPr>
        <w:keepNext w:val="0"/>
        <w:keepLines w:val="0"/>
        <w:pageBreakBefore w:val="0"/>
        <w:widowControl w:val="0"/>
        <w:tabs>
          <w:tab w:val="right" w:leader="middleDot" w:pos="7560"/>
        </w:tabs>
        <w:kinsoku/>
        <w:wordWrap/>
        <w:topLinePunct w:val="0"/>
        <w:autoSpaceDE/>
        <w:autoSpaceDN/>
        <w:bidi w:val="0"/>
        <w:adjustRightInd/>
        <w:snapToGrid/>
        <w:spacing w:after="0" w:line="460" w:lineRule="exact"/>
        <w:textAlignment w:val="auto"/>
        <w:outlineLvl w:val="0"/>
        <w:rPr>
          <w:rFonts w:hint="eastAsia" w:ascii="Times New Roman" w:hAnsi="Times New Roman" w:eastAsia="仿宋_GB2312" w:cs="Times New Roman"/>
          <w:color w:val="000000"/>
          <w:sz w:val="28"/>
          <w:szCs w:val="28"/>
          <w:shd w:val="clear" w:color="auto" w:fill="FFFFFF"/>
          <w:lang w:eastAsia="zh-CN"/>
        </w:rPr>
      </w:pPr>
      <w:bookmarkStart w:id="3" w:name="_Toc10618"/>
      <w:r>
        <w:rPr>
          <w:rFonts w:ascii="Times New Roman" w:hAnsi="Times New Roman" w:eastAsia="仿宋_GB2312" w:cs="Times New Roman"/>
          <w:color w:val="000000"/>
          <w:sz w:val="28"/>
          <w:szCs w:val="28"/>
          <w:shd w:val="clear" w:color="auto" w:fill="FFFFFF"/>
        </w:rPr>
        <w:t>3.</w:t>
      </w:r>
      <w:r>
        <w:rPr>
          <w:rFonts w:ascii="Times New Roman" w:hAnsi="仿宋_GB2312" w:eastAsia="仿宋_GB2312" w:cs="Times New Roman"/>
          <w:color w:val="000000"/>
          <w:sz w:val="28"/>
          <w:szCs w:val="28"/>
          <w:shd w:val="clear" w:color="auto" w:fill="FFFFFF"/>
        </w:rPr>
        <w:t>行政诉讼办案指南</w:t>
      </w:r>
      <w:r>
        <w:rPr>
          <w:rFonts w:ascii="Times New Roman" w:hAnsi="Times New Roman" w:eastAsia="仿宋_GB2312" w:cs="Times New Roman"/>
          <w:color w:val="000000"/>
          <w:sz w:val="28"/>
          <w:szCs w:val="28"/>
          <w:shd w:val="clear" w:color="auto" w:fill="FFFFFF"/>
        </w:rPr>
        <w:tab/>
      </w:r>
      <w:r>
        <w:rPr>
          <w:rFonts w:ascii="Times New Roman" w:hAnsi="Times New Roman" w:eastAsia="仿宋_GB2312" w:cs="Times New Roman"/>
          <w:color w:val="000000"/>
          <w:sz w:val="28"/>
          <w:szCs w:val="28"/>
          <w:shd w:val="clear" w:color="auto" w:fill="FFFFFF"/>
        </w:rPr>
        <w:t>2</w:t>
      </w:r>
      <w:bookmarkEnd w:id="3"/>
      <w:r>
        <w:rPr>
          <w:rFonts w:hint="eastAsia" w:eastAsia="仿宋_GB2312" w:cs="Times New Roman"/>
          <w:color w:val="000000"/>
          <w:sz w:val="28"/>
          <w:szCs w:val="28"/>
          <w:shd w:val="clear" w:color="auto" w:fill="FFFFFF"/>
          <w:lang w:val="en-US" w:eastAsia="zh-CN"/>
        </w:rPr>
        <w:t>7</w:t>
      </w:r>
    </w:p>
    <w:p>
      <w:pPr>
        <w:keepNext w:val="0"/>
        <w:keepLines w:val="0"/>
        <w:pageBreakBefore w:val="0"/>
        <w:widowControl w:val="0"/>
        <w:tabs>
          <w:tab w:val="right" w:leader="middleDot" w:pos="7560"/>
        </w:tabs>
        <w:kinsoku/>
        <w:wordWrap/>
        <w:topLinePunct w:val="0"/>
        <w:autoSpaceDE/>
        <w:autoSpaceDN/>
        <w:bidi w:val="0"/>
        <w:adjustRightInd/>
        <w:snapToGrid/>
        <w:spacing w:after="0" w:line="460" w:lineRule="exact"/>
        <w:textAlignment w:val="auto"/>
        <w:outlineLvl w:val="0"/>
        <w:rPr>
          <w:rFonts w:hint="eastAsia" w:ascii="Times New Roman" w:hAnsi="Times New Roman" w:eastAsia="仿宋_GB2312" w:cs="Times New Roman"/>
          <w:color w:val="000000"/>
          <w:sz w:val="28"/>
          <w:szCs w:val="28"/>
          <w:shd w:val="clear" w:color="auto" w:fill="FFFFFF"/>
        </w:rPr>
      </w:pPr>
      <w:bookmarkStart w:id="4" w:name="_Toc17081"/>
      <w:r>
        <w:rPr>
          <w:rFonts w:ascii="Times New Roman" w:hAnsi="Times New Roman" w:eastAsia="仿宋_GB2312" w:cs="Times New Roman"/>
          <w:color w:val="000000"/>
          <w:sz w:val="28"/>
          <w:szCs w:val="28"/>
          <w:shd w:val="clear" w:color="auto" w:fill="FFFFFF"/>
        </w:rPr>
        <w:t>4.</w:t>
      </w:r>
      <w:r>
        <w:rPr>
          <w:rFonts w:ascii="Times New Roman" w:hAnsi="仿宋_GB2312" w:eastAsia="仿宋_GB2312" w:cs="Times New Roman"/>
          <w:color w:val="000000"/>
          <w:sz w:val="28"/>
          <w:szCs w:val="28"/>
          <w:shd w:val="clear" w:color="auto" w:fill="FFFFFF"/>
        </w:rPr>
        <w:t>企业劳动用工法律顾问业务操作指引</w:t>
      </w:r>
      <w:r>
        <w:rPr>
          <w:rFonts w:ascii="Times New Roman" w:hAnsi="Times New Roman" w:eastAsia="仿宋_GB2312" w:cs="Times New Roman"/>
          <w:color w:val="000000"/>
          <w:sz w:val="28"/>
          <w:szCs w:val="28"/>
          <w:shd w:val="clear" w:color="auto" w:fill="FFFFFF"/>
        </w:rPr>
        <w:tab/>
      </w:r>
      <w:r>
        <w:rPr>
          <w:rFonts w:ascii="Times New Roman" w:hAnsi="Times New Roman" w:eastAsia="仿宋_GB2312" w:cs="Times New Roman"/>
          <w:color w:val="000000"/>
          <w:sz w:val="28"/>
          <w:szCs w:val="28"/>
          <w:shd w:val="clear" w:color="auto" w:fill="FFFFFF"/>
        </w:rPr>
        <w:t>1</w:t>
      </w:r>
      <w:r>
        <w:rPr>
          <w:rFonts w:hint="eastAsia" w:eastAsia="仿宋_GB2312" w:cs="Times New Roman"/>
          <w:color w:val="000000"/>
          <w:sz w:val="28"/>
          <w:szCs w:val="28"/>
          <w:shd w:val="clear" w:color="auto" w:fill="FFFFFF"/>
          <w:lang w:val="en-US" w:eastAsia="zh-CN"/>
        </w:rPr>
        <w:t>5</w:t>
      </w:r>
      <w:r>
        <w:rPr>
          <w:rFonts w:hint="eastAsia" w:ascii="Times New Roman" w:hAnsi="Times New Roman" w:eastAsia="仿宋_GB2312" w:cs="Times New Roman"/>
          <w:color w:val="000000"/>
          <w:sz w:val="28"/>
          <w:szCs w:val="28"/>
          <w:shd w:val="clear" w:color="auto" w:fill="FFFFFF"/>
        </w:rPr>
        <w:t>5</w:t>
      </w:r>
      <w:bookmarkEnd w:id="4"/>
    </w:p>
    <w:p>
      <w:pPr>
        <w:keepNext w:val="0"/>
        <w:keepLines w:val="0"/>
        <w:pageBreakBefore w:val="0"/>
        <w:widowControl w:val="0"/>
        <w:tabs>
          <w:tab w:val="right" w:leader="middleDot" w:pos="7560"/>
        </w:tabs>
        <w:kinsoku/>
        <w:wordWrap/>
        <w:topLinePunct w:val="0"/>
        <w:autoSpaceDE/>
        <w:autoSpaceDN/>
        <w:bidi w:val="0"/>
        <w:adjustRightInd/>
        <w:snapToGrid/>
        <w:spacing w:after="0" w:line="460" w:lineRule="exact"/>
        <w:textAlignment w:val="auto"/>
        <w:outlineLvl w:val="0"/>
        <w:rPr>
          <w:rFonts w:hint="default" w:ascii="Times New Roman" w:hAnsi="Times New Roman" w:eastAsia="仿宋_GB2312" w:cs="Times New Roman"/>
          <w:color w:val="000000"/>
          <w:sz w:val="28"/>
          <w:szCs w:val="28"/>
          <w:shd w:val="clear" w:color="auto" w:fill="FFFFFF"/>
          <w:lang w:val="en-US" w:eastAsia="zh-CN"/>
        </w:rPr>
      </w:pPr>
      <w:bookmarkStart w:id="5" w:name="_Toc31959"/>
      <w:r>
        <w:rPr>
          <w:rFonts w:ascii="Times New Roman" w:hAnsi="Times New Roman" w:eastAsia="仿宋_GB2312" w:cs="Times New Roman"/>
          <w:color w:val="000000"/>
          <w:sz w:val="28"/>
          <w:szCs w:val="28"/>
          <w:shd w:val="clear" w:color="auto" w:fill="FFFFFF"/>
        </w:rPr>
        <w:t>5.</w:t>
      </w:r>
      <w:r>
        <w:rPr>
          <w:rFonts w:ascii="Times New Roman" w:hAnsi="仿宋_GB2312" w:eastAsia="仿宋_GB2312" w:cs="Times New Roman"/>
          <w:color w:val="000000"/>
          <w:sz w:val="28"/>
          <w:szCs w:val="28"/>
          <w:shd w:val="clear" w:color="auto" w:fill="FFFFFF"/>
        </w:rPr>
        <w:t>法律尽职调查业务操作指引</w:t>
      </w:r>
      <w:r>
        <w:rPr>
          <w:rFonts w:ascii="Times New Roman" w:hAnsi="Times New Roman" w:eastAsia="仿宋_GB2312" w:cs="Times New Roman"/>
          <w:color w:val="000000"/>
          <w:sz w:val="28"/>
          <w:szCs w:val="28"/>
          <w:shd w:val="clear" w:color="auto" w:fill="FFFFFF"/>
        </w:rPr>
        <w:tab/>
      </w:r>
      <w:r>
        <w:rPr>
          <w:rFonts w:ascii="Times New Roman" w:hAnsi="Times New Roman" w:eastAsia="仿宋_GB2312" w:cs="Times New Roman"/>
          <w:color w:val="000000"/>
          <w:sz w:val="28"/>
          <w:szCs w:val="28"/>
          <w:shd w:val="clear" w:color="auto" w:fill="FFFFFF"/>
        </w:rPr>
        <w:t>2</w:t>
      </w:r>
      <w:bookmarkEnd w:id="5"/>
      <w:r>
        <w:rPr>
          <w:rFonts w:hint="eastAsia" w:eastAsia="仿宋_GB2312" w:cs="Times New Roman"/>
          <w:color w:val="000000"/>
          <w:sz w:val="28"/>
          <w:szCs w:val="28"/>
          <w:shd w:val="clear" w:color="auto" w:fill="FFFFFF"/>
          <w:lang w:val="en-US" w:eastAsia="zh-CN"/>
        </w:rPr>
        <w:t>21</w:t>
      </w:r>
    </w:p>
    <w:p>
      <w:pPr>
        <w:keepNext w:val="0"/>
        <w:keepLines w:val="0"/>
        <w:pageBreakBefore w:val="0"/>
        <w:widowControl w:val="0"/>
        <w:tabs>
          <w:tab w:val="right" w:leader="middleDot" w:pos="7560"/>
        </w:tabs>
        <w:kinsoku/>
        <w:wordWrap/>
        <w:topLinePunct w:val="0"/>
        <w:autoSpaceDE/>
        <w:autoSpaceDN/>
        <w:bidi w:val="0"/>
        <w:adjustRightInd/>
        <w:snapToGrid/>
        <w:spacing w:after="0" w:line="460" w:lineRule="exact"/>
        <w:textAlignment w:val="auto"/>
        <w:outlineLvl w:val="0"/>
        <w:rPr>
          <w:rFonts w:hint="default" w:ascii="Times New Roman" w:hAnsi="Times New Roman" w:eastAsia="仿宋_GB2312" w:cs="Times New Roman"/>
          <w:color w:val="000000"/>
          <w:sz w:val="28"/>
          <w:szCs w:val="28"/>
          <w:shd w:val="clear" w:color="auto" w:fill="FFFFFF"/>
          <w:lang w:val="en-US" w:eastAsia="zh-CN"/>
        </w:rPr>
      </w:pPr>
      <w:bookmarkStart w:id="6" w:name="_Toc22874"/>
      <w:r>
        <w:rPr>
          <w:rFonts w:ascii="Times New Roman" w:hAnsi="Times New Roman" w:eastAsia="仿宋_GB2312" w:cs="Times New Roman"/>
          <w:color w:val="000000"/>
          <w:sz w:val="28"/>
          <w:szCs w:val="28"/>
          <w:shd w:val="clear" w:color="auto" w:fill="FFFFFF"/>
        </w:rPr>
        <w:t>6.</w:t>
      </w:r>
      <w:r>
        <w:rPr>
          <w:rFonts w:ascii="Times New Roman" w:hAnsi="仿宋_GB2312" w:eastAsia="仿宋_GB2312" w:cs="Times New Roman"/>
          <w:color w:val="000000"/>
          <w:sz w:val="28"/>
          <w:szCs w:val="28"/>
          <w:shd w:val="clear" w:color="auto" w:fill="FFFFFF"/>
        </w:rPr>
        <w:t>律师审查涉外贸易合同业务操作指引</w:t>
      </w:r>
      <w:r>
        <w:rPr>
          <w:rFonts w:ascii="Times New Roman" w:hAnsi="Times New Roman" w:eastAsia="仿宋_GB2312" w:cs="Times New Roman"/>
          <w:color w:val="000000"/>
          <w:sz w:val="28"/>
          <w:szCs w:val="28"/>
          <w:shd w:val="clear" w:color="auto" w:fill="FFFFFF"/>
        </w:rPr>
        <w:tab/>
      </w:r>
      <w:r>
        <w:rPr>
          <w:rFonts w:ascii="Times New Roman" w:hAnsi="Times New Roman" w:eastAsia="仿宋_GB2312" w:cs="Times New Roman"/>
          <w:color w:val="000000"/>
          <w:sz w:val="28"/>
          <w:szCs w:val="28"/>
          <w:shd w:val="clear" w:color="auto" w:fill="FFFFFF"/>
        </w:rPr>
        <w:t>2</w:t>
      </w:r>
      <w:bookmarkEnd w:id="6"/>
      <w:r>
        <w:rPr>
          <w:rFonts w:hint="eastAsia" w:eastAsia="仿宋_GB2312" w:cs="Times New Roman"/>
          <w:color w:val="000000"/>
          <w:sz w:val="28"/>
          <w:szCs w:val="28"/>
          <w:shd w:val="clear" w:color="auto" w:fill="FFFFFF"/>
          <w:lang w:val="en-US" w:eastAsia="zh-CN"/>
        </w:rPr>
        <w:t>49</w:t>
      </w:r>
    </w:p>
    <w:p>
      <w:pPr>
        <w:keepNext w:val="0"/>
        <w:keepLines w:val="0"/>
        <w:pageBreakBefore w:val="0"/>
        <w:widowControl w:val="0"/>
        <w:tabs>
          <w:tab w:val="right" w:leader="middleDot" w:pos="7560"/>
        </w:tabs>
        <w:kinsoku/>
        <w:wordWrap/>
        <w:topLinePunct w:val="0"/>
        <w:autoSpaceDE/>
        <w:autoSpaceDN/>
        <w:bidi w:val="0"/>
        <w:adjustRightInd/>
        <w:snapToGrid/>
        <w:spacing w:after="0" w:line="460" w:lineRule="exact"/>
        <w:textAlignment w:val="auto"/>
        <w:outlineLvl w:val="0"/>
        <w:rPr>
          <w:rFonts w:hint="default" w:ascii="Times New Roman" w:hAnsi="Times New Roman" w:eastAsia="仿宋_GB2312" w:cs="Times New Roman"/>
          <w:color w:val="000000"/>
          <w:sz w:val="28"/>
          <w:szCs w:val="28"/>
          <w:shd w:val="clear" w:color="auto" w:fill="FFFFFF"/>
          <w:lang w:val="en-US" w:eastAsia="zh-CN"/>
        </w:rPr>
      </w:pPr>
      <w:bookmarkStart w:id="7" w:name="_Toc3568"/>
      <w:r>
        <w:rPr>
          <w:rFonts w:ascii="Times New Roman" w:hAnsi="Times New Roman" w:eastAsia="仿宋_GB2312" w:cs="Times New Roman"/>
          <w:color w:val="000000"/>
          <w:sz w:val="28"/>
          <w:szCs w:val="28"/>
          <w:shd w:val="clear" w:color="auto" w:fill="FFFFFF"/>
        </w:rPr>
        <w:t>7.</w:t>
      </w:r>
      <w:r>
        <w:rPr>
          <w:rFonts w:ascii="Times New Roman" w:hAnsi="仿宋_GB2312" w:eastAsia="仿宋_GB2312" w:cs="Times New Roman"/>
          <w:color w:val="000000"/>
          <w:sz w:val="28"/>
          <w:szCs w:val="28"/>
          <w:shd w:val="clear" w:color="auto" w:fill="FFFFFF"/>
        </w:rPr>
        <w:t>发行公司债券项目法律尽职调查业务操作指引</w:t>
      </w:r>
      <w:r>
        <w:rPr>
          <w:rFonts w:ascii="Times New Roman" w:hAnsi="Times New Roman" w:eastAsia="仿宋_GB2312" w:cs="Times New Roman"/>
          <w:color w:val="000000"/>
          <w:sz w:val="28"/>
          <w:szCs w:val="28"/>
          <w:shd w:val="clear" w:color="auto" w:fill="FFFFFF"/>
        </w:rPr>
        <w:tab/>
      </w:r>
      <w:r>
        <w:rPr>
          <w:rFonts w:ascii="Times New Roman" w:hAnsi="Times New Roman" w:eastAsia="仿宋_GB2312" w:cs="Times New Roman"/>
          <w:color w:val="000000"/>
          <w:sz w:val="28"/>
          <w:szCs w:val="28"/>
          <w:shd w:val="clear" w:color="auto" w:fill="FFFFFF"/>
        </w:rPr>
        <w:t>2</w:t>
      </w:r>
      <w:bookmarkEnd w:id="7"/>
      <w:r>
        <w:rPr>
          <w:rFonts w:hint="eastAsia" w:eastAsia="仿宋_GB2312" w:cs="Times New Roman"/>
          <w:color w:val="000000"/>
          <w:sz w:val="28"/>
          <w:szCs w:val="28"/>
          <w:shd w:val="clear" w:color="auto" w:fill="FFFFFF"/>
          <w:lang w:val="en-US" w:eastAsia="zh-CN"/>
        </w:rPr>
        <w:t>67</w:t>
      </w:r>
    </w:p>
    <w:p>
      <w:pPr>
        <w:keepNext w:val="0"/>
        <w:keepLines w:val="0"/>
        <w:pageBreakBefore w:val="0"/>
        <w:widowControl w:val="0"/>
        <w:tabs>
          <w:tab w:val="right" w:leader="middleDot" w:pos="7560"/>
        </w:tabs>
        <w:kinsoku/>
        <w:wordWrap/>
        <w:topLinePunct w:val="0"/>
        <w:autoSpaceDE/>
        <w:autoSpaceDN/>
        <w:bidi w:val="0"/>
        <w:adjustRightInd/>
        <w:snapToGrid/>
        <w:spacing w:after="0" w:line="460" w:lineRule="exact"/>
        <w:textAlignment w:val="auto"/>
        <w:outlineLvl w:val="0"/>
        <w:rPr>
          <w:rFonts w:hint="default" w:ascii="Times New Roman" w:hAnsi="Times New Roman" w:eastAsia="仿宋_GB2312" w:cs="Times New Roman"/>
          <w:color w:val="000000"/>
          <w:sz w:val="28"/>
          <w:szCs w:val="28"/>
          <w:shd w:val="clear" w:color="auto" w:fill="FFFFFF"/>
          <w:lang w:val="en-US" w:eastAsia="zh-CN"/>
        </w:rPr>
      </w:pPr>
      <w:bookmarkStart w:id="8" w:name="_Toc4545"/>
      <w:r>
        <w:rPr>
          <w:rFonts w:ascii="Times New Roman" w:hAnsi="Times New Roman" w:eastAsia="仿宋_GB2312" w:cs="Times New Roman"/>
          <w:color w:val="000000"/>
          <w:sz w:val="28"/>
          <w:szCs w:val="28"/>
          <w:shd w:val="clear" w:color="auto" w:fill="FFFFFF"/>
        </w:rPr>
        <w:t>8.</w:t>
      </w:r>
      <w:r>
        <w:rPr>
          <w:rFonts w:ascii="Times New Roman" w:hAnsi="仿宋_GB2312" w:eastAsia="仿宋_GB2312" w:cs="Times New Roman"/>
          <w:color w:val="000000"/>
          <w:sz w:val="28"/>
          <w:szCs w:val="28"/>
          <w:shd w:val="clear" w:color="auto" w:fill="FFFFFF"/>
        </w:rPr>
        <w:t>律师办理建设工程施工合同纠纷案件诉讼业务操作指引</w:t>
      </w:r>
      <w:r>
        <w:rPr>
          <w:rFonts w:ascii="Times New Roman" w:hAnsi="Times New Roman" w:eastAsia="仿宋_GB2312" w:cs="Times New Roman"/>
          <w:color w:val="000000"/>
          <w:sz w:val="28"/>
          <w:szCs w:val="28"/>
          <w:shd w:val="clear" w:color="auto" w:fill="FFFFFF"/>
        </w:rPr>
        <w:tab/>
      </w:r>
      <w:bookmarkEnd w:id="8"/>
      <w:r>
        <w:rPr>
          <w:rFonts w:hint="eastAsia" w:eastAsia="仿宋_GB2312" w:cs="Times New Roman"/>
          <w:color w:val="000000"/>
          <w:sz w:val="28"/>
          <w:szCs w:val="28"/>
          <w:shd w:val="clear" w:color="auto" w:fill="FFFFFF"/>
          <w:lang w:val="en-US" w:eastAsia="zh-CN"/>
        </w:rPr>
        <w:t>317</w:t>
      </w:r>
    </w:p>
    <w:p>
      <w:pPr>
        <w:keepNext w:val="0"/>
        <w:keepLines w:val="0"/>
        <w:pageBreakBefore w:val="0"/>
        <w:widowControl w:val="0"/>
        <w:tabs>
          <w:tab w:val="right" w:leader="middleDot" w:pos="7560"/>
        </w:tabs>
        <w:kinsoku/>
        <w:wordWrap/>
        <w:topLinePunct w:val="0"/>
        <w:autoSpaceDE/>
        <w:autoSpaceDN/>
        <w:bidi w:val="0"/>
        <w:adjustRightInd/>
        <w:snapToGrid/>
        <w:spacing w:after="0" w:line="460" w:lineRule="exact"/>
        <w:textAlignment w:val="auto"/>
        <w:outlineLvl w:val="0"/>
        <w:rPr>
          <w:rFonts w:hint="default" w:ascii="Times New Roman" w:hAnsi="Times New Roman" w:eastAsia="仿宋_GB2312" w:cs="Times New Roman"/>
          <w:color w:val="000000"/>
          <w:sz w:val="28"/>
          <w:szCs w:val="28"/>
          <w:shd w:val="clear" w:color="auto" w:fill="FFFFFF"/>
          <w:lang w:val="en-US" w:eastAsia="zh-CN"/>
        </w:rPr>
      </w:pPr>
      <w:bookmarkStart w:id="9" w:name="_Toc25031"/>
      <w:r>
        <w:rPr>
          <w:rFonts w:ascii="Times New Roman" w:hAnsi="Times New Roman" w:eastAsia="仿宋_GB2312" w:cs="Times New Roman"/>
          <w:color w:val="000000"/>
          <w:sz w:val="28"/>
          <w:szCs w:val="28"/>
          <w:shd w:val="clear" w:color="auto" w:fill="FFFFFF"/>
        </w:rPr>
        <w:t>9.</w:t>
      </w:r>
      <w:r>
        <w:rPr>
          <w:rFonts w:ascii="Times New Roman" w:hAnsi="仿宋_GB2312" w:eastAsia="仿宋_GB2312" w:cs="Times New Roman"/>
          <w:color w:val="000000"/>
          <w:sz w:val="28"/>
          <w:szCs w:val="28"/>
          <w:shd w:val="clear" w:color="auto" w:fill="FFFFFF"/>
        </w:rPr>
        <w:t>律师</w:t>
      </w:r>
      <w:r>
        <w:rPr>
          <w:rFonts w:hint="eastAsia" w:ascii="Times New Roman" w:hAnsi="仿宋_GB2312" w:eastAsia="仿宋_GB2312" w:cs="Times New Roman"/>
          <w:color w:val="000000"/>
          <w:sz w:val="28"/>
          <w:szCs w:val="28"/>
          <w:shd w:val="clear" w:color="auto" w:fill="FFFFFF"/>
          <w:lang w:val="en-US" w:eastAsia="zh-CN"/>
        </w:rPr>
        <w:t>办理</w:t>
      </w:r>
      <w:r>
        <w:rPr>
          <w:rFonts w:ascii="Times New Roman" w:hAnsi="仿宋_GB2312" w:eastAsia="仿宋_GB2312" w:cs="Times New Roman"/>
          <w:color w:val="000000"/>
          <w:sz w:val="28"/>
          <w:szCs w:val="28"/>
          <w:shd w:val="clear" w:color="auto" w:fill="FFFFFF"/>
        </w:rPr>
        <w:t>专利侵权案件诉讼业务操作指引</w:t>
      </w:r>
      <w:r>
        <w:rPr>
          <w:rFonts w:ascii="Times New Roman" w:hAnsi="Times New Roman" w:eastAsia="仿宋_GB2312" w:cs="Times New Roman"/>
          <w:color w:val="000000"/>
          <w:sz w:val="28"/>
          <w:szCs w:val="28"/>
          <w:shd w:val="clear" w:color="auto" w:fill="FFFFFF"/>
        </w:rPr>
        <w:tab/>
      </w:r>
      <w:r>
        <w:rPr>
          <w:rFonts w:ascii="Times New Roman" w:hAnsi="Times New Roman" w:eastAsia="仿宋_GB2312" w:cs="Times New Roman"/>
          <w:color w:val="000000"/>
          <w:sz w:val="28"/>
          <w:szCs w:val="28"/>
          <w:shd w:val="clear" w:color="auto" w:fill="FFFFFF"/>
        </w:rPr>
        <w:t>3</w:t>
      </w:r>
      <w:bookmarkEnd w:id="9"/>
      <w:r>
        <w:rPr>
          <w:rFonts w:hint="eastAsia" w:eastAsia="仿宋_GB2312" w:cs="Times New Roman"/>
          <w:color w:val="000000"/>
          <w:sz w:val="28"/>
          <w:szCs w:val="28"/>
          <w:shd w:val="clear" w:color="auto" w:fill="FFFFFF"/>
          <w:lang w:val="en-US" w:eastAsia="zh-CN"/>
        </w:rPr>
        <w:t>43</w:t>
      </w:r>
    </w:p>
    <w:p>
      <w:pPr>
        <w:keepNext w:val="0"/>
        <w:keepLines w:val="0"/>
        <w:pageBreakBefore w:val="0"/>
        <w:widowControl w:val="0"/>
        <w:tabs>
          <w:tab w:val="right" w:leader="middleDot" w:pos="7560"/>
        </w:tabs>
        <w:kinsoku/>
        <w:wordWrap/>
        <w:topLinePunct w:val="0"/>
        <w:autoSpaceDE/>
        <w:autoSpaceDN/>
        <w:bidi w:val="0"/>
        <w:adjustRightInd/>
        <w:snapToGrid/>
        <w:spacing w:after="0" w:line="460" w:lineRule="exact"/>
        <w:textAlignment w:val="auto"/>
        <w:outlineLvl w:val="0"/>
        <w:rPr>
          <w:rFonts w:hint="default" w:ascii="Times New Roman" w:hAnsi="Times New Roman" w:eastAsia="仿宋_GB2312" w:cs="Times New Roman"/>
          <w:color w:val="000000"/>
          <w:sz w:val="28"/>
          <w:szCs w:val="28"/>
          <w:shd w:val="clear" w:color="auto" w:fill="FFFFFF"/>
          <w:lang w:val="en-US" w:eastAsia="zh-CN"/>
        </w:rPr>
      </w:pPr>
      <w:bookmarkStart w:id="10" w:name="_Toc24249"/>
      <w:r>
        <w:rPr>
          <w:rFonts w:ascii="Times New Roman" w:hAnsi="Times New Roman" w:eastAsia="仿宋_GB2312" w:cs="Times New Roman"/>
          <w:color w:val="000000"/>
          <w:sz w:val="28"/>
          <w:szCs w:val="28"/>
          <w:shd w:val="clear" w:color="auto" w:fill="FFFFFF"/>
        </w:rPr>
        <w:t>10.</w:t>
      </w:r>
      <w:r>
        <w:rPr>
          <w:rFonts w:ascii="Times New Roman" w:hAnsi="仿宋_GB2312" w:eastAsia="仿宋_GB2312" w:cs="Times New Roman"/>
          <w:color w:val="000000"/>
          <w:sz w:val="28"/>
          <w:szCs w:val="28"/>
          <w:shd w:val="clear" w:color="auto" w:fill="FFFFFF"/>
        </w:rPr>
        <w:t>律师</w:t>
      </w:r>
      <w:r>
        <w:rPr>
          <w:rFonts w:hint="eastAsia" w:ascii="Times New Roman" w:hAnsi="仿宋_GB2312" w:eastAsia="仿宋_GB2312" w:cs="Times New Roman"/>
          <w:color w:val="000000"/>
          <w:sz w:val="28"/>
          <w:szCs w:val="28"/>
          <w:shd w:val="clear" w:color="auto" w:fill="FFFFFF"/>
          <w:lang w:val="en-US" w:eastAsia="zh-CN"/>
        </w:rPr>
        <w:t>办理</w:t>
      </w:r>
      <w:r>
        <w:rPr>
          <w:rFonts w:ascii="Times New Roman" w:hAnsi="仿宋_GB2312" w:eastAsia="仿宋_GB2312" w:cs="Times New Roman"/>
          <w:color w:val="000000"/>
          <w:sz w:val="28"/>
          <w:szCs w:val="28"/>
          <w:shd w:val="clear" w:color="auto" w:fill="FFFFFF"/>
        </w:rPr>
        <w:t>商标侵权案件诉讼业务操作指引</w:t>
      </w:r>
      <w:r>
        <w:rPr>
          <w:rFonts w:ascii="Times New Roman" w:hAnsi="Times New Roman" w:eastAsia="仿宋_GB2312" w:cs="Times New Roman"/>
          <w:color w:val="000000"/>
          <w:sz w:val="28"/>
          <w:szCs w:val="28"/>
          <w:shd w:val="clear" w:color="auto" w:fill="FFFFFF"/>
        </w:rPr>
        <w:tab/>
      </w:r>
      <w:r>
        <w:rPr>
          <w:rFonts w:ascii="Times New Roman" w:hAnsi="Times New Roman" w:eastAsia="仿宋_GB2312" w:cs="Times New Roman"/>
          <w:color w:val="000000"/>
          <w:sz w:val="28"/>
          <w:szCs w:val="28"/>
          <w:shd w:val="clear" w:color="auto" w:fill="FFFFFF"/>
        </w:rPr>
        <w:t>3</w:t>
      </w:r>
      <w:bookmarkEnd w:id="10"/>
      <w:r>
        <w:rPr>
          <w:rFonts w:hint="eastAsia" w:eastAsia="仿宋_GB2312" w:cs="Times New Roman"/>
          <w:color w:val="000000"/>
          <w:sz w:val="28"/>
          <w:szCs w:val="28"/>
          <w:shd w:val="clear" w:color="auto" w:fill="FFFFFF"/>
          <w:lang w:val="en-US" w:eastAsia="zh-CN"/>
        </w:rPr>
        <w:t>77</w:t>
      </w:r>
    </w:p>
    <w:p>
      <w:pPr>
        <w:keepNext w:val="0"/>
        <w:keepLines w:val="0"/>
        <w:pageBreakBefore w:val="0"/>
        <w:widowControl w:val="0"/>
        <w:tabs>
          <w:tab w:val="right" w:leader="middleDot" w:pos="7560"/>
        </w:tabs>
        <w:kinsoku/>
        <w:wordWrap/>
        <w:topLinePunct w:val="0"/>
        <w:autoSpaceDE/>
        <w:autoSpaceDN/>
        <w:bidi w:val="0"/>
        <w:adjustRightInd/>
        <w:snapToGrid/>
        <w:spacing w:after="0" w:line="460" w:lineRule="exact"/>
        <w:textAlignment w:val="auto"/>
        <w:outlineLvl w:val="0"/>
        <w:rPr>
          <w:rFonts w:hint="default" w:ascii="Times New Roman" w:hAnsi="Times New Roman" w:eastAsia="仿宋_GB2312" w:cs="Times New Roman"/>
          <w:color w:val="000000"/>
          <w:sz w:val="28"/>
          <w:szCs w:val="28"/>
          <w:shd w:val="clear" w:color="auto" w:fill="FFFFFF"/>
          <w:lang w:val="en-US" w:eastAsia="zh-CN"/>
        </w:rPr>
      </w:pPr>
      <w:bookmarkStart w:id="11" w:name="_Toc25221"/>
      <w:r>
        <w:rPr>
          <w:rFonts w:ascii="Times New Roman" w:hAnsi="Times New Roman" w:eastAsia="仿宋_GB2312" w:cs="Times New Roman"/>
          <w:color w:val="000000"/>
          <w:sz w:val="28"/>
          <w:szCs w:val="28"/>
          <w:shd w:val="clear" w:color="auto" w:fill="FFFFFF"/>
        </w:rPr>
        <w:t>11.</w:t>
      </w:r>
      <w:r>
        <w:rPr>
          <w:rFonts w:ascii="Times New Roman" w:hAnsi="仿宋_GB2312" w:eastAsia="仿宋_GB2312" w:cs="Times New Roman"/>
          <w:color w:val="000000"/>
          <w:sz w:val="28"/>
          <w:szCs w:val="28"/>
          <w:shd w:val="clear" w:color="auto" w:fill="FFFFFF"/>
        </w:rPr>
        <w:t>律师办理工伤劳动争议案件业务操作指引</w:t>
      </w:r>
      <w:r>
        <w:rPr>
          <w:rFonts w:ascii="Times New Roman" w:hAnsi="Times New Roman" w:eastAsia="仿宋_GB2312" w:cs="Times New Roman"/>
          <w:color w:val="000000"/>
          <w:sz w:val="28"/>
          <w:szCs w:val="28"/>
          <w:shd w:val="clear" w:color="auto" w:fill="FFFFFF"/>
        </w:rPr>
        <w:tab/>
      </w:r>
      <w:bookmarkEnd w:id="11"/>
      <w:r>
        <w:rPr>
          <w:rFonts w:hint="eastAsia" w:eastAsia="仿宋_GB2312" w:cs="Times New Roman"/>
          <w:color w:val="000000"/>
          <w:sz w:val="28"/>
          <w:szCs w:val="28"/>
          <w:shd w:val="clear" w:color="auto" w:fill="FFFFFF"/>
          <w:lang w:val="en-US" w:eastAsia="zh-CN"/>
        </w:rPr>
        <w:t>407</w:t>
      </w:r>
    </w:p>
    <w:p>
      <w:pPr>
        <w:keepNext w:val="0"/>
        <w:keepLines w:val="0"/>
        <w:pageBreakBefore w:val="0"/>
        <w:widowControl w:val="0"/>
        <w:tabs>
          <w:tab w:val="right" w:leader="middleDot" w:pos="7560"/>
        </w:tabs>
        <w:kinsoku/>
        <w:wordWrap/>
        <w:topLinePunct w:val="0"/>
        <w:autoSpaceDE/>
        <w:autoSpaceDN/>
        <w:bidi w:val="0"/>
        <w:adjustRightInd/>
        <w:snapToGrid/>
        <w:spacing w:after="0" w:line="460" w:lineRule="exact"/>
        <w:textAlignment w:val="auto"/>
        <w:outlineLvl w:val="0"/>
        <w:rPr>
          <w:rFonts w:hint="default" w:ascii="Times New Roman" w:hAnsi="Times New Roman" w:eastAsia="仿宋_GB2312" w:cs="Times New Roman"/>
          <w:color w:val="000000"/>
          <w:sz w:val="28"/>
          <w:szCs w:val="28"/>
          <w:shd w:val="clear" w:color="auto" w:fill="FFFFFF"/>
          <w:lang w:val="en-US" w:eastAsia="zh-CN"/>
        </w:rPr>
      </w:pPr>
      <w:bookmarkStart w:id="12" w:name="_Toc25130"/>
      <w:r>
        <w:rPr>
          <w:rFonts w:ascii="Times New Roman" w:hAnsi="Times New Roman" w:eastAsia="仿宋_GB2312" w:cs="Times New Roman"/>
          <w:color w:val="000000"/>
          <w:sz w:val="28"/>
          <w:szCs w:val="28"/>
          <w:shd w:val="clear" w:color="auto" w:fill="FFFFFF"/>
        </w:rPr>
        <w:t>12.</w:t>
      </w:r>
      <w:r>
        <w:rPr>
          <w:rFonts w:ascii="Times New Roman" w:hAnsi="仿宋_GB2312" w:eastAsia="仿宋_GB2312" w:cs="Times New Roman"/>
          <w:color w:val="000000"/>
          <w:sz w:val="28"/>
          <w:szCs w:val="28"/>
          <w:shd w:val="clear" w:color="auto" w:fill="FFFFFF"/>
        </w:rPr>
        <w:t>律师代理患方医疗损害责任纠纷案件业务操作指引</w:t>
      </w:r>
      <w:r>
        <w:rPr>
          <w:rFonts w:ascii="Times New Roman" w:hAnsi="Times New Roman" w:eastAsia="仿宋_GB2312" w:cs="Times New Roman"/>
          <w:color w:val="000000"/>
          <w:sz w:val="28"/>
          <w:szCs w:val="28"/>
          <w:shd w:val="clear" w:color="auto" w:fill="FFFFFF"/>
        </w:rPr>
        <w:tab/>
      </w:r>
      <w:bookmarkEnd w:id="12"/>
      <w:r>
        <w:rPr>
          <w:rFonts w:hint="eastAsia" w:eastAsia="仿宋_GB2312" w:cs="Times New Roman"/>
          <w:color w:val="000000"/>
          <w:sz w:val="28"/>
          <w:szCs w:val="28"/>
          <w:shd w:val="clear" w:color="auto" w:fill="FFFFFF"/>
          <w:lang w:val="en-US" w:eastAsia="zh-CN"/>
        </w:rPr>
        <w:t>465</w:t>
      </w:r>
    </w:p>
    <w:p>
      <w:pPr>
        <w:keepNext w:val="0"/>
        <w:keepLines w:val="0"/>
        <w:pageBreakBefore w:val="0"/>
        <w:widowControl w:val="0"/>
        <w:tabs>
          <w:tab w:val="right" w:leader="middleDot" w:pos="7560"/>
        </w:tabs>
        <w:kinsoku/>
        <w:wordWrap/>
        <w:topLinePunct w:val="0"/>
        <w:autoSpaceDE/>
        <w:autoSpaceDN/>
        <w:bidi w:val="0"/>
        <w:adjustRightInd/>
        <w:snapToGrid/>
        <w:spacing w:after="0" w:line="460" w:lineRule="exact"/>
        <w:textAlignment w:val="auto"/>
        <w:outlineLvl w:val="0"/>
        <w:rPr>
          <w:rFonts w:hint="default" w:ascii="Times New Roman" w:hAnsi="Times New Roman" w:eastAsia="仿宋_GB2312" w:cs="Times New Roman"/>
          <w:color w:val="000000"/>
          <w:sz w:val="28"/>
          <w:szCs w:val="28"/>
          <w:shd w:val="clear" w:color="auto" w:fill="FFFFFF"/>
          <w:lang w:val="en-US" w:eastAsia="zh-CN"/>
        </w:rPr>
      </w:pPr>
      <w:bookmarkStart w:id="13" w:name="_Toc4428"/>
      <w:r>
        <w:rPr>
          <w:rFonts w:ascii="Times New Roman" w:hAnsi="Times New Roman" w:eastAsia="仿宋_GB2312" w:cs="Times New Roman"/>
          <w:color w:val="000000"/>
          <w:sz w:val="28"/>
          <w:szCs w:val="28"/>
          <w:shd w:val="clear" w:color="auto" w:fill="FFFFFF"/>
        </w:rPr>
        <w:t>13.</w:t>
      </w:r>
      <w:r>
        <w:rPr>
          <w:rFonts w:ascii="Times New Roman" w:hAnsi="仿宋_GB2312" w:eastAsia="仿宋_GB2312" w:cs="Times New Roman"/>
          <w:color w:val="000000"/>
          <w:sz w:val="28"/>
          <w:szCs w:val="28"/>
          <w:shd w:val="clear" w:color="auto" w:fill="FFFFFF"/>
        </w:rPr>
        <w:t>律师代理环境民事公益诉讼业务操作指引</w:t>
      </w:r>
      <w:r>
        <w:rPr>
          <w:rFonts w:ascii="Times New Roman" w:hAnsi="Times New Roman" w:eastAsia="仿宋_GB2312" w:cs="Times New Roman"/>
          <w:color w:val="000000"/>
          <w:sz w:val="28"/>
          <w:szCs w:val="28"/>
          <w:shd w:val="clear" w:color="auto" w:fill="FFFFFF"/>
        </w:rPr>
        <w:tab/>
      </w:r>
      <w:r>
        <w:rPr>
          <w:rFonts w:hint="eastAsia" w:ascii="Times New Roman" w:hAnsi="Times New Roman" w:eastAsia="仿宋_GB2312" w:cs="Times New Roman"/>
          <w:color w:val="000000"/>
          <w:sz w:val="28"/>
          <w:szCs w:val="28"/>
          <w:shd w:val="clear" w:color="auto" w:fill="FFFFFF"/>
        </w:rPr>
        <w:t>4</w:t>
      </w:r>
      <w:bookmarkEnd w:id="13"/>
      <w:r>
        <w:rPr>
          <w:rFonts w:hint="eastAsia" w:eastAsia="仿宋_GB2312" w:cs="Times New Roman"/>
          <w:color w:val="000000"/>
          <w:sz w:val="28"/>
          <w:szCs w:val="28"/>
          <w:shd w:val="clear" w:color="auto" w:fill="FFFFFF"/>
          <w:lang w:val="en-US" w:eastAsia="zh-CN"/>
        </w:rPr>
        <w:t>85</w:t>
      </w:r>
    </w:p>
    <w:p>
      <w:pPr>
        <w:keepNext w:val="0"/>
        <w:keepLines w:val="0"/>
        <w:pageBreakBefore w:val="0"/>
        <w:widowControl w:val="0"/>
        <w:tabs>
          <w:tab w:val="right" w:leader="middleDot" w:pos="7560"/>
        </w:tabs>
        <w:kinsoku/>
        <w:wordWrap/>
        <w:overflowPunct w:val="0"/>
        <w:topLinePunct w:val="0"/>
        <w:autoSpaceDE/>
        <w:autoSpaceDN/>
        <w:bidi w:val="0"/>
        <w:adjustRightInd/>
        <w:snapToGrid/>
        <w:spacing w:after="0" w:line="460" w:lineRule="exact"/>
        <w:textAlignment w:val="auto"/>
        <w:outlineLvl w:val="0"/>
        <w:rPr>
          <w:rFonts w:hint="default" w:ascii="Times New Roman" w:hAnsi="Times New Roman" w:eastAsia="仿宋_GB2312" w:cs="Times New Roman"/>
          <w:color w:val="000000"/>
          <w:sz w:val="28"/>
          <w:szCs w:val="28"/>
          <w:shd w:val="clear" w:color="auto" w:fill="FFFFFF"/>
          <w:lang w:val="en-US" w:eastAsia="zh-CN"/>
        </w:rPr>
      </w:pPr>
      <w:bookmarkStart w:id="14" w:name="_Toc19489"/>
      <w:r>
        <w:rPr>
          <w:rFonts w:ascii="Times New Roman" w:hAnsi="Times New Roman" w:eastAsia="仿宋_GB2312" w:cs="Times New Roman"/>
          <w:color w:val="000000"/>
          <w:sz w:val="28"/>
          <w:szCs w:val="28"/>
          <w:shd w:val="clear" w:color="auto" w:fill="FFFFFF"/>
        </w:rPr>
        <w:t>14.</w:t>
      </w:r>
      <w:r>
        <w:rPr>
          <w:rFonts w:ascii="Times New Roman" w:hAnsi="仿宋_GB2312" w:eastAsia="仿宋_GB2312" w:cs="Times New Roman"/>
          <w:color w:val="000000"/>
          <w:sz w:val="28"/>
          <w:szCs w:val="28"/>
          <w:shd w:val="clear" w:color="auto" w:fill="FFFFFF"/>
        </w:rPr>
        <w:t>律师调解工作操作指引</w:t>
      </w:r>
      <w:r>
        <w:rPr>
          <w:rFonts w:ascii="Times New Roman" w:hAnsi="Times New Roman" w:eastAsia="仿宋_GB2312" w:cs="Times New Roman"/>
          <w:color w:val="000000"/>
          <w:sz w:val="28"/>
          <w:szCs w:val="28"/>
          <w:shd w:val="clear" w:color="auto" w:fill="FFFFFF"/>
        </w:rPr>
        <w:tab/>
      </w:r>
      <w:r>
        <w:rPr>
          <w:rFonts w:ascii="Times New Roman" w:hAnsi="Times New Roman" w:eastAsia="仿宋_GB2312" w:cs="Times New Roman"/>
          <w:color w:val="000000"/>
          <w:sz w:val="28"/>
          <w:szCs w:val="28"/>
          <w:shd w:val="clear" w:color="auto" w:fill="FFFFFF"/>
        </w:rPr>
        <w:t>4</w:t>
      </w:r>
      <w:bookmarkEnd w:id="14"/>
      <w:r>
        <w:rPr>
          <w:rFonts w:hint="eastAsia" w:eastAsia="仿宋_GB2312" w:cs="Times New Roman"/>
          <w:color w:val="000000"/>
          <w:sz w:val="28"/>
          <w:szCs w:val="28"/>
          <w:shd w:val="clear" w:color="auto" w:fill="FFFFFF"/>
          <w:lang w:val="en-US" w:eastAsia="zh-CN"/>
        </w:rPr>
        <w:t>99</w:t>
      </w:r>
    </w:p>
    <w:p>
      <w:pPr>
        <w:keepNext w:val="0"/>
        <w:keepLines w:val="0"/>
        <w:pageBreakBefore w:val="0"/>
        <w:widowControl w:val="0"/>
        <w:tabs>
          <w:tab w:val="right" w:leader="middleDot" w:pos="7560"/>
        </w:tabs>
        <w:kinsoku/>
        <w:wordWrap/>
        <w:overflowPunct w:val="0"/>
        <w:topLinePunct w:val="0"/>
        <w:autoSpaceDE/>
        <w:autoSpaceDN/>
        <w:bidi w:val="0"/>
        <w:adjustRightInd/>
        <w:snapToGrid/>
        <w:spacing w:after="0" w:line="460" w:lineRule="exact"/>
        <w:textAlignment w:val="auto"/>
        <w:outlineLvl w:val="0"/>
        <w:rPr>
          <w:rFonts w:hint="eastAsia" w:eastAsia="仿宋_GB2312" w:cs="Times New Roman"/>
          <w:color w:val="000000"/>
          <w:sz w:val="28"/>
          <w:szCs w:val="28"/>
          <w:shd w:val="clear" w:color="auto" w:fill="FFFFFF"/>
          <w:lang w:val="en-US" w:eastAsia="zh-CN"/>
        </w:rPr>
      </w:pPr>
      <w:bookmarkStart w:id="15" w:name="_Toc2981"/>
      <w:r>
        <w:rPr>
          <w:rFonts w:ascii="Times New Roman" w:hAnsi="Times New Roman" w:eastAsia="仿宋_GB2312" w:cs="Times New Roman"/>
          <w:color w:val="000000"/>
          <w:sz w:val="28"/>
          <w:szCs w:val="28"/>
          <w:shd w:val="clear" w:color="auto" w:fill="FFFFFF"/>
        </w:rPr>
        <w:t>15.</w:t>
      </w:r>
      <w:r>
        <w:rPr>
          <w:rFonts w:ascii="Times New Roman" w:hAnsi="仿宋_GB2312" w:eastAsia="仿宋_GB2312" w:cs="Times New Roman"/>
          <w:color w:val="000000"/>
          <w:sz w:val="28"/>
          <w:szCs w:val="28"/>
          <w:shd w:val="clear" w:color="auto" w:fill="FFFFFF"/>
        </w:rPr>
        <w:t>法律援助值班律师工作业务操作指引</w:t>
      </w:r>
      <w:r>
        <w:rPr>
          <w:rFonts w:ascii="Times New Roman" w:hAnsi="Times New Roman" w:eastAsia="仿宋_GB2312" w:cs="Times New Roman"/>
          <w:color w:val="000000"/>
          <w:sz w:val="28"/>
          <w:szCs w:val="28"/>
          <w:shd w:val="clear" w:color="auto" w:fill="FFFFFF"/>
        </w:rPr>
        <w:tab/>
      </w:r>
      <w:bookmarkEnd w:id="15"/>
      <w:bookmarkStart w:id="16" w:name="_Toc25350"/>
      <w:r>
        <w:rPr>
          <w:rFonts w:hint="eastAsia" w:eastAsia="仿宋_GB2312" w:cs="Times New Roman"/>
          <w:color w:val="000000"/>
          <w:sz w:val="28"/>
          <w:szCs w:val="28"/>
          <w:shd w:val="clear" w:color="auto" w:fill="FFFFFF"/>
          <w:lang w:val="en-US" w:eastAsia="zh-CN"/>
        </w:rPr>
        <w:t>525</w:t>
      </w:r>
    </w:p>
    <w:p>
      <w:pPr>
        <w:keepNext w:val="0"/>
        <w:keepLines w:val="0"/>
        <w:pageBreakBefore w:val="0"/>
        <w:widowControl w:val="0"/>
        <w:tabs>
          <w:tab w:val="right" w:leader="middleDot" w:pos="7560"/>
        </w:tabs>
        <w:kinsoku/>
        <w:wordWrap/>
        <w:overflowPunct w:val="0"/>
        <w:topLinePunct w:val="0"/>
        <w:autoSpaceDE/>
        <w:autoSpaceDN/>
        <w:bidi w:val="0"/>
        <w:adjustRightInd/>
        <w:snapToGrid/>
        <w:spacing w:after="0" w:line="460" w:lineRule="exact"/>
        <w:textAlignment w:val="auto"/>
        <w:outlineLvl w:val="0"/>
        <w:rPr>
          <w:rFonts w:hint="default" w:ascii="Times New Roman" w:hAnsi="Times New Roman" w:eastAsia="仿宋_GB2312" w:cs="Times New Roman"/>
          <w:color w:val="000000"/>
          <w:sz w:val="28"/>
          <w:szCs w:val="28"/>
          <w:shd w:val="clear" w:color="auto" w:fill="FFFFFF"/>
          <w:lang w:val="en-US" w:eastAsia="zh-CN"/>
        </w:rPr>
      </w:pPr>
      <w:r>
        <w:rPr>
          <w:rFonts w:ascii="Times New Roman" w:hAnsi="Times New Roman" w:eastAsia="仿宋_GB2312" w:cs="Times New Roman"/>
          <w:color w:val="000000"/>
          <w:sz w:val="28"/>
          <w:szCs w:val="28"/>
          <w:shd w:val="clear" w:color="auto" w:fill="FFFFFF"/>
        </w:rPr>
        <w:t>16.</w:t>
      </w:r>
      <w:r>
        <w:rPr>
          <w:rFonts w:ascii="Times New Roman" w:hAnsi="仿宋_GB2312" w:eastAsia="仿宋_GB2312" w:cs="Times New Roman"/>
          <w:color w:val="000000"/>
          <w:sz w:val="28"/>
          <w:szCs w:val="28"/>
          <w:shd w:val="clear" w:color="auto" w:fill="FFFFFF"/>
        </w:rPr>
        <w:t>企业数据合规律师业务操作指引</w:t>
      </w:r>
      <w:r>
        <w:rPr>
          <w:rFonts w:ascii="Times New Roman" w:hAnsi="Times New Roman" w:eastAsia="仿宋_GB2312" w:cs="Times New Roman"/>
          <w:color w:val="000000"/>
          <w:sz w:val="28"/>
          <w:szCs w:val="28"/>
          <w:shd w:val="clear" w:color="auto" w:fill="FFFFFF"/>
        </w:rPr>
        <w:tab/>
      </w:r>
      <w:r>
        <w:rPr>
          <w:rFonts w:hint="eastAsia" w:ascii="Times New Roman" w:hAnsi="Times New Roman" w:eastAsia="仿宋_GB2312" w:cs="Times New Roman"/>
          <w:color w:val="000000"/>
          <w:sz w:val="28"/>
          <w:szCs w:val="28"/>
          <w:shd w:val="clear" w:color="auto" w:fill="FFFFFF"/>
        </w:rPr>
        <w:t>5</w:t>
      </w:r>
      <w:bookmarkEnd w:id="16"/>
      <w:r>
        <w:rPr>
          <w:rFonts w:hint="eastAsia" w:eastAsia="仿宋_GB2312" w:cs="Times New Roman"/>
          <w:color w:val="000000"/>
          <w:sz w:val="28"/>
          <w:szCs w:val="28"/>
          <w:shd w:val="clear" w:color="auto" w:fill="FFFFFF"/>
          <w:lang w:val="en-US" w:eastAsia="zh-CN"/>
        </w:rPr>
        <w:t>39</w:t>
      </w:r>
    </w:p>
    <w:p>
      <w:pPr>
        <w:keepNext w:val="0"/>
        <w:keepLines w:val="0"/>
        <w:pageBreakBefore w:val="0"/>
        <w:widowControl w:val="0"/>
        <w:tabs>
          <w:tab w:val="right" w:leader="middleDot" w:pos="7560"/>
        </w:tabs>
        <w:kinsoku/>
        <w:wordWrap/>
        <w:topLinePunct w:val="0"/>
        <w:autoSpaceDE/>
        <w:autoSpaceDN/>
        <w:bidi w:val="0"/>
        <w:adjustRightInd/>
        <w:snapToGrid/>
        <w:spacing w:after="0" w:line="460" w:lineRule="exact"/>
        <w:textAlignment w:val="auto"/>
        <w:outlineLvl w:val="0"/>
        <w:rPr>
          <w:rFonts w:hint="eastAsia" w:ascii="Times New Roman" w:hAnsi="Times New Roman" w:eastAsia="仿宋_GB2312" w:cs="Times New Roman"/>
          <w:color w:val="000000"/>
          <w:sz w:val="28"/>
          <w:szCs w:val="28"/>
          <w:shd w:val="clear" w:color="auto" w:fill="FFFFFF"/>
          <w:lang w:eastAsia="zh-CN"/>
        </w:rPr>
      </w:pPr>
      <w:bookmarkStart w:id="17" w:name="_Toc10569"/>
      <w:r>
        <w:rPr>
          <w:rFonts w:ascii="Times New Roman" w:hAnsi="Times New Roman" w:eastAsia="仿宋_GB2312" w:cs="Times New Roman"/>
          <w:color w:val="000000"/>
          <w:sz w:val="28"/>
          <w:szCs w:val="28"/>
          <w:shd w:val="clear" w:color="auto" w:fill="FFFFFF"/>
        </w:rPr>
        <w:t>17.</w:t>
      </w:r>
      <w:r>
        <w:rPr>
          <w:rFonts w:ascii="Times New Roman" w:hAnsi="仿宋_GB2312" w:eastAsia="仿宋_GB2312" w:cs="Times New Roman"/>
          <w:color w:val="000000"/>
          <w:sz w:val="28"/>
          <w:szCs w:val="28"/>
          <w:shd w:val="clear" w:color="auto" w:fill="FFFFFF"/>
        </w:rPr>
        <w:t>律师涉农法律业务操作指引</w:t>
      </w:r>
      <w:r>
        <w:rPr>
          <w:rFonts w:ascii="Times New Roman" w:hAnsi="Times New Roman" w:eastAsia="仿宋_GB2312" w:cs="Times New Roman"/>
          <w:color w:val="000000"/>
          <w:sz w:val="28"/>
          <w:szCs w:val="28"/>
          <w:shd w:val="clear" w:color="auto" w:fill="FFFFFF"/>
        </w:rPr>
        <w:tab/>
      </w:r>
      <w:r>
        <w:rPr>
          <w:rFonts w:ascii="Times New Roman" w:hAnsi="Times New Roman" w:eastAsia="仿宋_GB2312" w:cs="Times New Roman"/>
          <w:color w:val="000000"/>
          <w:sz w:val="28"/>
          <w:szCs w:val="28"/>
          <w:shd w:val="clear" w:color="auto" w:fill="FFFFFF"/>
        </w:rPr>
        <w:t>5</w:t>
      </w:r>
      <w:r>
        <w:rPr>
          <w:rFonts w:hint="eastAsia" w:eastAsia="仿宋_GB2312" w:cs="Times New Roman"/>
          <w:color w:val="000000"/>
          <w:sz w:val="28"/>
          <w:szCs w:val="28"/>
          <w:shd w:val="clear" w:color="auto" w:fill="FFFFFF"/>
          <w:lang w:val="en-US" w:eastAsia="zh-CN"/>
        </w:rPr>
        <w:t>6</w:t>
      </w:r>
      <w:r>
        <w:rPr>
          <w:rFonts w:hint="eastAsia" w:ascii="Times New Roman" w:hAnsi="Times New Roman" w:eastAsia="仿宋_GB2312" w:cs="Times New Roman"/>
          <w:color w:val="000000"/>
          <w:sz w:val="28"/>
          <w:szCs w:val="28"/>
          <w:shd w:val="clear" w:color="auto" w:fill="FFFFFF"/>
          <w:lang w:val="en-US" w:eastAsia="zh-CN"/>
        </w:rPr>
        <w:t>5</w:t>
      </w:r>
      <w:bookmarkEnd w:id="17"/>
    </w:p>
    <w:p>
      <w:pPr>
        <w:keepNext w:val="0"/>
        <w:keepLines w:val="0"/>
        <w:pageBreakBefore w:val="0"/>
        <w:widowControl w:val="0"/>
        <w:tabs>
          <w:tab w:val="right" w:leader="middleDot" w:pos="7560"/>
        </w:tabs>
        <w:kinsoku/>
        <w:wordWrap/>
        <w:topLinePunct w:val="0"/>
        <w:autoSpaceDE/>
        <w:autoSpaceDN/>
        <w:bidi w:val="0"/>
        <w:adjustRightInd/>
        <w:snapToGrid/>
        <w:spacing w:after="0" w:line="460" w:lineRule="exact"/>
        <w:textAlignment w:val="auto"/>
        <w:outlineLvl w:val="0"/>
        <w:rPr>
          <w:rFonts w:hint="default" w:ascii="Times New Roman" w:hAnsi="Times New Roman" w:eastAsia="仿宋_GB2312" w:cs="Times New Roman"/>
          <w:color w:val="000000"/>
          <w:sz w:val="28"/>
          <w:szCs w:val="28"/>
          <w:shd w:val="clear" w:color="auto" w:fill="FFFFFF"/>
          <w:lang w:val="en-US" w:eastAsia="zh-CN"/>
        </w:rPr>
      </w:pPr>
      <w:bookmarkStart w:id="18" w:name="_Toc1725"/>
      <w:r>
        <w:rPr>
          <w:rFonts w:ascii="Times New Roman" w:hAnsi="Times New Roman" w:eastAsia="仿宋_GB2312" w:cs="Times New Roman"/>
          <w:color w:val="000000"/>
          <w:sz w:val="28"/>
          <w:szCs w:val="28"/>
          <w:shd w:val="clear" w:color="auto" w:fill="FFFFFF"/>
        </w:rPr>
        <w:t>18.</w:t>
      </w:r>
      <w:r>
        <w:rPr>
          <w:rFonts w:ascii="Times New Roman" w:hAnsi="Times New Roman" w:eastAsia="仿宋_GB2312" w:cs="Times New Roman"/>
          <w:color w:val="000000"/>
          <w:sz w:val="28"/>
          <w:szCs w:val="28"/>
          <w:shd w:val="clear" w:color="auto" w:fill="FFFFFF"/>
        </w:rPr>
        <w:fldChar w:fldCharType="begin"/>
      </w:r>
      <w:r>
        <w:rPr>
          <w:rFonts w:ascii="Times New Roman" w:hAnsi="Times New Roman" w:eastAsia="仿宋_GB2312" w:cs="Times New Roman"/>
          <w:color w:val="000000"/>
          <w:sz w:val="28"/>
          <w:szCs w:val="28"/>
          <w:shd w:val="clear" w:color="auto" w:fill="FFFFFF"/>
        </w:rPr>
        <w:instrText xml:space="preserve"> HYPERLINK "https://alphalawyer.cn/ilawregu-search/api/v1/lawregu/redict/84ca8810a19405aa8688c49eebfeb635" </w:instrText>
      </w:r>
      <w:r>
        <w:rPr>
          <w:rFonts w:ascii="Times New Roman" w:hAnsi="Times New Roman" w:eastAsia="仿宋_GB2312" w:cs="Times New Roman"/>
          <w:color w:val="000000"/>
          <w:sz w:val="28"/>
          <w:szCs w:val="28"/>
          <w:shd w:val="clear" w:color="auto" w:fill="FFFFFF"/>
        </w:rPr>
        <w:fldChar w:fldCharType="separate"/>
      </w:r>
      <w:r>
        <w:rPr>
          <w:rFonts w:ascii="Times New Roman" w:hAnsi="仿宋_GB2312" w:eastAsia="仿宋_GB2312" w:cs="Times New Roman"/>
          <w:color w:val="000000"/>
          <w:sz w:val="28"/>
          <w:szCs w:val="28"/>
          <w:shd w:val="clear" w:color="auto" w:fill="FFFFFF"/>
        </w:rPr>
        <w:t>破产案件管理人团队建设及管理操作指引</w:t>
      </w:r>
      <w:r>
        <w:rPr>
          <w:rFonts w:ascii="Times New Roman" w:hAnsi="Times New Roman" w:eastAsia="仿宋_GB2312" w:cs="Times New Roman"/>
          <w:color w:val="000000"/>
          <w:sz w:val="28"/>
          <w:szCs w:val="28"/>
          <w:shd w:val="clear" w:color="auto" w:fill="FFFFFF"/>
        </w:rPr>
        <w:fldChar w:fldCharType="end"/>
      </w:r>
      <w:r>
        <w:rPr>
          <w:rFonts w:ascii="Times New Roman" w:hAnsi="Times New Roman" w:eastAsia="仿宋_GB2312" w:cs="Times New Roman"/>
          <w:color w:val="000000"/>
          <w:sz w:val="28"/>
          <w:szCs w:val="28"/>
          <w:shd w:val="clear" w:color="auto" w:fill="FFFFFF"/>
        </w:rPr>
        <w:tab/>
      </w:r>
      <w:r>
        <w:rPr>
          <w:rFonts w:ascii="Times New Roman" w:hAnsi="Times New Roman" w:eastAsia="仿宋_GB2312" w:cs="Times New Roman"/>
          <w:color w:val="000000"/>
          <w:sz w:val="28"/>
          <w:szCs w:val="28"/>
          <w:shd w:val="clear" w:color="auto" w:fill="FFFFFF"/>
        </w:rPr>
        <w:t>6</w:t>
      </w:r>
      <w:bookmarkEnd w:id="18"/>
      <w:r>
        <w:rPr>
          <w:rFonts w:hint="eastAsia" w:eastAsia="仿宋_GB2312" w:cs="Times New Roman"/>
          <w:color w:val="000000"/>
          <w:sz w:val="28"/>
          <w:szCs w:val="28"/>
          <w:shd w:val="clear" w:color="auto" w:fill="FFFFFF"/>
          <w:lang w:val="en-US" w:eastAsia="zh-CN"/>
        </w:rPr>
        <w:t>73</w:t>
      </w:r>
    </w:p>
    <w:p>
      <w:pPr>
        <w:keepNext w:val="0"/>
        <w:keepLines w:val="0"/>
        <w:pageBreakBefore w:val="0"/>
        <w:widowControl w:val="0"/>
        <w:tabs>
          <w:tab w:val="right" w:leader="middleDot" w:pos="7560"/>
        </w:tabs>
        <w:kinsoku/>
        <w:wordWrap/>
        <w:topLinePunct w:val="0"/>
        <w:autoSpaceDE/>
        <w:autoSpaceDN/>
        <w:bidi w:val="0"/>
        <w:adjustRightInd/>
        <w:snapToGrid/>
        <w:spacing w:after="0" w:line="460" w:lineRule="exact"/>
        <w:textAlignment w:val="auto"/>
        <w:outlineLvl w:val="0"/>
        <w:rPr>
          <w:rFonts w:hint="default" w:ascii="Times New Roman" w:hAnsi="Times New Roman" w:eastAsia="仿宋_GB2312" w:cs="Times New Roman"/>
          <w:color w:val="000000"/>
          <w:sz w:val="28"/>
          <w:szCs w:val="28"/>
          <w:shd w:val="clear" w:color="auto" w:fill="FFFFFF"/>
          <w:lang w:val="en-US" w:eastAsia="zh-CN"/>
        </w:rPr>
      </w:pPr>
      <w:bookmarkStart w:id="19" w:name="_Toc23900"/>
      <w:r>
        <w:rPr>
          <w:rFonts w:ascii="Times New Roman" w:hAnsi="Times New Roman" w:eastAsia="仿宋_GB2312" w:cs="Times New Roman"/>
          <w:color w:val="000000"/>
          <w:sz w:val="28"/>
          <w:szCs w:val="28"/>
          <w:shd w:val="clear" w:color="auto" w:fill="FFFFFF"/>
        </w:rPr>
        <w:t>19.</w:t>
      </w:r>
      <w:r>
        <w:rPr>
          <w:rFonts w:ascii="Times New Roman" w:hAnsi="仿宋_GB2312" w:eastAsia="仿宋_GB2312" w:cs="Times New Roman"/>
          <w:color w:val="000000"/>
          <w:sz w:val="28"/>
          <w:szCs w:val="28"/>
          <w:shd w:val="clear" w:color="auto" w:fill="FFFFFF"/>
        </w:rPr>
        <w:t>律师参与公司自行清算业务操作指引</w:t>
      </w:r>
      <w:r>
        <w:rPr>
          <w:rFonts w:ascii="Times New Roman" w:hAnsi="Times New Roman" w:eastAsia="仿宋_GB2312" w:cs="Times New Roman"/>
          <w:color w:val="000000"/>
          <w:sz w:val="28"/>
          <w:szCs w:val="28"/>
          <w:shd w:val="clear" w:color="auto" w:fill="FFFFFF"/>
        </w:rPr>
        <w:tab/>
      </w:r>
      <w:r>
        <w:rPr>
          <w:rFonts w:ascii="Times New Roman" w:hAnsi="Times New Roman" w:eastAsia="仿宋_GB2312" w:cs="Times New Roman"/>
          <w:color w:val="000000"/>
          <w:sz w:val="28"/>
          <w:szCs w:val="28"/>
          <w:shd w:val="clear" w:color="auto" w:fill="FFFFFF"/>
        </w:rPr>
        <w:t>6</w:t>
      </w:r>
      <w:bookmarkEnd w:id="19"/>
      <w:r>
        <w:rPr>
          <w:rFonts w:hint="eastAsia" w:eastAsia="仿宋_GB2312" w:cs="Times New Roman"/>
          <w:color w:val="000000"/>
          <w:sz w:val="28"/>
          <w:szCs w:val="28"/>
          <w:shd w:val="clear" w:color="auto" w:fill="FFFFFF"/>
          <w:lang w:val="en-US" w:eastAsia="zh-CN"/>
        </w:rPr>
        <w:t>85</w:t>
      </w:r>
    </w:p>
    <w:p>
      <w:pPr>
        <w:keepNext w:val="0"/>
        <w:keepLines w:val="0"/>
        <w:pageBreakBefore w:val="0"/>
        <w:widowControl w:val="0"/>
        <w:tabs>
          <w:tab w:val="right" w:leader="middleDot" w:pos="7560"/>
        </w:tabs>
        <w:kinsoku/>
        <w:wordWrap/>
        <w:topLinePunct w:val="0"/>
        <w:autoSpaceDE/>
        <w:autoSpaceDN/>
        <w:bidi w:val="0"/>
        <w:adjustRightInd/>
        <w:snapToGrid/>
        <w:spacing w:after="0" w:line="460" w:lineRule="exact"/>
        <w:textAlignment w:val="auto"/>
        <w:outlineLvl w:val="0"/>
        <w:rPr>
          <w:rFonts w:hint="default" w:ascii="Times New Roman" w:hAnsi="Times New Roman" w:eastAsia="仿宋_GB2312" w:cs="Times New Roman"/>
          <w:color w:val="000000"/>
          <w:sz w:val="28"/>
          <w:szCs w:val="28"/>
          <w:shd w:val="clear" w:color="auto" w:fill="FFFFFF"/>
          <w:lang w:val="en-US" w:eastAsia="zh-CN"/>
        </w:rPr>
      </w:pPr>
      <w:bookmarkStart w:id="20" w:name="_Toc19837"/>
      <w:r>
        <w:rPr>
          <w:rFonts w:ascii="Times New Roman" w:hAnsi="Times New Roman" w:eastAsia="仿宋_GB2312" w:cs="Times New Roman"/>
          <w:color w:val="000000"/>
          <w:sz w:val="28"/>
          <w:szCs w:val="28"/>
          <w:shd w:val="clear" w:color="auto" w:fill="FFFFFF"/>
        </w:rPr>
        <w:t>20.</w:t>
      </w:r>
      <w:r>
        <w:rPr>
          <w:rFonts w:ascii="Times New Roman" w:hAnsi="仿宋_GB2312" w:eastAsia="仿宋_GB2312" w:cs="Times New Roman"/>
          <w:color w:val="000000"/>
          <w:sz w:val="28"/>
          <w:szCs w:val="28"/>
          <w:shd w:val="clear" w:color="auto" w:fill="FFFFFF"/>
        </w:rPr>
        <w:t>破产管理人债权审核业务操作指引</w:t>
      </w:r>
      <w:r>
        <w:rPr>
          <w:rFonts w:ascii="Times New Roman" w:hAnsi="Times New Roman" w:eastAsia="仿宋_GB2312" w:cs="Times New Roman"/>
          <w:color w:val="000000"/>
          <w:sz w:val="28"/>
          <w:szCs w:val="28"/>
          <w:shd w:val="clear" w:color="auto" w:fill="FFFFFF"/>
        </w:rPr>
        <w:tab/>
      </w:r>
      <w:bookmarkEnd w:id="20"/>
      <w:r>
        <w:rPr>
          <w:rFonts w:hint="eastAsia" w:eastAsia="仿宋_GB2312" w:cs="Times New Roman"/>
          <w:color w:val="000000"/>
          <w:sz w:val="28"/>
          <w:szCs w:val="28"/>
          <w:shd w:val="clear" w:color="auto" w:fill="FFFFFF"/>
          <w:lang w:val="en-US" w:eastAsia="zh-CN"/>
        </w:rPr>
        <w:t>705</w:t>
      </w:r>
    </w:p>
    <w:p>
      <w:pPr>
        <w:keepNext w:val="0"/>
        <w:keepLines w:val="0"/>
        <w:pageBreakBefore w:val="0"/>
        <w:widowControl w:val="0"/>
        <w:kinsoku/>
        <w:wordWrap/>
        <w:topLinePunct w:val="0"/>
        <w:autoSpaceDE/>
        <w:autoSpaceDN/>
        <w:bidi w:val="0"/>
        <w:adjustRightInd/>
        <w:snapToGrid/>
        <w:spacing w:after="0" w:line="500" w:lineRule="exact"/>
        <w:textAlignment w:val="auto"/>
        <w:rPr>
          <w:rFonts w:ascii="Times New Roman" w:hAnsi="Times New Roman" w:eastAsia="仿宋_GB2312" w:cs="Times New Roman"/>
          <w:color w:val="000000"/>
          <w:sz w:val="28"/>
          <w:szCs w:val="28"/>
          <w:shd w:val="clear" w:color="auto" w:fill="FFFFFF"/>
        </w:rPr>
        <w:sectPr>
          <w:headerReference r:id="rId4" w:type="default"/>
          <w:footerReference r:id="rId5" w:type="default"/>
          <w:footerReference r:id="rId6" w:type="even"/>
          <w:pgSz w:w="9638" w:h="13606"/>
          <w:pgMar w:top="1701" w:right="1304" w:bottom="1531" w:left="1304" w:header="850" w:footer="1247" w:gutter="0"/>
          <w:pgBorders>
            <w:top w:val="none" w:sz="0" w:space="0"/>
            <w:left w:val="none" w:sz="0" w:space="0"/>
            <w:bottom w:val="none" w:sz="0" w:space="0"/>
            <w:right w:val="none" w:sz="0" w:space="0"/>
          </w:pgBorders>
          <w:pgNumType w:fmt="decimal"/>
          <w:cols w:space="720" w:num="1"/>
          <w:rtlGutter w:val="0"/>
          <w:docGrid w:type="lines" w:linePitch="312" w:charSpace="0"/>
        </w:sectPr>
      </w:pPr>
      <w:r>
        <w:rPr>
          <w:rFonts w:ascii="Times New Roman" w:hAnsi="Times New Roman" w:eastAsia="仿宋_GB2312" w:cs="Times New Roman"/>
          <w:color w:val="000000"/>
          <w:sz w:val="28"/>
          <w:szCs w:val="28"/>
          <w:shd w:val="clear" w:color="auto" w:fill="FFFFFF"/>
        </w:rPr>
        <w:br w:type="page"/>
      </w:r>
    </w:p>
    <w:p>
      <w:pPr>
        <w:keepNext w:val="0"/>
        <w:keepLines w:val="0"/>
        <w:pageBreakBefore w:val="0"/>
        <w:widowControl w:val="0"/>
        <w:wordWrap/>
        <w:bidi w:val="0"/>
        <w:spacing w:after="0" w:line="640" w:lineRule="exact"/>
        <w:rPr>
          <w:rFonts w:hint="eastAsia" w:ascii="仿宋_GB2312" w:hAnsi="仿宋_GB2312" w:eastAsia="仿宋_GB2312" w:cs="仿宋_GB2312"/>
          <w:color w:val="000000"/>
          <w:sz w:val="28"/>
          <w:szCs w:val="28"/>
          <w:shd w:val="clear" w:color="auto" w:fill="FFFFFF"/>
        </w:rPr>
      </w:pPr>
    </w:p>
    <w:p>
      <w:pPr>
        <w:keepNext w:val="0"/>
        <w:keepLines w:val="0"/>
        <w:pageBreakBefore w:val="0"/>
        <w:widowControl w:val="0"/>
        <w:wordWrap/>
        <w:bidi w:val="0"/>
        <w:spacing w:after="0" w:line="640" w:lineRule="exact"/>
        <w:jc w:val="center"/>
        <w:rPr>
          <w:rFonts w:hint="eastAsia" w:ascii="方正小标宋简体" w:hAnsi="方正小标宋简体" w:eastAsia="方正小标宋简体" w:cs="方正小标宋简体"/>
          <w:color w:val="000000"/>
          <w:sz w:val="40"/>
          <w:szCs w:val="40"/>
          <w:shd w:val="clear" w:color="auto" w:fill="FFFFFF"/>
        </w:rPr>
      </w:pPr>
    </w:p>
    <w:p>
      <w:pPr>
        <w:keepNext w:val="0"/>
        <w:keepLines w:val="0"/>
        <w:pageBreakBefore w:val="0"/>
        <w:widowControl w:val="0"/>
        <w:wordWrap/>
        <w:bidi w:val="0"/>
        <w:spacing w:after="0" w:line="640" w:lineRule="exact"/>
        <w:jc w:val="center"/>
        <w:rPr>
          <w:rFonts w:hint="eastAsia" w:ascii="方正小标宋简体" w:hAnsi="方正小标宋简体" w:eastAsia="方正小标宋简体" w:cs="方正小标宋简体"/>
          <w:color w:val="000000"/>
          <w:sz w:val="40"/>
          <w:szCs w:val="40"/>
          <w:shd w:val="clear" w:color="auto" w:fill="FFFFFF"/>
        </w:rPr>
      </w:pPr>
    </w:p>
    <w:p>
      <w:pPr>
        <w:keepNext w:val="0"/>
        <w:keepLines w:val="0"/>
        <w:pageBreakBefore w:val="0"/>
        <w:widowControl w:val="0"/>
        <w:wordWrap/>
        <w:bidi w:val="0"/>
        <w:spacing w:after="0" w:line="640" w:lineRule="exact"/>
        <w:jc w:val="center"/>
        <w:rPr>
          <w:rFonts w:hint="eastAsia" w:ascii="方正小标宋简体" w:hAnsi="方正小标宋简体" w:eastAsia="方正小标宋简体" w:cs="方正小标宋简体"/>
          <w:color w:val="000000"/>
          <w:sz w:val="40"/>
          <w:szCs w:val="40"/>
          <w:shd w:val="clear" w:color="auto" w:fill="FFFFFF"/>
        </w:rPr>
      </w:pPr>
    </w:p>
    <w:p>
      <w:pPr>
        <w:keepNext w:val="0"/>
        <w:keepLines w:val="0"/>
        <w:pageBreakBefore w:val="0"/>
        <w:widowControl w:val="0"/>
        <w:wordWrap/>
        <w:bidi w:val="0"/>
        <w:spacing w:after="0"/>
        <w:jc w:val="center"/>
        <w:outlineLvl w:val="0"/>
        <w:rPr>
          <w:rFonts w:hint="eastAsia" w:ascii="方正小标宋简体" w:hAnsi="方正小标宋简体" w:eastAsia="方正小标宋简体" w:cs="方正小标宋简体"/>
          <w:color w:val="000000"/>
          <w:sz w:val="48"/>
          <w:szCs w:val="48"/>
          <w:shd w:val="clear" w:color="auto" w:fill="FFFFFF"/>
        </w:rPr>
      </w:pPr>
      <w:bookmarkStart w:id="21" w:name="_Toc7762"/>
    </w:p>
    <w:p>
      <w:pPr>
        <w:keepNext w:val="0"/>
        <w:keepLines w:val="0"/>
        <w:pageBreakBefore w:val="0"/>
        <w:widowControl w:val="0"/>
        <w:wordWrap/>
        <w:bidi w:val="0"/>
        <w:spacing w:after="0"/>
        <w:jc w:val="center"/>
        <w:outlineLvl w:val="0"/>
        <w:rPr>
          <w:rFonts w:hint="eastAsia" w:ascii="方正小标宋简体" w:hAnsi="方正小标宋简体" w:eastAsia="方正小标宋简体" w:cs="方正小标宋简体"/>
          <w:color w:val="000000"/>
          <w:sz w:val="48"/>
          <w:szCs w:val="48"/>
          <w:shd w:val="clear" w:color="auto" w:fill="FFFFFF"/>
        </w:rPr>
      </w:pPr>
      <w:r>
        <w:rPr>
          <w:rFonts w:hint="eastAsia" w:ascii="方正小标宋简体" w:hAnsi="方正小标宋简体" w:eastAsia="方正小标宋简体" w:cs="方正小标宋简体"/>
          <w:color w:val="000000"/>
          <w:sz w:val="48"/>
          <w:szCs w:val="48"/>
          <w:shd w:val="clear" w:color="auto" w:fill="FFFFFF"/>
        </w:rPr>
        <w:t>律师办理认罪认罚从宽案件</w:t>
      </w:r>
      <w:bookmarkEnd w:id="21"/>
    </w:p>
    <w:p>
      <w:pPr>
        <w:keepNext w:val="0"/>
        <w:keepLines w:val="0"/>
        <w:pageBreakBefore w:val="0"/>
        <w:widowControl w:val="0"/>
        <w:wordWrap/>
        <w:bidi w:val="0"/>
        <w:spacing w:after="0"/>
        <w:jc w:val="center"/>
        <w:outlineLvl w:val="0"/>
        <w:rPr>
          <w:rFonts w:hint="eastAsia" w:ascii="方正小标宋简体" w:hAnsi="方正小标宋简体" w:eastAsia="方正小标宋简体" w:cs="方正小标宋简体"/>
          <w:color w:val="000000"/>
          <w:sz w:val="48"/>
          <w:szCs w:val="48"/>
          <w:shd w:val="clear" w:color="auto" w:fill="FFFFFF"/>
        </w:rPr>
      </w:pPr>
      <w:bookmarkStart w:id="22" w:name="_Toc4253"/>
      <w:r>
        <w:rPr>
          <w:rFonts w:hint="eastAsia" w:ascii="方正小标宋简体" w:hAnsi="方正小标宋简体" w:eastAsia="方正小标宋简体" w:cs="方正小标宋简体"/>
          <w:color w:val="000000"/>
          <w:sz w:val="48"/>
          <w:szCs w:val="48"/>
          <w:shd w:val="clear" w:color="auto" w:fill="FFFFFF"/>
        </w:rPr>
        <w:t>业务操作指引</w:t>
      </w:r>
      <w:bookmarkEnd w:id="22"/>
    </w:p>
    <w:p>
      <w:pPr>
        <w:keepNext w:val="0"/>
        <w:keepLines w:val="0"/>
        <w:pageBreakBefore w:val="0"/>
        <w:widowControl w:val="0"/>
        <w:wordWrap/>
        <w:bidi w:val="0"/>
        <w:spacing w:after="0" w:line="640" w:lineRule="exact"/>
        <w:rPr>
          <w:rFonts w:hint="eastAsia" w:ascii="仿宋_GB2312" w:hAnsi="仿宋_GB2312" w:eastAsia="仿宋_GB2312" w:cs="仿宋_GB2312"/>
          <w:color w:val="000000"/>
          <w:sz w:val="28"/>
          <w:szCs w:val="28"/>
          <w:shd w:val="clear" w:color="auto" w:fill="FFFFFF"/>
        </w:rPr>
      </w:pPr>
      <w:r>
        <w:rPr>
          <w:rFonts w:hint="eastAsia" w:ascii="方正小标宋简体" w:hAnsi="方正小标宋简体" w:eastAsia="方正小标宋简体" w:cs="方正小标宋简体"/>
          <w:color w:val="000000"/>
          <w:sz w:val="56"/>
          <w:szCs w:val="56"/>
          <w:shd w:val="clear" w:color="auto" w:fill="FFFFFF"/>
        </w:rPr>
        <w:br w:type="page"/>
      </w:r>
      <w:r>
        <w:rPr>
          <w:sz w:val="56"/>
        </w:rPr>
        <mc:AlternateContent>
          <mc:Choice Requires="wps">
            <w:drawing>
              <wp:anchor distT="0" distB="0" distL="114300" distR="114300" simplePos="0" relativeHeight="251755520" behindDoc="0" locked="0" layoutInCell="1" allowOverlap="1">
                <wp:simplePos x="0" y="0"/>
                <wp:positionH relativeFrom="column">
                  <wp:posOffset>3734435</wp:posOffset>
                </wp:positionH>
                <wp:positionV relativeFrom="paragraph">
                  <wp:posOffset>6546215</wp:posOffset>
                </wp:positionV>
                <wp:extent cx="1210945" cy="721360"/>
                <wp:effectExtent l="5080" t="4445" r="22225" b="17145"/>
                <wp:wrapNone/>
                <wp:docPr id="20" name="矩形 20"/>
                <wp:cNvGraphicFramePr/>
                <a:graphic xmlns:a="http://schemas.openxmlformats.org/drawingml/2006/main">
                  <a:graphicData uri="http://schemas.microsoft.com/office/word/2010/wordprocessingShape">
                    <wps:wsp>
                      <wps:cNvSpPr/>
                      <wps:spPr>
                        <a:xfrm>
                          <a:off x="0" y="0"/>
                          <a:ext cx="1210945" cy="721360"/>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94.05pt;margin-top:515.45pt;height:56.8pt;width:95.35pt;z-index:251755520;mso-width-relative:page;mso-height-relative:page;" fillcolor="#FFFFFF" filled="t" stroked="t" coordsize="21600,21600" o:gfxdata="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oLE7ZAAAADQEAAA8AAAAAAAAAAQAgAAAAIgAAAGRycy9kb3ducmV2Lnht&#10;bFBLAQIUABQAAAAIAIdO4kBU6MeX+AEAACAEAAAOAAAAAAAAAAEAIAAAACgBAABkcnMvZTJvRG9j&#10;LnhtbFBLBQYAAAAABgAGAFkBAACSBQAAAAA=&#10;">
                <v:fill on="t" focussize="0,0"/>
                <v:stroke color="#FFFFFF" joinstyle="miter"/>
                <v:imagedata o:title=""/>
                <o:lock v:ext="edit" aspectratio="f"/>
              </v:rect>
            </w:pict>
          </mc:Fallback>
        </mc:AlternateContent>
      </w:r>
      <w:r>
        <w:rPr>
          <w:sz w:val="56"/>
        </w:rPr>
        <mc:AlternateContent>
          <mc:Choice Requires="wps">
            <w:drawing>
              <wp:anchor distT="0" distB="0" distL="114300" distR="114300" simplePos="0" relativeHeight="251722752" behindDoc="0" locked="0" layoutInCell="1" allowOverlap="1">
                <wp:simplePos x="0" y="0"/>
                <wp:positionH relativeFrom="column">
                  <wp:posOffset>-315595</wp:posOffset>
                </wp:positionH>
                <wp:positionV relativeFrom="paragraph">
                  <wp:posOffset>6443345</wp:posOffset>
                </wp:positionV>
                <wp:extent cx="1555750" cy="714375"/>
                <wp:effectExtent l="0" t="0" r="6350" b="9525"/>
                <wp:wrapNone/>
                <wp:docPr id="22" name="文本框 22"/>
                <wp:cNvGraphicFramePr/>
                <a:graphic xmlns:a="http://schemas.openxmlformats.org/drawingml/2006/main">
                  <a:graphicData uri="http://schemas.microsoft.com/office/word/2010/wordprocessingShape">
                    <wps:wsp>
                      <wps:cNvSpPr txBox="1"/>
                      <wps:spPr>
                        <a:xfrm>
                          <a:off x="0" y="0"/>
                          <a:ext cx="1555750" cy="714375"/>
                        </a:xfrm>
                        <a:prstGeom prst="rect">
                          <a:avLst/>
                        </a:prstGeom>
                        <a:solidFill>
                          <a:srgbClr val="FFFFFF"/>
                        </a:solidFill>
                        <a:ln>
                          <a:noFill/>
                        </a:ln>
                      </wps:spPr>
                      <wps:txbx>
                        <w:txbxContent>
                          <w:p/>
                        </w:txbxContent>
                      </wps:txbx>
                      <wps:bodyPr upright="1"/>
                    </wps:wsp>
                  </a:graphicData>
                </a:graphic>
              </wp:anchor>
            </w:drawing>
          </mc:Choice>
          <mc:Fallback>
            <w:pict>
              <v:shape id="_x0000_s1026" o:spid="_x0000_s1026" o:spt="202" type="#_x0000_t202" style="position:absolute;left:0pt;margin-left:-24.85pt;margin-top:507.35pt;height:56.25pt;width:122.5pt;z-index:251722752;mso-width-relative:page;mso-height-relative:page;" fillcolor="#FFFFFF" filled="t" stroked="f" coordsize="21600,21600" o:gfxdata="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bGaS/2QAAAA0BAAAPAAAAAAAAAAEAIAAAACIAAABkcnMvZG93bnJldi54&#10;bWxQSwECFAAUAAAACACHTuJAZoguosABAAB5AwAADgAAAAAAAAABACAAAAAoAQAAZHJzL2Uyb0Rv&#10;Yy54bWxQSwUGAAAAAAYABgBZAQAAWgUAAAAA&#10;">
                <v:fill on="t" focussize="0,0"/>
                <v:stroke on="f"/>
                <v:imagedata o:title=""/>
                <o:lock v:ext="edit" aspectratio="f"/>
                <v:textbox>
                  <w:txbxContent>
                    <w:p/>
                  </w:txbxContent>
                </v:textbox>
              </v:shape>
            </w:pict>
          </mc:Fallback>
        </mc:AlternateContent>
      </w:r>
      <w:r>
        <w:rPr>
          <w:sz w:val="56"/>
        </w:rPr>
        <mc:AlternateContent>
          <mc:Choice Requires="wps">
            <w:drawing>
              <wp:anchor distT="0" distB="0" distL="114300" distR="114300" simplePos="0" relativeHeight="251704320" behindDoc="0" locked="0" layoutInCell="1" allowOverlap="1">
                <wp:simplePos x="0" y="0"/>
                <wp:positionH relativeFrom="column">
                  <wp:posOffset>-531495</wp:posOffset>
                </wp:positionH>
                <wp:positionV relativeFrom="paragraph">
                  <wp:posOffset>8347710</wp:posOffset>
                </wp:positionV>
                <wp:extent cx="1353185" cy="838835"/>
                <wp:effectExtent l="0" t="0" r="18415" b="18415"/>
                <wp:wrapNone/>
                <wp:docPr id="4" name="文本框 4"/>
                <wp:cNvGraphicFramePr/>
                <a:graphic xmlns:a="http://schemas.openxmlformats.org/drawingml/2006/main">
                  <a:graphicData uri="http://schemas.microsoft.com/office/word/2010/wordprocessingShape">
                    <wps:wsp>
                      <wps:cNvSpPr txBox="1"/>
                      <wps:spPr>
                        <a:xfrm>
                          <a:off x="0" y="0"/>
                          <a:ext cx="1353185" cy="838835"/>
                        </a:xfrm>
                        <a:prstGeom prst="rect">
                          <a:avLst/>
                        </a:prstGeom>
                        <a:solidFill>
                          <a:srgbClr val="FFFFFF"/>
                        </a:solidFill>
                        <a:ln>
                          <a:noFill/>
                        </a:ln>
                      </wps:spPr>
                      <wps:txbx>
                        <w:txbxContent>
                          <w:p/>
                        </w:txbxContent>
                      </wps:txbx>
                      <wps:bodyPr upright="1"/>
                    </wps:wsp>
                  </a:graphicData>
                </a:graphic>
              </wp:anchor>
            </w:drawing>
          </mc:Choice>
          <mc:Fallback>
            <w:pict>
              <v:shape id="_x0000_s1026" o:spid="_x0000_s1026" o:spt="202" type="#_x0000_t202" style="position:absolute;left:0pt;margin-left:-41.85pt;margin-top:657.3pt;height:66.05pt;width:106.55pt;z-index:251704320;mso-width-relative:page;mso-height-relative:page;" fillcolor="#FFFFFF" filled="t" stroked="f" coordsize="21600,21600" o:gfxdata="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dnFni9oAAAANAQAADwAAAAAAAAABACAAAAAiAAAAZHJzL2Rvd25yZXYu&#10;eG1sUEsBAhQAFAAAAAgAh07iQGvim7XAAQAAdwMAAA4AAAAAAAAAAQAgAAAAKQEAAGRycy9lMm9E&#10;b2MueG1sUEsFBgAAAAAGAAYAWQEAAFsFAAAAAA==&#10;">
                <v:fill on="t" focussize="0,0"/>
                <v:stroke on="f"/>
                <v:imagedata o:title=""/>
                <o:lock v:ext="edit" aspectratio="f"/>
                <v:textbox>
                  <w:txbxContent>
                    <w:p/>
                  </w:txbxContent>
                </v:textbox>
              </v:shape>
            </w:pict>
          </mc:Fallback>
        </mc:AlternateContent>
      </w:r>
      <w:r>
        <w:rPr>
          <w:rFonts w:hint="eastAsia" w:ascii="方正小标宋简体" w:hAnsi="方正小标宋简体" w:eastAsia="方正小标宋简体" w:cs="方正小标宋简体"/>
          <w:color w:val="000000"/>
          <w:sz w:val="56"/>
          <w:szCs w:val="56"/>
          <w:shd w:val="clear" w:color="auto" w:fill="FFFFFF"/>
        </w:rPr>
        <w:br w:type="page"/>
      </w:r>
    </w:p>
    <w:p>
      <w:pPr>
        <w:keepNext w:val="0"/>
        <w:keepLines w:val="0"/>
        <w:pageBreakBefore w:val="0"/>
        <w:widowControl w:val="0"/>
        <w:wordWrap/>
        <w:bidi w:val="0"/>
        <w:spacing w:after="0"/>
        <w:jc w:val="center"/>
        <w:outlineLvl w:val="0"/>
        <w:rPr>
          <w:rFonts w:hint="eastAsia" w:ascii="方正小标宋简体" w:hAnsi="方正小标宋简体" w:eastAsia="方正小标宋简体" w:cs="方正小标宋简体"/>
          <w:color w:val="000000"/>
          <w:sz w:val="40"/>
          <w:szCs w:val="40"/>
          <w:shd w:val="clear" w:color="auto" w:fill="FFFFFF"/>
        </w:rPr>
      </w:pPr>
      <w:bookmarkStart w:id="23" w:name="_Toc29198"/>
      <w:r>
        <w:rPr>
          <w:rFonts w:hint="eastAsia" w:ascii="方正小标宋简体" w:hAnsi="方正小标宋简体" w:eastAsia="方正小标宋简体" w:cs="方正小标宋简体"/>
          <w:color w:val="000000"/>
          <w:sz w:val="40"/>
          <w:szCs w:val="40"/>
          <w:shd w:val="clear" w:color="auto" w:fill="FFFFFF"/>
        </w:rPr>
        <w:t>目   录</w:t>
      </w:r>
      <w:bookmarkEnd w:id="23"/>
    </w:p>
    <w:p>
      <w:pPr>
        <w:keepNext w:val="0"/>
        <w:keepLines w:val="0"/>
        <w:pageBreakBefore w:val="0"/>
        <w:widowControl w:val="0"/>
        <w:wordWrap/>
        <w:bidi w:val="0"/>
        <w:adjustRightInd/>
        <w:snapToGrid/>
        <w:spacing w:after="0" w:line="580" w:lineRule="exact"/>
        <w:ind w:firstLine="560" w:firstLineChars="200"/>
        <w:jc w:val="both"/>
        <w:rPr>
          <w:rFonts w:hint="eastAsia" w:ascii="仿宋" w:hAnsi="仿宋" w:eastAsia="仿宋" w:cs="仿宋"/>
          <w:color w:val="000000"/>
          <w:sz w:val="28"/>
          <w:szCs w:val="28"/>
          <w:shd w:val="clear" w:color="auto" w:fill="FFFFFF"/>
        </w:rPr>
      </w:pPr>
    </w:p>
    <w:p>
      <w:pPr>
        <w:keepNext w:val="0"/>
        <w:keepLines w:val="0"/>
        <w:pageBreakBefore w:val="0"/>
        <w:widowControl w:val="0"/>
        <w:wordWrap/>
        <w:bidi w:val="0"/>
        <w:adjustRightInd/>
        <w:snapToGrid/>
        <w:spacing w:after="0" w:line="580" w:lineRule="exact"/>
        <w:ind w:firstLine="560" w:firstLineChars="200"/>
        <w:jc w:val="both"/>
        <w:outlineLvl w:val="0"/>
        <w:rPr>
          <w:rFonts w:hint="eastAsia" w:ascii="仿宋_GB2312" w:hAnsi="仿宋" w:eastAsia="仿宋_GB2312" w:cs="仿宋"/>
          <w:color w:val="000000"/>
          <w:sz w:val="28"/>
          <w:szCs w:val="28"/>
          <w:shd w:val="clear" w:color="auto" w:fill="FFFFFF"/>
        </w:rPr>
      </w:pPr>
      <w:bookmarkStart w:id="24" w:name="_Toc12468"/>
      <w:r>
        <w:rPr>
          <w:rFonts w:hint="eastAsia" w:ascii="仿宋_GB2312" w:hAnsi="仿宋" w:eastAsia="仿宋_GB2312" w:cs="仿宋"/>
          <w:color w:val="000000"/>
          <w:sz w:val="28"/>
          <w:szCs w:val="28"/>
          <w:shd w:val="clear" w:color="auto" w:fill="FFFFFF"/>
        </w:rPr>
        <w:t>第一章  总则</w:t>
      </w:r>
      <w:bookmarkEnd w:id="24"/>
    </w:p>
    <w:p>
      <w:pPr>
        <w:keepNext w:val="0"/>
        <w:keepLines w:val="0"/>
        <w:pageBreakBefore w:val="0"/>
        <w:widowControl w:val="0"/>
        <w:wordWrap/>
        <w:bidi w:val="0"/>
        <w:adjustRightInd/>
        <w:snapToGrid/>
        <w:spacing w:after="0" w:line="580" w:lineRule="exact"/>
        <w:ind w:firstLine="560" w:firstLineChars="200"/>
        <w:jc w:val="both"/>
        <w:outlineLvl w:val="0"/>
        <w:rPr>
          <w:rFonts w:hint="eastAsia" w:ascii="仿宋_GB2312" w:hAnsi="仿宋" w:eastAsia="仿宋_GB2312" w:cs="仿宋"/>
          <w:color w:val="000000"/>
          <w:sz w:val="28"/>
          <w:szCs w:val="28"/>
          <w:shd w:val="clear" w:color="auto" w:fill="FFFFFF"/>
        </w:rPr>
      </w:pPr>
      <w:bookmarkStart w:id="25" w:name="_Toc26629"/>
      <w:r>
        <w:rPr>
          <w:rFonts w:hint="eastAsia" w:ascii="仿宋_GB2312" w:hAnsi="仿宋" w:eastAsia="仿宋_GB2312" w:cs="仿宋"/>
          <w:color w:val="000000"/>
          <w:sz w:val="28"/>
          <w:szCs w:val="28"/>
          <w:shd w:val="clear" w:color="auto" w:fill="FFFFFF"/>
        </w:rPr>
        <w:t>第二章  认罪认罚程序的启动</w:t>
      </w:r>
      <w:bookmarkEnd w:id="25"/>
    </w:p>
    <w:p>
      <w:pPr>
        <w:keepNext w:val="0"/>
        <w:keepLines w:val="0"/>
        <w:pageBreakBefore w:val="0"/>
        <w:widowControl w:val="0"/>
        <w:wordWrap/>
        <w:bidi w:val="0"/>
        <w:adjustRightInd/>
        <w:snapToGrid/>
        <w:spacing w:after="0" w:line="580" w:lineRule="exact"/>
        <w:ind w:firstLine="560" w:firstLineChars="200"/>
        <w:jc w:val="both"/>
        <w:outlineLvl w:val="0"/>
        <w:rPr>
          <w:rFonts w:hint="eastAsia" w:ascii="仿宋_GB2312" w:hAnsi="仿宋" w:eastAsia="仿宋_GB2312" w:cs="仿宋"/>
          <w:color w:val="000000"/>
          <w:sz w:val="28"/>
          <w:szCs w:val="28"/>
          <w:shd w:val="clear" w:color="auto" w:fill="FFFFFF"/>
        </w:rPr>
      </w:pPr>
      <w:bookmarkStart w:id="26" w:name="_Toc21430"/>
      <w:r>
        <w:rPr>
          <w:rFonts w:hint="eastAsia" w:ascii="仿宋_GB2312" w:hAnsi="仿宋" w:eastAsia="仿宋_GB2312" w:cs="仿宋"/>
          <w:color w:val="000000"/>
          <w:sz w:val="28"/>
          <w:szCs w:val="28"/>
          <w:shd w:val="clear" w:color="auto" w:fill="FFFFFF"/>
        </w:rPr>
        <w:t>第三章  见证签署认罪认罚具结书</w:t>
      </w:r>
      <w:bookmarkEnd w:id="26"/>
    </w:p>
    <w:p>
      <w:pPr>
        <w:keepNext w:val="0"/>
        <w:keepLines w:val="0"/>
        <w:pageBreakBefore w:val="0"/>
        <w:widowControl w:val="0"/>
        <w:wordWrap/>
        <w:bidi w:val="0"/>
        <w:adjustRightInd/>
        <w:snapToGrid/>
        <w:spacing w:after="0" w:line="580" w:lineRule="exact"/>
        <w:ind w:firstLine="560" w:firstLineChars="200"/>
        <w:jc w:val="both"/>
        <w:outlineLvl w:val="0"/>
        <w:rPr>
          <w:rFonts w:hint="eastAsia" w:ascii="仿宋_GB2312" w:hAnsi="仿宋" w:eastAsia="仿宋_GB2312" w:cs="仿宋"/>
          <w:color w:val="000000"/>
          <w:sz w:val="28"/>
          <w:szCs w:val="28"/>
          <w:shd w:val="clear" w:color="auto" w:fill="FFFFFF"/>
        </w:rPr>
      </w:pPr>
      <w:bookmarkStart w:id="27" w:name="_Toc22888"/>
      <w:r>
        <w:rPr>
          <w:rFonts w:hint="eastAsia" w:ascii="仿宋_GB2312" w:hAnsi="仿宋" w:eastAsia="仿宋_GB2312" w:cs="仿宋"/>
          <w:color w:val="000000"/>
          <w:sz w:val="28"/>
          <w:szCs w:val="28"/>
          <w:shd w:val="clear" w:color="auto" w:fill="FFFFFF"/>
        </w:rPr>
        <w:t>第四章  认罪认罚案件的庭审辩护</w:t>
      </w:r>
      <w:bookmarkEnd w:id="27"/>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outlineLvl w:val="0"/>
        <w:rPr>
          <w:rFonts w:hint="eastAsia" w:ascii="方正小标宋简体" w:hAnsi="方正小标宋简体" w:eastAsia="方正小标宋简体" w:cs="方正小标宋简体"/>
          <w:color w:val="000000"/>
          <w:sz w:val="40"/>
          <w:szCs w:val="40"/>
          <w:shd w:val="clear" w:color="auto" w:fill="FFFFFF"/>
        </w:rPr>
      </w:pPr>
      <w:r>
        <w:rPr>
          <w:rFonts w:hint="eastAsia" w:ascii="仿宋" w:hAnsi="仿宋" w:eastAsia="仿宋" w:cs="仿宋"/>
          <w:color w:val="000000"/>
          <w:sz w:val="28"/>
          <w:szCs w:val="28"/>
          <w:shd w:val="clear" w:color="auto" w:fill="FFFFFF"/>
        </w:rPr>
        <w:br w:type="page"/>
      </w:r>
      <w:bookmarkStart w:id="28" w:name="_Toc13556"/>
      <w:r>
        <w:rPr>
          <w:rFonts w:hint="eastAsia" w:ascii="方正小标宋简体" w:hAnsi="方正小标宋简体" w:eastAsia="方正小标宋简体" w:cs="方正小标宋简体"/>
          <w:color w:val="000000"/>
          <w:sz w:val="40"/>
          <w:szCs w:val="40"/>
          <w:shd w:val="clear" w:color="auto" w:fill="FFFFFF"/>
        </w:rPr>
        <w:t>律师办理认罪认罚从宽案件操作指引</w:t>
      </w:r>
      <w:bookmarkEnd w:id="28"/>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仿宋" w:hAnsi="仿宋" w:eastAsia="仿宋" w:cs="仿宋"/>
          <w:color w:val="000000"/>
          <w:sz w:val="32"/>
          <w:szCs w:val="32"/>
          <w:shd w:val="clear" w:color="auto" w:fill="FFFFFF"/>
        </w:rPr>
      </w:pP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firstLine="560" w:firstLineChars="200"/>
        <w:jc w:val="center"/>
        <w:textAlignment w:val="auto"/>
        <w:outlineLvl w:val="0"/>
        <w:rPr>
          <w:rFonts w:hint="eastAsia" w:ascii="黑体" w:hAnsi="黑体" w:eastAsia="黑体" w:cs="黑体"/>
          <w:color w:val="000000"/>
          <w:sz w:val="28"/>
          <w:szCs w:val="28"/>
          <w:shd w:val="clear" w:color="auto" w:fill="FFFFFF"/>
        </w:rPr>
      </w:pPr>
      <w:bookmarkStart w:id="29" w:name="_Toc18333"/>
      <w:r>
        <w:rPr>
          <w:rFonts w:hint="eastAsia" w:ascii="黑体" w:hAnsi="黑体" w:eastAsia="黑体" w:cs="黑体"/>
          <w:color w:val="000000"/>
          <w:sz w:val="28"/>
          <w:szCs w:val="28"/>
          <w:shd w:val="clear" w:color="auto" w:fill="FFFFFF"/>
        </w:rPr>
        <w:t>第一章  总则</w:t>
      </w:r>
      <w:bookmarkEnd w:id="29"/>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firstLine="562"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b/>
          <w:bCs/>
          <w:color w:val="000000"/>
          <w:sz w:val="28"/>
          <w:szCs w:val="28"/>
          <w:shd w:val="clear" w:color="auto" w:fill="FFFFFF"/>
        </w:rPr>
        <w:t>第一条</w:t>
      </w:r>
      <w:r>
        <w:rPr>
          <w:rFonts w:hint="eastAsia" w:ascii="仿宋_GB2312" w:hAnsi="仿宋" w:eastAsia="仿宋_GB2312" w:cs="仿宋"/>
          <w:color w:val="000000"/>
          <w:sz w:val="28"/>
          <w:szCs w:val="28"/>
          <w:shd w:val="clear" w:color="auto" w:fill="FFFFFF"/>
        </w:rPr>
        <w:t xml:space="preserve">  为指导律师（辩护律师、值班律师）在参与办理认罪认罚案件中依法履行职责，规范律师执业行为，依法维护刑事案件犯罪嫌疑人、被告人（下称当事人）合法权益，根据《中华人民共和国刑事诉讼法》（以下简称《刑事诉讼法》）《中华人民共和国律师法》（以下简称《律师法》）和最高人民法院、最高人民检察院、公安部、国家安全部、司法部《关于适用认罪认罚从宽制度的指导意见》及相关法律、司法解释、部门规章，结合律师办理刑事案件的实践经验，制定本操作指引。</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firstLine="562"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b/>
          <w:bCs/>
          <w:color w:val="000000"/>
          <w:sz w:val="28"/>
          <w:szCs w:val="28"/>
          <w:shd w:val="clear" w:color="auto" w:fill="FFFFFF"/>
        </w:rPr>
        <w:t>第二条</w:t>
      </w:r>
      <w:r>
        <w:rPr>
          <w:rFonts w:hint="eastAsia" w:ascii="仿宋_GB2312" w:hAnsi="仿宋" w:eastAsia="仿宋_GB2312" w:cs="仿宋"/>
          <w:color w:val="000000"/>
          <w:sz w:val="28"/>
          <w:szCs w:val="28"/>
          <w:shd w:val="clear" w:color="auto" w:fill="FFFFFF"/>
        </w:rPr>
        <w:t xml:space="preserve">  律师办理认罪认罚案件必须坚持当事人自愿原则，确保当事人充分了解认罪认罚性质和法律后果，自愿认罪认罚。</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firstLine="560"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律师不得引诱、欺骗、误导当事人认罪认罚。</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firstLine="562"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b/>
          <w:bCs/>
          <w:color w:val="000000"/>
          <w:sz w:val="28"/>
          <w:szCs w:val="28"/>
          <w:shd w:val="clear" w:color="auto" w:fill="FFFFFF"/>
        </w:rPr>
        <w:t>第三条</w:t>
      </w:r>
      <w:r>
        <w:rPr>
          <w:rFonts w:hint="eastAsia" w:ascii="仿宋_GB2312" w:hAnsi="仿宋" w:eastAsia="仿宋_GB2312" w:cs="仿宋"/>
          <w:color w:val="000000"/>
          <w:sz w:val="28"/>
          <w:szCs w:val="28"/>
          <w:shd w:val="clear" w:color="auto" w:fill="FFFFFF"/>
        </w:rPr>
        <w:t xml:space="preserve">  律师应当认真履行职责，全面审查案件证据，依法参与认罪认罚程序，维护当事人合法权益。</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firstLine="562"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b/>
          <w:bCs/>
          <w:color w:val="000000"/>
          <w:sz w:val="28"/>
          <w:szCs w:val="28"/>
          <w:shd w:val="clear" w:color="auto" w:fill="FFFFFF"/>
        </w:rPr>
        <w:t>第四条</w:t>
      </w:r>
      <w:r>
        <w:rPr>
          <w:rFonts w:hint="eastAsia" w:ascii="仿宋_GB2312" w:hAnsi="仿宋" w:eastAsia="仿宋_GB2312" w:cs="仿宋"/>
          <w:color w:val="000000"/>
          <w:sz w:val="28"/>
          <w:szCs w:val="28"/>
          <w:shd w:val="clear" w:color="auto" w:fill="FFFFFF"/>
        </w:rPr>
        <w:t xml:space="preserve">  律师应当充分熟悉案情，全面掌握量刑情节，根据最高人民法院、最高人民检察院的量刑指导标准，依法主动进行辩诉协商，促使人民检察院出具有利于当事人的量刑建议，促使人民法院采纳人民检察院提出的有利于当事人的量刑建议。如果认为人民检察院的量刑建议偏重，律师在法庭上可以提出适用更轻的量刑建议。</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黑体" w:hAnsi="黑体" w:eastAsia="黑体" w:cs="黑体"/>
          <w:color w:val="000000"/>
          <w:sz w:val="28"/>
          <w:szCs w:val="28"/>
          <w:shd w:val="clear" w:color="auto" w:fill="FFFFFF"/>
        </w:rPr>
      </w:pP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outlineLvl w:val="0"/>
        <w:rPr>
          <w:rFonts w:hint="eastAsia" w:ascii="黑体" w:hAnsi="黑体" w:eastAsia="黑体" w:cs="黑体"/>
          <w:color w:val="000000"/>
          <w:sz w:val="28"/>
          <w:szCs w:val="28"/>
          <w:shd w:val="clear" w:color="auto" w:fill="FFFFFF"/>
        </w:rPr>
      </w:pPr>
      <w:bookmarkStart w:id="30" w:name="_Toc7722"/>
      <w:r>
        <w:rPr>
          <w:rFonts w:hint="eastAsia" w:ascii="黑体" w:hAnsi="黑体" w:eastAsia="黑体" w:cs="黑体"/>
          <w:color w:val="000000"/>
          <w:sz w:val="28"/>
          <w:szCs w:val="28"/>
          <w:shd w:val="clear" w:color="auto" w:fill="FFFFFF"/>
        </w:rPr>
        <w:t>第二章  认罪认罚程序的启动</w:t>
      </w:r>
      <w:bookmarkEnd w:id="30"/>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firstLine="562"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b/>
          <w:bCs/>
          <w:color w:val="000000"/>
          <w:sz w:val="28"/>
          <w:szCs w:val="28"/>
          <w:shd w:val="clear" w:color="auto" w:fill="FFFFFF"/>
        </w:rPr>
        <w:t>第五条</w:t>
      </w:r>
      <w:r>
        <w:rPr>
          <w:rFonts w:hint="eastAsia" w:ascii="仿宋_GB2312" w:hAnsi="仿宋" w:eastAsia="仿宋_GB2312" w:cs="仿宋"/>
          <w:color w:val="000000"/>
          <w:sz w:val="28"/>
          <w:szCs w:val="28"/>
          <w:shd w:val="clear" w:color="auto" w:fill="FFFFFF"/>
        </w:rPr>
        <w:t xml:space="preserve">  律师在办理刑事案件过程中，应告知当事人自愿认罪认罚可以获得从宽处理的机会，了解其是否有认罪认罚的真实意愿。</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shd w:val="clear" w:color="auto" w:fill="FFFFFF"/>
        </w:rPr>
        <w:t>第六条</w:t>
      </w:r>
      <w:r>
        <w:rPr>
          <w:rFonts w:hint="eastAsia" w:ascii="仿宋_GB2312" w:hAnsi="仿宋" w:eastAsia="仿宋_GB2312" w:cs="仿宋"/>
          <w:color w:val="000000"/>
          <w:sz w:val="28"/>
          <w:szCs w:val="28"/>
          <w:shd w:val="clear" w:color="auto" w:fill="FFFFFF"/>
        </w:rPr>
        <w:t xml:space="preserve">  当事人自愿认罪认罚的，律师应及时与</w:t>
      </w:r>
      <w:r>
        <w:rPr>
          <w:rFonts w:hint="eastAsia" w:ascii="仿宋_GB2312" w:hAnsi="仿宋" w:eastAsia="仿宋_GB2312" w:cs="仿宋"/>
          <w:color w:val="000000"/>
          <w:sz w:val="28"/>
          <w:szCs w:val="28"/>
        </w:rPr>
        <w:t>人民检察院</w:t>
      </w:r>
      <w:r>
        <w:rPr>
          <w:rFonts w:hint="eastAsia" w:ascii="仿宋_GB2312" w:hAnsi="仿宋" w:eastAsia="仿宋_GB2312" w:cs="仿宋"/>
          <w:color w:val="000000"/>
          <w:sz w:val="28"/>
          <w:szCs w:val="28"/>
          <w:shd w:val="clear" w:color="auto" w:fill="FFFFFF"/>
        </w:rPr>
        <w:t>沟通，对符合</w:t>
      </w:r>
      <w:r>
        <w:rPr>
          <w:rFonts w:hint="eastAsia" w:ascii="仿宋_GB2312" w:hAnsi="仿宋" w:eastAsia="仿宋_GB2312" w:cs="仿宋"/>
          <w:color w:val="000000"/>
          <w:sz w:val="28"/>
          <w:szCs w:val="28"/>
        </w:rPr>
        <w:t>适用认罪认罚从宽制度条件的，应配合人民检察院依法办理认罪认罚具结手续；人民检察院经审查认为不符合认罪认罚从宽制度条件的，应当及时告知当事人，并听取当事人的意见。</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黑体" w:hAnsi="黑体" w:eastAsia="黑体" w:cs="黑体"/>
          <w:color w:val="000000"/>
          <w:sz w:val="28"/>
          <w:szCs w:val="28"/>
          <w:shd w:val="clear" w:color="auto" w:fill="FFFFFF"/>
        </w:rPr>
      </w:pP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outlineLvl w:val="0"/>
        <w:rPr>
          <w:rFonts w:hint="eastAsia" w:ascii="黑体" w:hAnsi="黑体" w:eastAsia="黑体" w:cs="黑体"/>
          <w:color w:val="000000"/>
          <w:sz w:val="28"/>
          <w:szCs w:val="28"/>
          <w:shd w:val="clear" w:color="auto" w:fill="FFFFFF"/>
        </w:rPr>
      </w:pPr>
      <w:bookmarkStart w:id="31" w:name="_Toc13206"/>
      <w:r>
        <w:rPr>
          <w:rFonts w:hint="eastAsia" w:ascii="黑体" w:hAnsi="黑体" w:eastAsia="黑体" w:cs="黑体"/>
          <w:color w:val="000000"/>
          <w:sz w:val="28"/>
          <w:szCs w:val="28"/>
          <w:shd w:val="clear" w:color="auto" w:fill="FFFFFF"/>
        </w:rPr>
        <w:t>第三章  见证签署认罪认罚具结书</w:t>
      </w:r>
      <w:bookmarkEnd w:id="31"/>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firstLine="562"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b/>
          <w:bCs/>
          <w:color w:val="000000"/>
          <w:sz w:val="28"/>
          <w:szCs w:val="28"/>
          <w:shd w:val="clear" w:color="auto" w:fill="FFFFFF"/>
        </w:rPr>
        <w:t>第七条</w:t>
      </w:r>
      <w:r>
        <w:rPr>
          <w:rFonts w:hint="eastAsia" w:ascii="仿宋_GB2312" w:hAnsi="仿宋" w:eastAsia="仿宋_GB2312" w:cs="仿宋"/>
          <w:color w:val="000000"/>
          <w:sz w:val="28"/>
          <w:szCs w:val="28"/>
          <w:shd w:val="clear" w:color="auto" w:fill="FFFFFF"/>
        </w:rPr>
        <w:t xml:space="preserve">  律师在参与见证签署认罪认罚具结书前，应当全面查阅案卷，详细了解案情，认真分析罪与非罪，充分把握对当事人有利和不利的量刑情节。</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firstLine="562"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b/>
          <w:bCs/>
          <w:color w:val="000000"/>
          <w:sz w:val="28"/>
          <w:szCs w:val="28"/>
          <w:shd w:val="clear" w:color="auto" w:fill="FFFFFF"/>
        </w:rPr>
        <w:t>第八条</w:t>
      </w:r>
      <w:r>
        <w:rPr>
          <w:rFonts w:hint="eastAsia" w:ascii="仿宋_GB2312" w:hAnsi="仿宋" w:eastAsia="仿宋_GB2312" w:cs="仿宋"/>
          <w:color w:val="000000"/>
          <w:sz w:val="28"/>
          <w:szCs w:val="28"/>
          <w:shd w:val="clear" w:color="auto" w:fill="FFFFFF"/>
        </w:rPr>
        <w:t xml:space="preserve">  律师应当会见当事人，告知当事人认罪认罚的相关事项，并做好记录：</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firstLine="560"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（一）告知认罪认罚的性质和法律后果；</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firstLine="560"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（二）告知可以反悔权利和反悔可能产生的不利后果；</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firstLine="560"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（三）告知可以选择适用审理程序的权利，包括可以适用速裁程序、简易程序和普通程序的权利；</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firstLine="560"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 xml:space="preserve">（四）告知有对行为性质提出辩解的权利。 </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firstLine="560"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（五）其他依法可以告知的事项。</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firstLine="562"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b/>
          <w:bCs/>
          <w:color w:val="000000"/>
          <w:sz w:val="28"/>
          <w:szCs w:val="28"/>
          <w:shd w:val="clear" w:color="auto" w:fill="FFFFFF"/>
        </w:rPr>
        <w:t>第九条</w:t>
      </w:r>
      <w:r>
        <w:rPr>
          <w:rFonts w:hint="eastAsia" w:ascii="仿宋_GB2312" w:hAnsi="仿宋" w:eastAsia="仿宋_GB2312" w:cs="仿宋"/>
          <w:color w:val="000000"/>
          <w:sz w:val="28"/>
          <w:szCs w:val="28"/>
          <w:shd w:val="clear" w:color="auto" w:fill="FFFFFF"/>
        </w:rPr>
        <w:t xml:space="preserve">  律师应当听取当事人对指控犯罪事实的辩解，了解当事人是否存在自首、立功、犯罪未遂、犯罪中止等影响定罪量刑的情节。对办案单位没有确认的有利当事人的情节，应及时提请办案机关核实，并建议办案机关暂缓签署认罪认罚具结书。</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shd w:val="clear" w:color="auto" w:fill="FFFFFF"/>
        </w:rPr>
        <w:t>第十条</w:t>
      </w:r>
      <w:r>
        <w:rPr>
          <w:rFonts w:hint="eastAsia" w:ascii="仿宋_GB2312" w:hAnsi="仿宋" w:eastAsia="仿宋_GB2312" w:cs="仿宋"/>
          <w:color w:val="000000"/>
          <w:sz w:val="28"/>
          <w:szCs w:val="28"/>
          <w:shd w:val="clear" w:color="auto" w:fill="FFFFFF"/>
        </w:rPr>
        <w:t xml:space="preserve">  </w:t>
      </w:r>
      <w:r>
        <w:rPr>
          <w:rFonts w:hint="eastAsia" w:ascii="仿宋_GB2312" w:hAnsi="仿宋" w:eastAsia="仿宋_GB2312" w:cs="仿宋"/>
          <w:color w:val="000000"/>
          <w:sz w:val="28"/>
          <w:szCs w:val="28"/>
        </w:rPr>
        <w:t>当事人认罪认罚的，律师可以对下列事项提出意见：</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（一）涉嫌的犯罪事实、罪名及适用的法律规定；</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（二）从轻、减轻或免除处罚等从宽处罚的建议；</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（三）认罪认罚后案件审理适用的程序；</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（四）其他需要听取意见的事项。</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firstLine="562"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b/>
          <w:bCs/>
          <w:color w:val="000000"/>
          <w:sz w:val="28"/>
          <w:szCs w:val="28"/>
          <w:shd w:val="clear" w:color="auto" w:fill="FFFFFF"/>
        </w:rPr>
        <w:t>第十一条</w:t>
      </w:r>
      <w:r>
        <w:rPr>
          <w:rFonts w:hint="eastAsia" w:ascii="仿宋_GB2312" w:hAnsi="仿宋" w:eastAsia="仿宋_GB2312" w:cs="仿宋"/>
          <w:color w:val="000000"/>
          <w:sz w:val="28"/>
          <w:szCs w:val="28"/>
          <w:shd w:val="clear" w:color="auto" w:fill="FFFFFF"/>
        </w:rPr>
        <w:t xml:space="preserve">  当事人在侦查阶段已供述自愿认罪并自愿接受处罚的，应按当事人在侦查阶段认罪认罚来提示检察官给出更宽缓的量刑建议。</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firstLine="562"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b/>
          <w:bCs/>
          <w:color w:val="000000"/>
          <w:sz w:val="28"/>
          <w:szCs w:val="28"/>
          <w:shd w:val="clear" w:color="auto" w:fill="FFFFFF"/>
        </w:rPr>
        <w:t>第十二条</w:t>
      </w:r>
      <w:r>
        <w:rPr>
          <w:rFonts w:hint="eastAsia" w:ascii="仿宋_GB2312" w:hAnsi="仿宋" w:eastAsia="仿宋_GB2312" w:cs="仿宋"/>
          <w:color w:val="000000"/>
          <w:sz w:val="28"/>
          <w:szCs w:val="28"/>
          <w:shd w:val="clear" w:color="auto" w:fill="FFFFFF"/>
        </w:rPr>
        <w:t xml:space="preserve">  当事人对指控的主要犯罪事实提出异议，应告知当事人不符合认罪认罚的条件。当事人承认指控的主要犯罪事实，仅对个别事实情节提出异议，或者只对行为性质提出辩解的，律师可以引导当事人自愿接受司法机关的认定意见。</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firstLine="562"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b/>
          <w:bCs/>
          <w:color w:val="000000"/>
          <w:sz w:val="28"/>
          <w:szCs w:val="28"/>
          <w:shd w:val="clear" w:color="auto" w:fill="FFFFFF"/>
        </w:rPr>
        <w:t>第十三条</w:t>
      </w:r>
      <w:r>
        <w:rPr>
          <w:rFonts w:hint="eastAsia" w:ascii="仿宋_GB2312" w:hAnsi="仿宋" w:eastAsia="仿宋_GB2312" w:cs="仿宋"/>
          <w:color w:val="000000"/>
          <w:sz w:val="28"/>
          <w:szCs w:val="28"/>
          <w:shd w:val="clear" w:color="auto" w:fill="FFFFFF"/>
        </w:rPr>
        <w:t xml:space="preserve">  当事人自愿认罪认罚，并有赔偿意愿的，律师应当向当事人家属反映，听取当事人家属意见。当事人家属无代为退赔能力的，应及时告知当事人和办案机关。</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firstLine="562"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b/>
          <w:bCs/>
          <w:color w:val="000000"/>
          <w:sz w:val="28"/>
          <w:szCs w:val="28"/>
          <w:shd w:val="clear" w:color="auto" w:fill="FFFFFF"/>
        </w:rPr>
        <w:t>第十四条</w:t>
      </w:r>
      <w:r>
        <w:rPr>
          <w:rFonts w:hint="eastAsia" w:ascii="仿宋_GB2312" w:hAnsi="仿宋" w:eastAsia="仿宋_GB2312" w:cs="仿宋"/>
          <w:color w:val="000000"/>
          <w:sz w:val="28"/>
          <w:szCs w:val="28"/>
          <w:shd w:val="clear" w:color="auto" w:fill="FFFFFF"/>
        </w:rPr>
        <w:t xml:space="preserve">  认罪认罚的当事人系未成年人的，应听取其法定代理人的意见，如其法定代理人有异议的，应告知办案机关及当事人；其法定代理人没有异议的，应通知其到场参与见证签署认罪认罚具结书。 </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firstLine="562"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b/>
          <w:bCs/>
          <w:color w:val="000000"/>
          <w:sz w:val="28"/>
          <w:szCs w:val="28"/>
          <w:shd w:val="clear" w:color="auto" w:fill="FFFFFF"/>
        </w:rPr>
        <w:t>第十五条</w:t>
      </w:r>
      <w:r>
        <w:rPr>
          <w:rFonts w:hint="eastAsia" w:ascii="仿宋_GB2312" w:hAnsi="仿宋" w:eastAsia="仿宋_GB2312" w:cs="仿宋"/>
          <w:color w:val="000000"/>
          <w:sz w:val="28"/>
          <w:szCs w:val="28"/>
          <w:shd w:val="clear" w:color="auto" w:fill="FFFFFF"/>
        </w:rPr>
        <w:t xml:space="preserve">  参与见证签署认罪认罚具结书，既是律师的义务，同时也是律师的权利。办案检察官用值班律师替代辩护律师参与见证签署认罪认罚具结书的，辩护律师应及时向办案检察官提出重新签署认罪认罚具结书的要求。</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黑体" w:hAnsi="黑体" w:eastAsia="黑体" w:cs="黑体"/>
          <w:color w:val="000000"/>
          <w:sz w:val="28"/>
          <w:szCs w:val="28"/>
          <w:shd w:val="clear" w:color="auto" w:fill="FFFFFF"/>
        </w:rPr>
      </w:pP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outlineLvl w:val="0"/>
        <w:rPr>
          <w:rFonts w:hint="eastAsia" w:ascii="黑体" w:hAnsi="黑体" w:eastAsia="黑体" w:cs="黑体"/>
          <w:color w:val="000000"/>
          <w:sz w:val="28"/>
          <w:szCs w:val="28"/>
          <w:shd w:val="clear" w:color="auto" w:fill="FFFFFF"/>
        </w:rPr>
      </w:pPr>
      <w:r>
        <w:rPr>
          <w:rFonts w:hint="eastAsia" w:ascii="黑体" w:hAnsi="黑体" w:eastAsia="黑体" w:cs="黑体"/>
          <w:color w:val="000000"/>
          <w:sz w:val="28"/>
          <w:szCs w:val="28"/>
          <w:shd w:val="clear" w:color="auto" w:fill="FFFFFF"/>
        </w:rPr>
        <w:br w:type="page"/>
      </w:r>
      <w:bookmarkStart w:id="32" w:name="_Toc6664"/>
      <w:r>
        <w:rPr>
          <w:rFonts w:hint="eastAsia" w:ascii="黑体" w:hAnsi="黑体" w:eastAsia="黑体" w:cs="黑体"/>
          <w:color w:val="000000"/>
          <w:sz w:val="28"/>
          <w:szCs w:val="28"/>
          <w:shd w:val="clear" w:color="auto" w:fill="FFFFFF"/>
        </w:rPr>
        <w:t>第四章  认罪认罚案件的庭审辩护</w:t>
      </w:r>
      <w:bookmarkEnd w:id="32"/>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firstLine="562"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b/>
          <w:bCs/>
          <w:color w:val="000000"/>
          <w:sz w:val="28"/>
          <w:szCs w:val="28"/>
          <w:shd w:val="clear" w:color="auto" w:fill="FFFFFF"/>
        </w:rPr>
        <w:t>第十六条</w:t>
      </w:r>
      <w:r>
        <w:rPr>
          <w:rFonts w:hint="eastAsia" w:ascii="仿宋_GB2312" w:hAnsi="仿宋" w:eastAsia="仿宋_GB2312" w:cs="仿宋"/>
          <w:color w:val="000000"/>
          <w:sz w:val="28"/>
          <w:szCs w:val="28"/>
          <w:shd w:val="clear" w:color="auto" w:fill="FFFFFF"/>
        </w:rPr>
        <w:t xml:space="preserve">  案件事实清楚，证据确实、充分，当事人已认罪认罚的，辩护律师可以建议办案机关适用速裁程序或简易程序审判。对法律适用存在争议的案件，辩护律师应告知当事人有选择普通程序的权利，并向办案机关建议适用普通程序。</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firstLine="562"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b/>
          <w:bCs/>
          <w:color w:val="000000"/>
          <w:sz w:val="28"/>
          <w:szCs w:val="28"/>
          <w:shd w:val="clear" w:color="auto" w:fill="FFFFFF"/>
        </w:rPr>
        <w:t>第十七条</w:t>
      </w:r>
      <w:r>
        <w:rPr>
          <w:rFonts w:hint="eastAsia" w:ascii="仿宋_GB2312" w:hAnsi="仿宋" w:eastAsia="仿宋_GB2312" w:cs="仿宋"/>
          <w:color w:val="000000"/>
          <w:sz w:val="28"/>
          <w:szCs w:val="28"/>
          <w:shd w:val="clear" w:color="auto" w:fill="FFFFFF"/>
        </w:rPr>
        <w:t xml:space="preserve">  当事人自愿认罪认罚的，辩护律师应尊重当事人意愿，可对罪名定性、具体量刑、罚金数额、财产处理（收缴、没收等）提出辩护意见，对符合适用缓刑条件的可以提出适用缓刑的辩护意见。</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firstLine="562"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b/>
          <w:bCs/>
          <w:color w:val="000000"/>
          <w:sz w:val="28"/>
          <w:szCs w:val="28"/>
          <w:shd w:val="clear" w:color="auto" w:fill="FFFFFF"/>
        </w:rPr>
        <w:t>第十八条</w:t>
      </w:r>
      <w:r>
        <w:rPr>
          <w:rFonts w:hint="eastAsia" w:ascii="仿宋_GB2312" w:hAnsi="仿宋" w:eastAsia="仿宋_GB2312" w:cs="仿宋"/>
          <w:color w:val="000000"/>
          <w:sz w:val="28"/>
          <w:szCs w:val="28"/>
          <w:shd w:val="clear" w:color="auto" w:fill="FFFFFF"/>
        </w:rPr>
        <w:t xml:space="preserve">  辩护律师认为当事人供述的犯罪事实无其他证据佐证，或者当事人的供述与其他在案证据存在矛盾冲突，影响定罪量刑的，辩护律师可向办案机关独立提出辩护意见。</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firstLine="562"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b/>
          <w:bCs/>
          <w:color w:val="000000"/>
          <w:sz w:val="28"/>
          <w:szCs w:val="28"/>
          <w:shd w:val="clear" w:color="auto" w:fill="FFFFFF"/>
        </w:rPr>
        <w:t>第十九条</w:t>
      </w:r>
      <w:r>
        <w:rPr>
          <w:rFonts w:hint="eastAsia" w:ascii="仿宋_GB2312" w:hAnsi="仿宋" w:eastAsia="仿宋_GB2312" w:cs="仿宋"/>
          <w:color w:val="000000"/>
          <w:sz w:val="28"/>
          <w:szCs w:val="28"/>
          <w:shd w:val="clear" w:color="auto" w:fill="FFFFFF"/>
        </w:rPr>
        <w:t xml:space="preserve">  辩护律师认为指控的主要犯罪事实清楚、证据充分，但对法律适用存在异议的，应充分研究司法机关对同类案件的处理情况，必要时可制作类案检索报告，及时提供给办案机关，供办案机关处理该案时参考。</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firstLine="562"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b/>
          <w:bCs/>
          <w:color w:val="000000"/>
          <w:sz w:val="28"/>
          <w:szCs w:val="28"/>
          <w:shd w:val="clear" w:color="auto" w:fill="FFFFFF"/>
        </w:rPr>
        <w:t>第二十条</w:t>
      </w:r>
      <w:r>
        <w:rPr>
          <w:rFonts w:hint="eastAsia" w:ascii="仿宋_GB2312" w:hAnsi="仿宋" w:eastAsia="仿宋_GB2312" w:cs="仿宋"/>
          <w:color w:val="000000"/>
          <w:sz w:val="28"/>
          <w:szCs w:val="28"/>
          <w:shd w:val="clear" w:color="auto" w:fill="FFFFFF"/>
        </w:rPr>
        <w:t xml:space="preserve">  </w:t>
      </w:r>
      <w:r>
        <w:rPr>
          <w:rFonts w:hint="eastAsia" w:ascii="仿宋_GB2312" w:hAnsi="仿宋" w:eastAsia="仿宋_GB2312" w:cs="仿宋"/>
          <w:color w:val="121212"/>
          <w:sz w:val="28"/>
          <w:szCs w:val="28"/>
          <w:shd w:val="clear" w:color="auto" w:fill="FFFFFF"/>
        </w:rPr>
        <w:t>当事人自愿认罪认罚，辩护律师认为当事人无罪的，可以在法庭上发表当事人无罪的辩护观点，但应就无罪辩护观点充分听取当事人意见。辩护律师与当事人或者委托人就辩护方案产生严重分歧，不能达成一致的，可以代表律师事务所与委托人协商解除委托关系。</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firstLine="562"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b/>
          <w:bCs/>
          <w:color w:val="000000"/>
          <w:sz w:val="28"/>
          <w:szCs w:val="28"/>
          <w:shd w:val="clear" w:color="auto" w:fill="FFFFFF"/>
        </w:rPr>
        <w:t>第二十一条</w:t>
      </w:r>
      <w:r>
        <w:rPr>
          <w:rFonts w:hint="eastAsia" w:ascii="仿宋_GB2312" w:hAnsi="仿宋" w:eastAsia="仿宋_GB2312" w:cs="仿宋"/>
          <w:color w:val="000000"/>
          <w:sz w:val="28"/>
          <w:szCs w:val="28"/>
          <w:shd w:val="clear" w:color="auto" w:fill="FFFFFF"/>
        </w:rPr>
        <w:t xml:space="preserve">  辩护律师在审判阶段发现有利于当事人的新情节时，应申请人民检察院依法调整量刑建议，并向人民法院提供材料和意见。 </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firstLine="562"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b/>
          <w:bCs/>
          <w:color w:val="000000"/>
          <w:sz w:val="28"/>
          <w:szCs w:val="28"/>
          <w:shd w:val="clear" w:color="auto" w:fill="FFFFFF"/>
        </w:rPr>
        <w:t>第二十二条</w:t>
      </w:r>
      <w:r>
        <w:rPr>
          <w:rFonts w:hint="eastAsia" w:ascii="仿宋_GB2312" w:hAnsi="仿宋" w:eastAsia="仿宋_GB2312" w:cs="仿宋"/>
          <w:color w:val="000000"/>
          <w:sz w:val="28"/>
          <w:szCs w:val="28"/>
          <w:shd w:val="clear" w:color="auto" w:fill="FFFFFF"/>
        </w:rPr>
        <w:t xml:space="preserve">  对于被羁押的当事人，辩护律师应重视变更强制措施的辩护，根据案件情况及时向办案机关申请变更强制措施。</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firstLine="562"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b/>
          <w:bCs/>
          <w:color w:val="000000"/>
          <w:sz w:val="28"/>
          <w:szCs w:val="28"/>
          <w:shd w:val="clear" w:color="auto" w:fill="FFFFFF"/>
        </w:rPr>
        <w:t>第二十三条</w:t>
      </w:r>
      <w:r>
        <w:rPr>
          <w:rFonts w:hint="eastAsia" w:ascii="仿宋_GB2312" w:hAnsi="仿宋" w:eastAsia="仿宋_GB2312" w:cs="仿宋"/>
          <w:color w:val="000000"/>
          <w:sz w:val="28"/>
          <w:szCs w:val="28"/>
          <w:shd w:val="clear" w:color="auto" w:fill="FFFFFF"/>
        </w:rPr>
        <w:t xml:space="preserve">  辩护律师应重视财产处理的辩护，包括罚金数额，涉案财产没收，财产冻结、查封、扣押措施的解除等方面的研究和辩护。</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firstLine="562"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b/>
          <w:bCs/>
          <w:color w:val="000000"/>
          <w:sz w:val="28"/>
          <w:szCs w:val="28"/>
          <w:shd w:val="clear" w:color="auto" w:fill="FFFFFF"/>
        </w:rPr>
        <w:t>第二十四条</w:t>
      </w:r>
      <w:r>
        <w:rPr>
          <w:rFonts w:hint="eastAsia" w:ascii="仿宋_GB2312" w:hAnsi="仿宋" w:eastAsia="仿宋_GB2312" w:cs="仿宋"/>
          <w:color w:val="000000"/>
          <w:sz w:val="28"/>
          <w:szCs w:val="28"/>
          <w:shd w:val="clear" w:color="auto" w:fill="FFFFFF"/>
        </w:rPr>
        <w:t xml:space="preserve">  当事人对判决不服要求上诉的，辩护律师应当及时会见当事人，听取上诉理由，提示上诉可能产生的风险，包括可能被视为反悔和被人民检察院提请抗诉加刑的风险。</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仿宋" w:hAnsi="仿宋" w:eastAsia="仿宋" w:cs="仿宋"/>
          <w:color w:val="000000"/>
          <w:sz w:val="28"/>
          <w:szCs w:val="28"/>
          <w:shd w:val="clear" w:color="auto" w:fill="FFFFFF"/>
        </w:rPr>
      </w:pP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outlineLvl w:val="0"/>
        <w:rPr>
          <w:rFonts w:hint="eastAsia" w:ascii="黑体" w:hAnsi="黑体" w:eastAsia="黑体" w:cs="黑体"/>
          <w:color w:val="000000"/>
          <w:sz w:val="28"/>
          <w:szCs w:val="28"/>
          <w:shd w:val="clear" w:color="auto" w:fill="FFFFFF"/>
        </w:rPr>
      </w:pPr>
      <w:bookmarkStart w:id="33" w:name="_Toc23748"/>
      <w:r>
        <w:rPr>
          <w:rFonts w:hint="eastAsia" w:ascii="黑体" w:hAnsi="黑体" w:eastAsia="黑体" w:cs="黑体"/>
          <w:color w:val="000000"/>
          <w:sz w:val="28"/>
          <w:szCs w:val="28"/>
          <w:shd w:val="clear" w:color="auto" w:fill="FFFFFF"/>
        </w:rPr>
        <w:t>第五章  值班律师办理认罪认罚案件</w:t>
      </w:r>
      <w:bookmarkEnd w:id="33"/>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firstLine="562"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b/>
          <w:bCs/>
          <w:color w:val="000000"/>
          <w:sz w:val="28"/>
          <w:szCs w:val="28"/>
          <w:shd w:val="clear" w:color="auto" w:fill="FFFFFF"/>
        </w:rPr>
        <w:t>第二十五条</w:t>
      </w:r>
      <w:r>
        <w:rPr>
          <w:rFonts w:hint="eastAsia" w:ascii="仿宋_GB2312" w:hAnsi="仿宋" w:eastAsia="仿宋_GB2312" w:cs="仿宋"/>
          <w:color w:val="000000"/>
          <w:sz w:val="28"/>
          <w:szCs w:val="28"/>
          <w:shd w:val="clear" w:color="auto" w:fill="FFFFFF"/>
        </w:rPr>
        <w:t xml:space="preserve">  值班律师应当会见当事人，确认同意值班律师为其提供法律帮助的意愿，为其提供法律咨询，包括解释犯罪构成和法定量刑幅度、解释影响量刑的情节、告知诉讼权利和义务、告知诉讼程序规定等。</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firstLine="562"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b/>
          <w:bCs/>
          <w:color w:val="000000"/>
          <w:sz w:val="28"/>
          <w:szCs w:val="28"/>
          <w:shd w:val="clear" w:color="auto" w:fill="FFFFFF"/>
        </w:rPr>
        <w:t>第二十六条</w:t>
      </w:r>
      <w:r>
        <w:rPr>
          <w:rFonts w:hint="eastAsia" w:ascii="仿宋_GB2312" w:hAnsi="仿宋" w:eastAsia="仿宋_GB2312" w:cs="仿宋"/>
          <w:color w:val="000000"/>
          <w:sz w:val="28"/>
          <w:szCs w:val="28"/>
          <w:shd w:val="clear" w:color="auto" w:fill="FFFFFF"/>
        </w:rPr>
        <w:t xml:space="preserve">  值班律师应向当事人告知无偿服务的性质，告知其不提供出庭服务，当事人要求聘请律师出庭辩护的，值班律师应将当事人请求告知办案机关。当事人有申请法律援助意愿的，应当引导和帮助当事人及其近亲属申请法律援助。 </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firstLine="562"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b/>
          <w:bCs/>
          <w:color w:val="000000"/>
          <w:sz w:val="28"/>
          <w:szCs w:val="28"/>
          <w:shd w:val="clear" w:color="auto" w:fill="FFFFFF"/>
        </w:rPr>
        <w:t>第二十七条</w:t>
      </w:r>
      <w:r>
        <w:rPr>
          <w:rFonts w:hint="eastAsia" w:ascii="仿宋_GB2312" w:hAnsi="仿宋" w:eastAsia="仿宋_GB2312" w:cs="仿宋"/>
          <w:color w:val="000000"/>
          <w:sz w:val="28"/>
          <w:szCs w:val="28"/>
          <w:shd w:val="clear" w:color="auto" w:fill="FFFFFF"/>
        </w:rPr>
        <w:t xml:space="preserve">  值班律师应当听取当事人提出的无罪、罪轻的辩解意见，并告知办案机关。办案机关对当事人提出的影响定罪量刑的辩解不予采纳的，值班律师应及时告知当事人。</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firstLine="562"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b/>
          <w:bCs/>
          <w:color w:val="000000"/>
          <w:sz w:val="28"/>
          <w:szCs w:val="28"/>
          <w:shd w:val="clear" w:color="auto" w:fill="FFFFFF"/>
        </w:rPr>
        <w:t>第二十八条</w:t>
      </w:r>
      <w:r>
        <w:rPr>
          <w:rFonts w:hint="eastAsia" w:ascii="仿宋_GB2312" w:hAnsi="仿宋" w:eastAsia="仿宋_GB2312" w:cs="仿宋"/>
          <w:color w:val="000000"/>
          <w:sz w:val="28"/>
          <w:szCs w:val="28"/>
          <w:shd w:val="clear" w:color="auto" w:fill="FFFFFF"/>
        </w:rPr>
        <w:t xml:space="preserve">  值班律师在见证签署认罪认罚具结书过程中，对见证案件的罪名认定及证据证明内容有疑问的，可以向办案检察官提出查阅卷宗材料的要求。</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firstLine="562"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b/>
          <w:bCs/>
          <w:color w:val="000000"/>
          <w:sz w:val="28"/>
          <w:szCs w:val="28"/>
          <w:shd w:val="clear" w:color="auto" w:fill="FFFFFF"/>
        </w:rPr>
        <w:t>第二十九条</w:t>
      </w:r>
      <w:r>
        <w:rPr>
          <w:rFonts w:hint="eastAsia" w:ascii="仿宋_GB2312" w:hAnsi="仿宋" w:eastAsia="仿宋_GB2312" w:cs="仿宋"/>
          <w:color w:val="000000"/>
          <w:sz w:val="28"/>
          <w:szCs w:val="28"/>
          <w:shd w:val="clear" w:color="auto" w:fill="FFFFFF"/>
        </w:rPr>
        <w:t xml:space="preserve">  值班律师在查阅卷宗及听取犯罪嫌疑人意见后，认为案件不符合认罪认罚从宽制度适用条件或者认罪认罚具结书中载明的犯罪事实、认定罪名或量刑建议与案件实际不符的，可以提出不同意案件适用认罪认罚从宽制度的意见，并拒绝在具结文书中签名。</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firstLine="560"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当事人要求聘请辩护律师或指定辩护律师的，值班律师可以拒绝继续参与见证签署认罪认罚具结书。</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firstLine="562"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b/>
          <w:bCs/>
          <w:color w:val="000000"/>
          <w:sz w:val="28"/>
          <w:szCs w:val="28"/>
          <w:shd w:val="clear" w:color="auto" w:fill="FFFFFF"/>
        </w:rPr>
        <w:t>第三十条</w:t>
      </w:r>
      <w:r>
        <w:rPr>
          <w:rFonts w:hint="eastAsia" w:ascii="仿宋_GB2312" w:hAnsi="仿宋" w:eastAsia="仿宋_GB2312" w:cs="仿宋"/>
          <w:color w:val="000000"/>
          <w:sz w:val="28"/>
          <w:szCs w:val="28"/>
          <w:shd w:val="clear" w:color="auto" w:fill="FFFFFF"/>
        </w:rPr>
        <w:t xml:space="preserve">  值班律师应注意冲突规范，原则上不在后续工作中为同案的其他当事人提供法律服务。法律援助机构的指派存在冲突的，应及时向法律援助机构反映。</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firstLine="562"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b/>
          <w:bCs/>
          <w:color w:val="000000"/>
          <w:sz w:val="28"/>
          <w:szCs w:val="28"/>
          <w:shd w:val="clear" w:color="auto" w:fill="FFFFFF"/>
        </w:rPr>
        <w:t xml:space="preserve">第三十一条 </w:t>
      </w:r>
      <w:r>
        <w:rPr>
          <w:rFonts w:hint="eastAsia" w:ascii="仿宋_GB2312" w:hAnsi="仿宋" w:eastAsia="仿宋_GB2312" w:cs="仿宋"/>
          <w:color w:val="000000"/>
          <w:sz w:val="28"/>
          <w:szCs w:val="28"/>
          <w:shd w:val="clear" w:color="auto" w:fill="FFFFFF"/>
        </w:rPr>
        <w:t xml:space="preserve"> 值班律师可以根据案件的实际情况向办案机关提出辩护意见，或者申请调查取证、申请变更强制措施或者对量刑提出建议，供办案机关办案时参考。</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黑体" w:hAnsi="黑体" w:eastAsia="黑体" w:cs="黑体"/>
          <w:color w:val="000000"/>
          <w:sz w:val="28"/>
          <w:szCs w:val="28"/>
          <w:shd w:val="clear" w:color="auto" w:fill="FFFFFF"/>
        </w:rPr>
      </w:pP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outlineLvl w:val="0"/>
        <w:rPr>
          <w:rFonts w:hint="eastAsia" w:ascii="黑体" w:hAnsi="黑体" w:eastAsia="黑体" w:cs="黑体"/>
          <w:color w:val="000000"/>
          <w:sz w:val="28"/>
          <w:szCs w:val="28"/>
          <w:shd w:val="clear" w:color="auto" w:fill="FFFFFF"/>
        </w:rPr>
      </w:pPr>
      <w:bookmarkStart w:id="34" w:name="_Toc13258"/>
      <w:r>
        <w:rPr>
          <w:rFonts w:hint="eastAsia" w:ascii="黑体" w:hAnsi="黑体" w:eastAsia="黑体" w:cs="黑体"/>
          <w:color w:val="000000"/>
          <w:sz w:val="28"/>
          <w:szCs w:val="28"/>
          <w:shd w:val="clear" w:color="auto" w:fill="FFFFFF"/>
        </w:rPr>
        <w:t>第六章  附则</w:t>
      </w:r>
      <w:bookmarkEnd w:id="34"/>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firstLine="562"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b/>
          <w:bCs/>
          <w:color w:val="000000"/>
          <w:sz w:val="28"/>
          <w:szCs w:val="28"/>
          <w:shd w:val="clear" w:color="auto" w:fill="FFFFFF"/>
        </w:rPr>
        <w:t>第三十二条</w:t>
      </w:r>
      <w:r>
        <w:rPr>
          <w:rFonts w:hint="eastAsia" w:ascii="仿宋_GB2312" w:hAnsi="仿宋" w:eastAsia="仿宋_GB2312" w:cs="仿宋"/>
          <w:color w:val="000000"/>
          <w:sz w:val="28"/>
          <w:szCs w:val="28"/>
          <w:shd w:val="clear" w:color="auto" w:fill="FFFFFF"/>
        </w:rPr>
        <w:t xml:space="preserve">  律师应保存当事人真实自愿认罪认罚的工作记录，并随案卷保存。</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firstLine="562"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b/>
          <w:bCs/>
          <w:color w:val="000000"/>
          <w:sz w:val="28"/>
          <w:szCs w:val="28"/>
          <w:shd w:val="clear" w:color="auto" w:fill="FFFFFF"/>
        </w:rPr>
        <w:t xml:space="preserve">第三十三条 </w:t>
      </w:r>
      <w:r>
        <w:rPr>
          <w:rFonts w:hint="eastAsia" w:ascii="仿宋_GB2312" w:hAnsi="仿宋" w:eastAsia="仿宋_GB2312" w:cs="仿宋"/>
          <w:color w:val="000000"/>
          <w:sz w:val="28"/>
          <w:szCs w:val="28"/>
          <w:shd w:val="clear" w:color="auto" w:fill="FFFFFF"/>
        </w:rPr>
        <w:t xml:space="preserve"> 本指引的理解与适用由湖南省律师协会负责解释。</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sz w:val="20"/>
          <w:szCs w:val="21"/>
        </w:rPr>
      </w:pPr>
      <w:r>
        <w:rPr>
          <w:sz w:val="20"/>
          <w:szCs w:val="21"/>
        </w:rPr>
        <w:br w:type="page"/>
      </w:r>
      <w:r>
        <w:rPr>
          <w:sz w:val="20"/>
        </w:rPr>
        <mc:AlternateContent>
          <mc:Choice Requires="wps">
            <w:drawing>
              <wp:anchor distT="0" distB="0" distL="114300" distR="114300" simplePos="0" relativeHeight="251723776" behindDoc="0" locked="0" layoutInCell="1" allowOverlap="1">
                <wp:simplePos x="0" y="0"/>
                <wp:positionH relativeFrom="column">
                  <wp:posOffset>-345440</wp:posOffset>
                </wp:positionH>
                <wp:positionV relativeFrom="paragraph">
                  <wp:posOffset>6276340</wp:posOffset>
                </wp:positionV>
                <wp:extent cx="1508125" cy="1016000"/>
                <wp:effectExtent l="0" t="0" r="15875" b="12700"/>
                <wp:wrapNone/>
                <wp:docPr id="17" name="文本框 17"/>
                <wp:cNvGraphicFramePr/>
                <a:graphic xmlns:a="http://schemas.openxmlformats.org/drawingml/2006/main">
                  <a:graphicData uri="http://schemas.microsoft.com/office/word/2010/wordprocessingShape">
                    <wps:wsp>
                      <wps:cNvSpPr txBox="1"/>
                      <wps:spPr>
                        <a:xfrm>
                          <a:off x="0" y="0"/>
                          <a:ext cx="1508125" cy="1016000"/>
                        </a:xfrm>
                        <a:prstGeom prst="rect">
                          <a:avLst/>
                        </a:prstGeom>
                        <a:solidFill>
                          <a:srgbClr val="FFFFFF"/>
                        </a:solidFill>
                        <a:ln>
                          <a:noFill/>
                        </a:ln>
                      </wps:spPr>
                      <wps:txbx>
                        <w:txbxContent>
                          <w:p/>
                        </w:txbxContent>
                      </wps:txbx>
                      <wps:bodyPr upright="1"/>
                    </wps:wsp>
                  </a:graphicData>
                </a:graphic>
              </wp:anchor>
            </w:drawing>
          </mc:Choice>
          <mc:Fallback>
            <w:pict>
              <v:shape id="_x0000_s1026" o:spid="_x0000_s1026" o:spt="202" type="#_x0000_t202" style="position:absolute;left:0pt;margin-left:-27.2pt;margin-top:494.2pt;height:80pt;width:118.75pt;z-index:251723776;mso-width-relative:page;mso-height-relative:page;" fillcolor="#FFFFFF" filled="t" stroked="f" coordsize="21600,21600" o:gfxdata="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4BDFe2QAAAAwBAAAPAAAAAAAAAAEAIAAAACIAAABkcnMvZG93bnJl&#10;di54bWxQSwECFAAUAAAACACHTuJAdFlra8MBAAB6AwAADgAAAAAAAAABACAAAAAoAQAAZHJzL2Uy&#10;b0RvYy54bWxQSwUGAAAAAAYABgBZAQAAXQUAAAAA&#10;">
                <v:fill on="t" focussize="0,0"/>
                <v:stroke on="f"/>
                <v:imagedata o:title=""/>
                <o:lock v:ext="edit" aspectratio="f"/>
                <v:textbox>
                  <w:txbxContent>
                    <w:p/>
                  </w:txbxContent>
                </v:textbox>
              </v:shape>
            </w:pict>
          </mc:Fallback>
        </mc:AlternateContent>
      </w:r>
      <w:r>
        <w:rPr>
          <w:sz w:val="20"/>
          <w:szCs w:val="21"/>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sz w:val="20"/>
          <w:szCs w:val="21"/>
        </w:rPr>
      </w:pP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方正小标宋简体" w:hAnsi="方正小标宋简体" w:eastAsia="方正小标宋简体" w:cs="方正小标宋简体"/>
          <w:color w:val="000000"/>
          <w:sz w:val="48"/>
          <w:szCs w:val="48"/>
          <w:shd w:val="clear" w:color="auto" w:fill="FFFFFF"/>
        </w:rPr>
      </w:pP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方正小标宋简体" w:hAnsi="方正小标宋简体" w:eastAsia="方正小标宋简体" w:cs="方正小标宋简体"/>
          <w:color w:val="000000"/>
          <w:sz w:val="48"/>
          <w:szCs w:val="48"/>
          <w:shd w:val="clear" w:color="auto" w:fill="FFFFFF"/>
        </w:rPr>
      </w:pPr>
    </w:p>
    <w:p>
      <w:pPr>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rPr>
          <w:rFonts w:hint="eastAsia" w:ascii="方正小标宋简体" w:hAnsi="方正小标宋简体" w:eastAsia="方正小标宋简体" w:cs="方正小标宋简体"/>
          <w:color w:val="000000"/>
          <w:sz w:val="48"/>
          <w:szCs w:val="48"/>
          <w:shd w:val="clear" w:color="auto" w:fill="FFFFFF"/>
        </w:rPr>
      </w:pPr>
    </w:p>
    <w:p>
      <w:pPr>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outlineLvl w:val="0"/>
        <w:rPr>
          <w:rFonts w:hint="eastAsia" w:ascii="方正小标宋简体" w:hAnsi="方正小标宋简体" w:eastAsia="方正小标宋简体" w:cs="方正小标宋简体"/>
          <w:color w:val="000000"/>
          <w:sz w:val="48"/>
          <w:szCs w:val="48"/>
          <w:shd w:val="clear" w:color="auto" w:fill="FFFFFF"/>
        </w:rPr>
      </w:pPr>
      <w:bookmarkStart w:id="35" w:name="_Toc3254"/>
      <w:r>
        <w:rPr>
          <w:rFonts w:hint="eastAsia" w:ascii="方正小标宋简体" w:hAnsi="方正小标宋简体" w:eastAsia="方正小标宋简体" w:cs="方正小标宋简体"/>
          <w:color w:val="000000"/>
          <w:sz w:val="48"/>
          <w:szCs w:val="48"/>
          <w:shd w:val="clear" w:color="auto" w:fill="FFFFFF"/>
        </w:rPr>
        <w:t>民事合同纠纷案件诉讼</w:t>
      </w:r>
      <w:bookmarkEnd w:id="35"/>
    </w:p>
    <w:p>
      <w:pPr>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outlineLvl w:val="0"/>
        <w:rPr>
          <w:rFonts w:hint="eastAsia" w:ascii="方正小标宋简体" w:hAnsi="方正小标宋简体" w:eastAsia="方正小标宋简体" w:cs="方正小标宋简体"/>
          <w:color w:val="000000"/>
          <w:sz w:val="48"/>
          <w:szCs w:val="48"/>
          <w:shd w:val="clear" w:color="auto" w:fill="FFFFFF"/>
        </w:rPr>
      </w:pPr>
      <w:bookmarkStart w:id="36" w:name="_Toc29926"/>
      <w:r>
        <w:rPr>
          <w:rFonts w:hint="eastAsia" w:ascii="方正小标宋简体" w:hAnsi="方正小标宋简体" w:eastAsia="方正小标宋简体" w:cs="方正小标宋简体"/>
          <w:color w:val="000000"/>
          <w:sz w:val="48"/>
          <w:szCs w:val="48"/>
          <w:shd w:val="clear" w:color="auto" w:fill="FFFFFF"/>
        </w:rPr>
        <w:t>业务操作指引</w:t>
      </w:r>
      <w:bookmarkEnd w:id="36"/>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方正小标宋简体" w:hAnsi="方正小标宋简体" w:eastAsia="方正小标宋简体" w:cs="方正小标宋简体"/>
          <w:color w:val="000000"/>
          <w:sz w:val="40"/>
          <w:szCs w:val="40"/>
          <w:shd w:val="clear" w:color="auto" w:fill="FFFFFF"/>
        </w:rPr>
      </w:pPr>
      <w:r>
        <w:rPr>
          <w:rFonts w:hint="eastAsia" w:ascii="方正小标宋简体" w:hAnsi="方正小标宋简体" w:eastAsia="方正小标宋简体" w:cs="方正小标宋简体"/>
          <w:color w:val="000000"/>
          <w:sz w:val="48"/>
          <w:szCs w:val="48"/>
          <w:shd w:val="clear" w:color="auto" w:fill="FFFFFF"/>
        </w:rPr>
        <w:br w:type="page"/>
      </w:r>
      <w:r>
        <w:rPr>
          <w:sz w:val="20"/>
        </w:rPr>
        <mc:AlternateContent>
          <mc:Choice Requires="wps">
            <w:drawing>
              <wp:anchor distT="0" distB="0" distL="114300" distR="114300" simplePos="0" relativeHeight="251724800" behindDoc="0" locked="0" layoutInCell="1" allowOverlap="1">
                <wp:simplePos x="0" y="0"/>
                <wp:positionH relativeFrom="column">
                  <wp:posOffset>-345440</wp:posOffset>
                </wp:positionH>
                <wp:positionV relativeFrom="paragraph">
                  <wp:posOffset>6276340</wp:posOffset>
                </wp:positionV>
                <wp:extent cx="1508125" cy="1016000"/>
                <wp:effectExtent l="0" t="0" r="15875" b="12700"/>
                <wp:wrapNone/>
                <wp:docPr id="19" name="文本框 19"/>
                <wp:cNvGraphicFramePr/>
                <a:graphic xmlns:a="http://schemas.openxmlformats.org/drawingml/2006/main">
                  <a:graphicData uri="http://schemas.microsoft.com/office/word/2010/wordprocessingShape">
                    <wps:wsp>
                      <wps:cNvSpPr txBox="1"/>
                      <wps:spPr>
                        <a:xfrm>
                          <a:off x="0" y="0"/>
                          <a:ext cx="1508125" cy="1016000"/>
                        </a:xfrm>
                        <a:prstGeom prst="rect">
                          <a:avLst/>
                        </a:prstGeom>
                        <a:solidFill>
                          <a:srgbClr val="FFFFFF"/>
                        </a:solidFill>
                        <a:ln>
                          <a:noFill/>
                        </a:ln>
                      </wps:spPr>
                      <wps:txbx>
                        <w:txbxContent>
                          <w:p/>
                        </w:txbxContent>
                      </wps:txbx>
                      <wps:bodyPr upright="1"/>
                    </wps:wsp>
                  </a:graphicData>
                </a:graphic>
              </wp:anchor>
            </w:drawing>
          </mc:Choice>
          <mc:Fallback>
            <w:pict>
              <v:shape id="_x0000_s1026" o:spid="_x0000_s1026" o:spt="202" type="#_x0000_t202" style="position:absolute;left:0pt;margin-left:-27.2pt;margin-top:494.2pt;height:80pt;width:118.75pt;z-index:251724800;mso-width-relative:page;mso-height-relative:page;" fillcolor="#FFFFFF" filled="t" stroked="f" coordsize="21600,21600" o:gfxdata="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4BDFe2QAAAAwBAAAPAAAAAAAAAAEAIAAAACIAAABkcnMvZG93bnJl&#10;di54bWxQSwECFAAUAAAACACHTuJAXnV20MMBAAB6AwAADgAAAAAAAAABACAAAAAoAQAAZHJzL2Uy&#10;b0RvYy54bWxQSwUGAAAAAAYABgBZAQAAXQUAAAAA&#10;">
                <v:fill on="t" focussize="0,0"/>
                <v:stroke on="f"/>
                <v:imagedata o:title=""/>
                <o:lock v:ext="edit" aspectratio="f"/>
                <v:textbox>
                  <w:txbxContent>
                    <w:p/>
                  </w:txbxContent>
                </v:textbox>
              </v:shape>
            </w:pict>
          </mc:Fallback>
        </mc:AlternateContent>
      </w:r>
      <w:r>
        <w:rPr>
          <w:color w:val="000000"/>
          <w:sz w:val="20"/>
          <w:szCs w:val="21"/>
        </w:rPr>
        <mc:AlternateContent>
          <mc:Choice Requires="wps">
            <w:drawing>
              <wp:anchor distT="0" distB="0" distL="114300" distR="114300" simplePos="0" relativeHeight="251660288" behindDoc="0" locked="0" layoutInCell="1" allowOverlap="1">
                <wp:simplePos x="0" y="0"/>
                <wp:positionH relativeFrom="column">
                  <wp:posOffset>-541020</wp:posOffset>
                </wp:positionH>
                <wp:positionV relativeFrom="paragraph">
                  <wp:posOffset>8255635</wp:posOffset>
                </wp:positionV>
                <wp:extent cx="1492250" cy="751840"/>
                <wp:effectExtent l="4445" t="4445" r="8255" b="5715"/>
                <wp:wrapNone/>
                <wp:docPr id="9" name="矩形 9"/>
                <wp:cNvGraphicFramePr/>
                <a:graphic xmlns:a="http://schemas.openxmlformats.org/drawingml/2006/main">
                  <a:graphicData uri="http://schemas.microsoft.com/office/word/2010/wordprocessingShape">
                    <wps:wsp>
                      <wps:cNvSpPr/>
                      <wps:spPr>
                        <a:xfrm>
                          <a:off x="0" y="0"/>
                          <a:ext cx="1492250" cy="751840"/>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42.6pt;margin-top:650.05pt;height:59.2pt;width:117.5pt;z-index:251660288;mso-width-relative:page;mso-height-relative:page;" fillcolor="#FFFFFF" filled="t" stroked="t" coordsize="21600,21600" o:gfxdata="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nWC4nZAAAADQEAAA8AAAAAAAAAAQAgAAAAIgAAAGRycy9kb3ducmV2Lnht&#10;bFBLAQIUABQAAAAIAIdO4kCrpXvL+AEAAB4EAAAOAAAAAAAAAAEAIAAAACgBAABkcnMvZTJvRG9j&#10;LnhtbFBLBQYAAAAABgAGAFkBAACSBQAAAAA=&#10;">
                <v:fill on="t" focussize="0,0"/>
                <v:stroke color="#FFFFFF" joinstyle="miter"/>
                <v:imagedata o:title=""/>
                <o:lock v:ext="edit" aspectratio="f"/>
              </v:rect>
            </w:pict>
          </mc:Fallback>
        </mc:AlternateContent>
      </w:r>
      <w:r>
        <w:rPr>
          <w:rFonts w:hint="eastAsia"/>
          <w:color w:val="000000"/>
          <w:sz w:val="20"/>
          <w:szCs w:val="21"/>
        </w:rPr>
        <w:br w:type="page"/>
      </w:r>
      <w:r>
        <w:rPr>
          <w:rFonts w:hint="eastAsia" w:ascii="方正小标宋简体" w:hAnsi="方正小标宋简体" w:eastAsia="方正小标宋简体" w:cs="方正小标宋简体"/>
          <w:color w:val="000000"/>
          <w:sz w:val="40"/>
          <w:szCs w:val="40"/>
          <w:shd w:val="clear" w:color="auto" w:fill="FFFFFF"/>
        </w:rPr>
        <w:t>民事合同纠纷案件诉讼业务操作指引</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firstLine="560" w:firstLineChars="200"/>
        <w:textAlignment w:val="auto"/>
        <w:rPr>
          <w:rFonts w:hint="eastAsia" w:ascii="仿宋_GB2312" w:hAnsi="宋体" w:eastAsia="仿宋_GB2312"/>
          <w:color w:val="000000"/>
          <w:sz w:val="28"/>
          <w:szCs w:val="28"/>
        </w:rPr>
      </w:pP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为指导律师在合同纠纷类诉讼案件法律实务中依法履行职责，提高律师实务能力，依据《中华人民共和国民法典》的规定，制定本指引，供律师参考适用。</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第一条</w:t>
      </w:r>
      <w:r>
        <w:rPr>
          <w:rFonts w:hint="eastAsia" w:ascii="仿宋_GB2312" w:hAnsi="仿宋" w:eastAsia="仿宋_GB2312" w:cs="仿宋"/>
          <w:color w:val="000000"/>
          <w:sz w:val="28"/>
          <w:szCs w:val="28"/>
        </w:rPr>
        <w:t xml:space="preserve">  律师接待涉及合同纠纷案件当事人，应听取当事人对案件事实的陈述，并就以下问题进行询问：</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outlineLvl w:val="0"/>
        <w:rPr>
          <w:rFonts w:hint="eastAsia" w:ascii="仿宋_GB2312" w:hAnsi="仿宋" w:eastAsia="仿宋_GB2312" w:cs="仿宋"/>
          <w:color w:val="000000"/>
          <w:sz w:val="28"/>
          <w:szCs w:val="28"/>
        </w:rPr>
      </w:pPr>
      <w:bookmarkStart w:id="37" w:name="_Toc31913"/>
      <w:r>
        <w:rPr>
          <w:rFonts w:hint="eastAsia" w:ascii="仿宋_GB2312" w:hAnsi="仿宋" w:eastAsia="仿宋_GB2312" w:cs="仿宋"/>
          <w:color w:val="000000"/>
          <w:sz w:val="28"/>
          <w:szCs w:val="28"/>
        </w:rPr>
        <w:t>（一）签订合同的时间、地点以及当事人的基本情况；</w:t>
      </w:r>
      <w:bookmarkEnd w:id="37"/>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outlineLvl w:val="0"/>
        <w:rPr>
          <w:rFonts w:hint="eastAsia" w:ascii="仿宋_GB2312" w:hAnsi="仿宋" w:eastAsia="仿宋_GB2312" w:cs="仿宋"/>
          <w:color w:val="000000"/>
          <w:sz w:val="28"/>
          <w:szCs w:val="28"/>
        </w:rPr>
      </w:pPr>
      <w:bookmarkStart w:id="38" w:name="_Toc6361"/>
      <w:r>
        <w:rPr>
          <w:rFonts w:hint="eastAsia" w:ascii="仿宋_GB2312" w:hAnsi="仿宋" w:eastAsia="仿宋_GB2312" w:cs="仿宋"/>
          <w:color w:val="000000"/>
          <w:sz w:val="28"/>
          <w:szCs w:val="28"/>
        </w:rPr>
        <w:t>（二）合同的背景、内容及目的；</w:t>
      </w:r>
      <w:bookmarkEnd w:id="38"/>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outlineLvl w:val="0"/>
        <w:rPr>
          <w:rFonts w:hint="eastAsia" w:ascii="仿宋_GB2312" w:hAnsi="仿宋" w:eastAsia="仿宋_GB2312" w:cs="仿宋"/>
          <w:color w:val="000000"/>
          <w:sz w:val="28"/>
          <w:szCs w:val="28"/>
        </w:rPr>
      </w:pPr>
      <w:bookmarkStart w:id="39" w:name="_Toc3213"/>
      <w:r>
        <w:rPr>
          <w:rFonts w:hint="eastAsia" w:ascii="仿宋_GB2312" w:hAnsi="仿宋" w:eastAsia="仿宋_GB2312" w:cs="仿宋"/>
          <w:color w:val="000000"/>
          <w:sz w:val="28"/>
          <w:szCs w:val="28"/>
        </w:rPr>
        <w:t>（三）合同的履行状况；</w:t>
      </w:r>
      <w:bookmarkEnd w:id="39"/>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outlineLvl w:val="0"/>
        <w:rPr>
          <w:rFonts w:hint="eastAsia" w:ascii="仿宋_GB2312" w:hAnsi="仿宋" w:eastAsia="仿宋_GB2312" w:cs="仿宋"/>
          <w:color w:val="000000"/>
          <w:sz w:val="28"/>
          <w:szCs w:val="28"/>
        </w:rPr>
      </w:pPr>
      <w:bookmarkStart w:id="40" w:name="_Toc28818"/>
      <w:r>
        <w:rPr>
          <w:rFonts w:hint="eastAsia" w:ascii="仿宋_GB2312" w:hAnsi="仿宋" w:eastAsia="仿宋_GB2312" w:cs="仿宋"/>
          <w:color w:val="000000"/>
          <w:sz w:val="28"/>
          <w:szCs w:val="28"/>
        </w:rPr>
        <w:t>（四）发生争议的主要内容；</w:t>
      </w:r>
      <w:bookmarkEnd w:id="40"/>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outlineLvl w:val="0"/>
        <w:rPr>
          <w:rFonts w:hint="eastAsia" w:ascii="仿宋_GB2312" w:hAnsi="仿宋" w:eastAsia="仿宋_GB2312" w:cs="仿宋"/>
          <w:color w:val="000000"/>
          <w:sz w:val="28"/>
          <w:szCs w:val="28"/>
        </w:rPr>
      </w:pPr>
      <w:bookmarkStart w:id="41" w:name="_Toc32595"/>
      <w:r>
        <w:rPr>
          <w:rFonts w:hint="eastAsia" w:ascii="仿宋_GB2312" w:hAnsi="仿宋" w:eastAsia="仿宋_GB2312" w:cs="仿宋"/>
          <w:color w:val="000000"/>
          <w:sz w:val="28"/>
          <w:szCs w:val="28"/>
        </w:rPr>
        <w:t>（五）当事人的主张。</w:t>
      </w:r>
      <w:bookmarkEnd w:id="41"/>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 xml:space="preserve">第二条 </w:t>
      </w:r>
      <w:r>
        <w:rPr>
          <w:rFonts w:hint="eastAsia" w:ascii="仿宋_GB2312" w:hAnsi="仿宋" w:eastAsia="仿宋_GB2312" w:cs="仿宋"/>
          <w:color w:val="000000"/>
          <w:sz w:val="28"/>
          <w:szCs w:val="28"/>
        </w:rPr>
        <w:t xml:space="preserve"> 律师在了解基本案情的基础上，应根据不同的案件，围绕产生争议的主要问题，要求当事人提供与其陈述相对应的以下证据材料：</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（一）签订、履行合同主体的身份信息；</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（二）证明合同成立、生效、变更、解除、可撤销或者无效的证据；</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（三）证明合同履行状况的证据；</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（四）支持当事人诉讼请求或抗辩事由的证据；</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（五）证明合同纠纷发生的起因、经过、结果的证据；</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（六）争议发生的解决方式及管辖；</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（七）其他与案件有关的证据。</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第三条</w:t>
      </w:r>
      <w:r>
        <w:rPr>
          <w:rFonts w:hint="eastAsia" w:ascii="仿宋_GB2312" w:hAnsi="仿宋" w:eastAsia="仿宋_GB2312" w:cs="仿宋"/>
          <w:color w:val="000000"/>
          <w:sz w:val="28"/>
          <w:szCs w:val="28"/>
        </w:rPr>
        <w:t xml:space="preserve">  律师根据当事人对合同纠纷的过程的事实陈述及诉求，从以下几方面对当事人提交的证据材料进行初步审查和处理：</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（一）对解决争议的方式及管辖作出判断；</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（二）案件事实清楚、证据充分的，作好起诉或应诉工作；</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（三）证据不充分的，制作补充证据清单，要求当事人提供；</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（四）当事人无法自行取得的，应在当事人的协助下，由律师自行调取；</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（五）律师无法调取的，申请人民法院调取，或者申请人民法院出具调查令调取。</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第四条</w:t>
      </w:r>
      <w:r>
        <w:rPr>
          <w:rFonts w:hint="eastAsia" w:ascii="仿宋_GB2312" w:hAnsi="仿宋" w:eastAsia="仿宋_GB2312" w:cs="仿宋"/>
          <w:color w:val="000000"/>
          <w:sz w:val="28"/>
          <w:szCs w:val="28"/>
        </w:rPr>
        <w:t xml:space="preserve">  律师应审查证据的真实性、合法性、关联性以及证明目的。</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第五条</w:t>
      </w:r>
      <w:r>
        <w:rPr>
          <w:rFonts w:hint="eastAsia" w:ascii="仿宋_GB2312" w:hAnsi="仿宋" w:eastAsia="仿宋_GB2312" w:cs="仿宋"/>
          <w:color w:val="000000"/>
          <w:sz w:val="28"/>
          <w:szCs w:val="28"/>
        </w:rPr>
        <w:t xml:space="preserve">  审查合同是否成立，主要审查双方有无就合同的主要条款达成意思表示的一致、是否满足法律、行政法规规定或当事人约定合同成立的形式要件。</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第六条</w:t>
      </w:r>
      <w:r>
        <w:rPr>
          <w:rFonts w:hint="eastAsia" w:ascii="仿宋_GB2312" w:hAnsi="仿宋" w:eastAsia="仿宋_GB2312" w:cs="仿宋"/>
          <w:color w:val="000000"/>
          <w:sz w:val="28"/>
          <w:szCs w:val="28"/>
        </w:rPr>
        <w:t xml:space="preserve">  审查合同是否已经生效。除法律、行政法规另有规定的外，应审查当事人对生效是否约定生效条件或者期限。</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第七条</w:t>
      </w:r>
      <w:r>
        <w:rPr>
          <w:rFonts w:hint="eastAsia" w:ascii="仿宋_GB2312" w:hAnsi="仿宋" w:eastAsia="仿宋_GB2312" w:cs="仿宋"/>
          <w:color w:val="000000"/>
          <w:sz w:val="28"/>
          <w:szCs w:val="28"/>
        </w:rPr>
        <w:t xml:space="preserve">  审查合同及合同条款是否无效，主要审查合同是否符合民法典等法律、行政法规关于无效合同及无效条款的规定，如主体是否为无民事行为能力人以及是否经其法定代理人同意或追认，合同内容是否违反法律、行政法规的效力性强制性规定，是否违反公序良俗，当事人双方的意思表示是否虚假，当事人间是否恶意串通损害他人利益等。</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第八条</w:t>
      </w:r>
      <w:r>
        <w:rPr>
          <w:rFonts w:hint="eastAsia" w:ascii="仿宋_GB2312" w:hAnsi="仿宋" w:eastAsia="仿宋_GB2312" w:cs="仿宋"/>
          <w:color w:val="000000"/>
          <w:sz w:val="28"/>
          <w:szCs w:val="28"/>
        </w:rPr>
        <w:t xml:space="preserve">  审查是否构成欺诈行为，应从以下方面寻找证据证明：</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（一）行为人是否故意隐瞒真相，或者虚构事实；</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（二）相对方是否基于欺诈行为作出了错误的意思表示。</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 xml:space="preserve">第九条 </w:t>
      </w:r>
      <w:r>
        <w:rPr>
          <w:rFonts w:hint="eastAsia" w:ascii="仿宋_GB2312" w:hAnsi="仿宋" w:eastAsia="仿宋_GB2312" w:cs="仿宋"/>
          <w:color w:val="000000"/>
          <w:sz w:val="28"/>
          <w:szCs w:val="28"/>
        </w:rPr>
        <w:t xml:space="preserve"> 审查是否构成胁迫，应从以下方面证明：</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（一）行为人是否存在以对方及对方亲友的生命健康、名誉、荣誉、财产等造成损害，或者以给法人、非法人组织的荣誉、名誉、财产等造成损害为要挟的行为；</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（二）相对方是否因此作出了违背真实意愿的意思表示。</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第十条</w:t>
      </w:r>
      <w:r>
        <w:rPr>
          <w:rFonts w:hint="eastAsia" w:ascii="仿宋_GB2312" w:hAnsi="仿宋" w:eastAsia="仿宋_GB2312" w:cs="仿宋"/>
          <w:color w:val="000000"/>
          <w:sz w:val="28"/>
          <w:szCs w:val="28"/>
        </w:rPr>
        <w:t xml:space="preserve">  审查是否构成乘人之危，导致显失公平，应从以下方面进行：</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（一）一方是否有利用对方处于危困状态、缺乏判断能力等情形；</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（二）相对方是否因此作出了不真实的意思表示；</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（三）合同成立时是否对相对人显失公平。</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 xml:space="preserve">第十一条 </w:t>
      </w:r>
      <w:r>
        <w:rPr>
          <w:rFonts w:hint="eastAsia" w:ascii="仿宋_GB2312" w:hAnsi="仿宋" w:eastAsia="仿宋_GB2312" w:cs="仿宋"/>
          <w:color w:val="000000"/>
          <w:sz w:val="28"/>
          <w:szCs w:val="28"/>
        </w:rPr>
        <w:t xml:space="preserve"> 审查是否构成重大误解，应从以下方面进行：</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（一）合同相对人是否对合同的性质、标的物的种类、数量、质量、后果等产生了重大误解；</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（二）误解是否由误解方自己造成的，而不是因为受到对方的欺诈或不正当影响造成的；</w:t>
      </w:r>
    </w:p>
    <w:p>
      <w:pPr>
        <w:pStyle w:val="14"/>
        <w:keepNext w:val="0"/>
        <w:keepLines w:val="0"/>
        <w:pageBreakBefore w:val="0"/>
        <w:widowControl w:val="0"/>
        <w:numPr>
          <w:ilvl w:val="0"/>
          <w:numId w:val="2"/>
        </w:numPr>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合同相对人是否因重大误解作出了错误的意思表示；</w:t>
      </w:r>
    </w:p>
    <w:p>
      <w:pPr>
        <w:pStyle w:val="14"/>
        <w:keepNext w:val="0"/>
        <w:keepLines w:val="0"/>
        <w:pageBreakBefore w:val="0"/>
        <w:widowControl w:val="0"/>
        <w:numPr>
          <w:ilvl w:val="0"/>
          <w:numId w:val="2"/>
        </w:numPr>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误解是否直接影响到了误解人所应享受的权利和承担的义务。</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第十二条</w:t>
      </w:r>
      <w:r>
        <w:rPr>
          <w:rFonts w:hint="eastAsia" w:ascii="仿宋_GB2312" w:hAnsi="仿宋" w:eastAsia="仿宋_GB2312" w:cs="仿宋"/>
          <w:color w:val="000000"/>
          <w:sz w:val="28"/>
          <w:szCs w:val="28"/>
        </w:rPr>
        <w:t xml:space="preserve">  当事人主张撤销合同的，律师应审查是否存在以下撤销权消灭的情形：</w:t>
      </w:r>
    </w:p>
    <w:p>
      <w:pPr>
        <w:pStyle w:val="14"/>
        <w:keepNext w:val="0"/>
        <w:keepLines w:val="0"/>
        <w:pageBreakBefore w:val="0"/>
        <w:widowControl w:val="0"/>
        <w:numPr>
          <w:ilvl w:val="0"/>
          <w:numId w:val="3"/>
        </w:numPr>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当事人自知道或者应当知道撤销事由之日起一年内、重大误解的当事人自知道或者应当知道撤销事由之日起九十日内没有行使撤销权；</w:t>
      </w:r>
    </w:p>
    <w:p>
      <w:pPr>
        <w:pStyle w:val="14"/>
        <w:keepNext w:val="0"/>
        <w:keepLines w:val="0"/>
        <w:pageBreakBefore w:val="0"/>
        <w:widowControl w:val="0"/>
        <w:numPr>
          <w:ilvl w:val="0"/>
          <w:numId w:val="3"/>
        </w:numPr>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当事人受胁迫，自胁迫行为终止之日起一年内没有行使撤销权；</w:t>
      </w:r>
    </w:p>
    <w:p>
      <w:pPr>
        <w:pStyle w:val="14"/>
        <w:keepNext w:val="0"/>
        <w:keepLines w:val="0"/>
        <w:pageBreakBefore w:val="0"/>
        <w:widowControl w:val="0"/>
        <w:numPr>
          <w:ilvl w:val="0"/>
          <w:numId w:val="3"/>
        </w:numPr>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当事人知道撤销事由后明确表示或者以自己的行为表明放弃撤销权。</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当事人自民事法律行为发生之日起五年内没有行使撤销权的，撤销权消灭。</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第十三条</w:t>
      </w:r>
      <w:r>
        <w:rPr>
          <w:rFonts w:hint="eastAsia" w:ascii="仿宋_GB2312" w:hAnsi="仿宋" w:eastAsia="仿宋_GB2312" w:cs="仿宋"/>
          <w:color w:val="000000"/>
          <w:sz w:val="28"/>
          <w:szCs w:val="28"/>
        </w:rPr>
        <w:t xml:space="preserve">  在当事人发生争议的合同中，格式条款与非格式条款对同一权利义务约定不一致的，应当采用非格式条款。</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 xml:space="preserve">第十四条 </w:t>
      </w:r>
      <w:r>
        <w:rPr>
          <w:rFonts w:hint="eastAsia" w:ascii="仿宋_GB2312" w:hAnsi="仿宋" w:eastAsia="仿宋_GB2312" w:cs="仿宋"/>
          <w:color w:val="000000"/>
          <w:sz w:val="28"/>
          <w:szCs w:val="28"/>
        </w:rPr>
        <w:t xml:space="preserve"> 审查理解有争议的格式条款，应先按照常理解释，再按照不利于格式条款提供方的理解解释，确定格式条款的解释方式。</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 xml:space="preserve">第十五条 </w:t>
      </w:r>
      <w:r>
        <w:rPr>
          <w:rFonts w:hint="eastAsia" w:ascii="仿宋_GB2312" w:hAnsi="仿宋" w:eastAsia="仿宋_GB2312" w:cs="仿宋"/>
          <w:color w:val="000000"/>
          <w:sz w:val="28"/>
          <w:szCs w:val="28"/>
        </w:rPr>
        <w:t xml:space="preserve"> 审查格式合同中的免责条款和限制责任条款，可按照以下顺序确定格式条款是否有效：</w:t>
      </w:r>
    </w:p>
    <w:p>
      <w:pPr>
        <w:pStyle w:val="14"/>
        <w:keepNext w:val="0"/>
        <w:keepLines w:val="0"/>
        <w:pageBreakBefore w:val="0"/>
        <w:widowControl w:val="0"/>
        <w:numPr>
          <w:ilvl w:val="0"/>
          <w:numId w:val="4"/>
        </w:numPr>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是否</w:t>
      </w:r>
      <w:bookmarkStart w:id="42" w:name="No1581_B3P1Z2T497"/>
      <w:bookmarkEnd w:id="42"/>
      <w:r>
        <w:rPr>
          <w:rFonts w:hint="eastAsia" w:ascii="仿宋_GB2312" w:hAnsi="仿宋" w:eastAsia="仿宋_GB2312" w:cs="仿宋"/>
          <w:color w:val="000000"/>
          <w:sz w:val="28"/>
          <w:szCs w:val="28"/>
        </w:rPr>
        <w:t>具有民法典第一编第六章第三节和民法典第五百零六条规定的无效情形；</w:t>
      </w:r>
    </w:p>
    <w:p>
      <w:pPr>
        <w:pStyle w:val="14"/>
        <w:keepNext w:val="0"/>
        <w:keepLines w:val="0"/>
        <w:pageBreakBefore w:val="0"/>
        <w:widowControl w:val="0"/>
        <w:numPr>
          <w:ilvl w:val="0"/>
          <w:numId w:val="4"/>
        </w:numPr>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bookmarkStart w:id="43" w:name="No1584_B3P1Z2T497K1X2"/>
      <w:bookmarkEnd w:id="43"/>
      <w:r>
        <w:rPr>
          <w:rFonts w:hint="eastAsia" w:ascii="仿宋_GB2312" w:hAnsi="仿宋" w:eastAsia="仿宋_GB2312" w:cs="仿宋"/>
          <w:color w:val="000000"/>
          <w:sz w:val="28"/>
          <w:szCs w:val="28"/>
        </w:rPr>
        <w:t>提供格式条款一方是否不合理地免除或者减轻其责任、加重对方责任、限制对方主要权利；</w:t>
      </w:r>
    </w:p>
    <w:p>
      <w:pPr>
        <w:pStyle w:val="14"/>
        <w:keepNext w:val="0"/>
        <w:keepLines w:val="0"/>
        <w:pageBreakBefore w:val="0"/>
        <w:widowControl w:val="0"/>
        <w:numPr>
          <w:ilvl w:val="0"/>
          <w:numId w:val="4"/>
        </w:numPr>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bookmarkStart w:id="44" w:name="No1585_B3P1Z2T497K1X3"/>
      <w:bookmarkEnd w:id="44"/>
      <w:r>
        <w:rPr>
          <w:rFonts w:hint="eastAsia" w:ascii="仿宋_GB2312" w:hAnsi="仿宋" w:eastAsia="仿宋_GB2312" w:cs="仿宋"/>
          <w:color w:val="000000"/>
          <w:sz w:val="28"/>
          <w:szCs w:val="28"/>
        </w:rPr>
        <w:t>提供格式条款一方排除对方主要权利。</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 xml:space="preserve">第十六条 </w:t>
      </w:r>
      <w:r>
        <w:rPr>
          <w:rFonts w:hint="eastAsia" w:ascii="仿宋_GB2312" w:hAnsi="仿宋" w:eastAsia="仿宋_GB2312" w:cs="仿宋"/>
          <w:color w:val="000000"/>
          <w:sz w:val="28"/>
          <w:szCs w:val="28"/>
        </w:rPr>
        <w:t xml:space="preserve"> 审查提供格式条款一方是否尽到提示与说明义务，应从格式条款的文字、符号、字体等是否采用了足以区别普通条款的特别标识，并按接受格式条款一方的要求对格式条款作出了不易发生歧义的说明。</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第十七条</w:t>
      </w:r>
      <w:r>
        <w:rPr>
          <w:rFonts w:hint="eastAsia" w:ascii="仿宋_GB2312" w:hAnsi="仿宋" w:eastAsia="仿宋_GB2312" w:cs="仿宋"/>
          <w:color w:val="000000"/>
          <w:sz w:val="28"/>
          <w:szCs w:val="28"/>
        </w:rPr>
        <w:t xml:space="preserve">  当事人互负债务，没有先后履行顺序的，应当同时履行。审查证据时发现，对方没有履行合同义务或履行不符合约定时，有权拒绝其履行请求或相应的履行请求。</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第十八条</w:t>
      </w:r>
      <w:r>
        <w:rPr>
          <w:rFonts w:hint="eastAsia" w:ascii="仿宋_GB2312" w:hAnsi="仿宋" w:eastAsia="仿宋_GB2312" w:cs="仿宋"/>
          <w:color w:val="000000"/>
          <w:sz w:val="28"/>
          <w:szCs w:val="28"/>
        </w:rPr>
        <w:t xml:space="preserve">  当事人互负债务，有先后履行顺序，应当先履行债务一方未履行的，后履行一方有权拒绝其履行请求。先履行一方履行债务不符合约定的，后履行一方有权拒绝其相应的履行请求。</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第十九条</w:t>
      </w:r>
      <w:bookmarkStart w:id="45" w:name="No1677_B3P1Z4T527K1"/>
      <w:bookmarkEnd w:id="45"/>
      <w:r>
        <w:rPr>
          <w:rFonts w:hint="eastAsia" w:ascii="仿宋_GB2312" w:hAnsi="仿宋" w:eastAsia="仿宋_GB2312" w:cs="仿宋"/>
          <w:b/>
          <w:bCs/>
          <w:color w:val="000000"/>
          <w:sz w:val="28"/>
          <w:szCs w:val="28"/>
        </w:rPr>
        <w:t xml:space="preserve"> </w:t>
      </w:r>
      <w:r>
        <w:rPr>
          <w:rFonts w:hint="eastAsia" w:ascii="仿宋_GB2312" w:hAnsi="仿宋" w:eastAsia="仿宋_GB2312" w:cs="仿宋"/>
          <w:color w:val="000000"/>
          <w:sz w:val="28"/>
          <w:szCs w:val="28"/>
        </w:rPr>
        <w:t xml:space="preserve"> 应当先履行债务的当事人，有确切证据证明对方有下列情形之一的，可以中止履行：</w:t>
      </w:r>
    </w:p>
    <w:p>
      <w:pPr>
        <w:pStyle w:val="14"/>
        <w:keepNext w:val="0"/>
        <w:keepLines w:val="0"/>
        <w:pageBreakBefore w:val="0"/>
        <w:widowControl w:val="0"/>
        <w:numPr>
          <w:ilvl w:val="0"/>
          <w:numId w:val="5"/>
        </w:numPr>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bookmarkStart w:id="46" w:name="No1678_B3P1Z4T527K1X1"/>
      <w:bookmarkEnd w:id="46"/>
      <w:r>
        <w:rPr>
          <w:rFonts w:hint="eastAsia" w:ascii="仿宋_GB2312" w:hAnsi="仿宋" w:eastAsia="仿宋_GB2312" w:cs="仿宋"/>
          <w:color w:val="000000"/>
          <w:sz w:val="28"/>
          <w:szCs w:val="28"/>
        </w:rPr>
        <w:t>经营状况严重恶化；</w:t>
      </w:r>
    </w:p>
    <w:p>
      <w:pPr>
        <w:pStyle w:val="14"/>
        <w:keepNext w:val="0"/>
        <w:keepLines w:val="0"/>
        <w:pageBreakBefore w:val="0"/>
        <w:widowControl w:val="0"/>
        <w:numPr>
          <w:ilvl w:val="0"/>
          <w:numId w:val="5"/>
        </w:numPr>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bookmarkStart w:id="47" w:name="No1679_B3P1Z4T527K1X2"/>
      <w:bookmarkEnd w:id="47"/>
      <w:r>
        <w:rPr>
          <w:rFonts w:hint="eastAsia" w:ascii="仿宋_GB2312" w:hAnsi="仿宋" w:eastAsia="仿宋_GB2312" w:cs="仿宋"/>
          <w:color w:val="000000"/>
          <w:sz w:val="28"/>
          <w:szCs w:val="28"/>
        </w:rPr>
        <w:t>转移财产、抽逃资金，以逃避债务；</w:t>
      </w:r>
    </w:p>
    <w:p>
      <w:pPr>
        <w:pStyle w:val="14"/>
        <w:keepNext w:val="0"/>
        <w:keepLines w:val="0"/>
        <w:pageBreakBefore w:val="0"/>
        <w:widowControl w:val="0"/>
        <w:numPr>
          <w:ilvl w:val="0"/>
          <w:numId w:val="5"/>
        </w:numPr>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bookmarkStart w:id="48" w:name="No1680_B3P1Z4T527K1X3"/>
      <w:bookmarkEnd w:id="48"/>
      <w:r>
        <w:rPr>
          <w:rFonts w:hint="eastAsia" w:ascii="仿宋_GB2312" w:hAnsi="仿宋" w:eastAsia="仿宋_GB2312" w:cs="仿宋"/>
          <w:color w:val="000000"/>
          <w:sz w:val="28"/>
          <w:szCs w:val="28"/>
        </w:rPr>
        <w:t>丧失商业信誉；</w:t>
      </w:r>
    </w:p>
    <w:p>
      <w:pPr>
        <w:pStyle w:val="14"/>
        <w:keepNext w:val="0"/>
        <w:keepLines w:val="0"/>
        <w:pageBreakBefore w:val="0"/>
        <w:widowControl w:val="0"/>
        <w:numPr>
          <w:ilvl w:val="0"/>
          <w:numId w:val="5"/>
        </w:numPr>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bookmarkStart w:id="49" w:name="No1681_B3P1Z4T527K1X4"/>
      <w:bookmarkEnd w:id="49"/>
      <w:r>
        <w:rPr>
          <w:rFonts w:hint="eastAsia" w:ascii="仿宋_GB2312" w:hAnsi="仿宋" w:eastAsia="仿宋_GB2312" w:cs="仿宋"/>
          <w:color w:val="000000"/>
          <w:sz w:val="28"/>
          <w:szCs w:val="28"/>
        </w:rPr>
        <w:t>有丧失或者可能丧失履行债务能力的其他情形。</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bookmarkStart w:id="50" w:name="No1682_B3P1Z4T527K2"/>
      <w:bookmarkEnd w:id="50"/>
      <w:r>
        <w:rPr>
          <w:rFonts w:hint="eastAsia" w:ascii="仿宋_GB2312" w:hAnsi="仿宋" w:eastAsia="仿宋_GB2312" w:cs="仿宋"/>
          <w:color w:val="000000"/>
          <w:sz w:val="28"/>
          <w:szCs w:val="28"/>
        </w:rPr>
        <w:t>当事人没有确切证据中止履行的，应当承担违约责任。</w:t>
      </w:r>
      <w:bookmarkStart w:id="51" w:name="No1684_B3P1Z4T528K1"/>
      <w:bookmarkEnd w:id="51"/>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第二十条</w:t>
      </w:r>
      <w:r>
        <w:rPr>
          <w:rFonts w:hint="eastAsia" w:ascii="仿宋_GB2312" w:hAnsi="仿宋" w:eastAsia="仿宋_GB2312" w:cs="仿宋"/>
          <w:color w:val="000000"/>
          <w:sz w:val="28"/>
          <w:szCs w:val="28"/>
        </w:rPr>
        <w:t xml:space="preserve">  当事人依据前条规定中止履行的，应当及时通知对方。对方提供适当担保的，应当恢复履行。中止履行后，对方在合理期限内未恢复履行能力且未提供适当担保的，视为以自己的行为表明不履行主要债务，中止履行的一方可以解除合同并可以请求对方承担违约责任。</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第二十一条</w:t>
      </w:r>
      <w:r>
        <w:rPr>
          <w:rFonts w:hint="eastAsia" w:ascii="仿宋_GB2312" w:hAnsi="仿宋" w:eastAsia="仿宋_GB2312" w:cs="仿宋"/>
          <w:color w:val="000000"/>
          <w:sz w:val="28"/>
          <w:szCs w:val="28"/>
        </w:rPr>
        <w:t xml:space="preserve">  对以情势变更为由提起诉讼，主张解除或者变更合同的，应审查以下证据内容：</w:t>
      </w:r>
    </w:p>
    <w:p>
      <w:pPr>
        <w:pStyle w:val="14"/>
        <w:keepNext w:val="0"/>
        <w:keepLines w:val="0"/>
        <w:pageBreakBefore w:val="0"/>
        <w:widowControl w:val="0"/>
        <w:numPr>
          <w:ilvl w:val="0"/>
          <w:numId w:val="6"/>
        </w:numPr>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是否属于在订立合同时所不可预见；</w:t>
      </w:r>
    </w:p>
    <w:p>
      <w:pPr>
        <w:pStyle w:val="14"/>
        <w:keepNext w:val="0"/>
        <w:keepLines w:val="0"/>
        <w:pageBreakBefore w:val="0"/>
        <w:widowControl w:val="0"/>
        <w:numPr>
          <w:ilvl w:val="0"/>
          <w:numId w:val="6"/>
        </w:numPr>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是否属于不可抗力；</w:t>
      </w:r>
    </w:p>
    <w:p>
      <w:pPr>
        <w:pStyle w:val="14"/>
        <w:keepNext w:val="0"/>
        <w:keepLines w:val="0"/>
        <w:pageBreakBefore w:val="0"/>
        <w:widowControl w:val="0"/>
        <w:numPr>
          <w:ilvl w:val="0"/>
          <w:numId w:val="6"/>
        </w:numPr>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是否属于商业风险；</w:t>
      </w:r>
    </w:p>
    <w:p>
      <w:pPr>
        <w:pStyle w:val="14"/>
        <w:keepNext w:val="0"/>
        <w:keepLines w:val="0"/>
        <w:pageBreakBefore w:val="0"/>
        <w:widowControl w:val="0"/>
        <w:numPr>
          <w:ilvl w:val="0"/>
          <w:numId w:val="6"/>
        </w:numPr>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是否因情势变更而使继续履行合同产生对一方显失公平的结果。</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第二十二条</w:t>
      </w:r>
      <w:r>
        <w:rPr>
          <w:rFonts w:hint="eastAsia" w:ascii="仿宋_GB2312" w:hAnsi="仿宋" w:eastAsia="仿宋_GB2312" w:cs="仿宋"/>
          <w:color w:val="000000"/>
          <w:sz w:val="28"/>
          <w:szCs w:val="28"/>
        </w:rPr>
        <w:t xml:space="preserve">  合同争议存在违约行为与侵权行为竞合的情形时，应建议当事人选择违约之诉或者侵权之诉。</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 xml:space="preserve">第二十三条 </w:t>
      </w:r>
      <w:r>
        <w:rPr>
          <w:rFonts w:hint="eastAsia" w:ascii="仿宋_GB2312" w:hAnsi="仿宋" w:eastAsia="仿宋_GB2312" w:cs="仿宋"/>
          <w:color w:val="000000"/>
          <w:sz w:val="28"/>
          <w:szCs w:val="28"/>
        </w:rPr>
        <w:t xml:space="preserve"> 当事人要求对方承担违约责任的主要方式有：</w:t>
      </w:r>
    </w:p>
    <w:p>
      <w:pPr>
        <w:pStyle w:val="14"/>
        <w:keepNext w:val="0"/>
        <w:keepLines w:val="0"/>
        <w:pageBreakBefore w:val="0"/>
        <w:widowControl w:val="0"/>
        <w:numPr>
          <w:ilvl w:val="0"/>
          <w:numId w:val="7"/>
        </w:numPr>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支付违约金；</w:t>
      </w:r>
    </w:p>
    <w:p>
      <w:pPr>
        <w:pStyle w:val="14"/>
        <w:keepNext w:val="0"/>
        <w:keepLines w:val="0"/>
        <w:pageBreakBefore w:val="0"/>
        <w:widowControl w:val="0"/>
        <w:numPr>
          <w:ilvl w:val="0"/>
          <w:numId w:val="7"/>
        </w:numPr>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赔偿损失；</w:t>
      </w:r>
    </w:p>
    <w:p>
      <w:pPr>
        <w:pStyle w:val="14"/>
        <w:keepNext w:val="0"/>
        <w:keepLines w:val="0"/>
        <w:pageBreakBefore w:val="0"/>
        <w:widowControl w:val="0"/>
        <w:numPr>
          <w:ilvl w:val="0"/>
          <w:numId w:val="7"/>
        </w:numPr>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继续履行；</w:t>
      </w:r>
    </w:p>
    <w:p>
      <w:pPr>
        <w:pStyle w:val="14"/>
        <w:keepNext w:val="0"/>
        <w:keepLines w:val="0"/>
        <w:pageBreakBefore w:val="0"/>
        <w:widowControl w:val="0"/>
        <w:numPr>
          <w:ilvl w:val="0"/>
          <w:numId w:val="7"/>
        </w:numPr>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采取补救措施。</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 xml:space="preserve">第二十四条 </w:t>
      </w:r>
      <w:r>
        <w:rPr>
          <w:rFonts w:hint="eastAsia" w:ascii="仿宋_GB2312" w:hAnsi="仿宋" w:eastAsia="仿宋_GB2312" w:cs="仿宋"/>
          <w:color w:val="000000"/>
          <w:sz w:val="28"/>
          <w:szCs w:val="28"/>
        </w:rPr>
        <w:t xml:space="preserve"> 审查违约责任，应该审查以下内容：</w:t>
      </w:r>
    </w:p>
    <w:p>
      <w:pPr>
        <w:pStyle w:val="14"/>
        <w:keepNext w:val="0"/>
        <w:keepLines w:val="0"/>
        <w:pageBreakBefore w:val="0"/>
        <w:widowControl w:val="0"/>
        <w:numPr>
          <w:ilvl w:val="0"/>
          <w:numId w:val="8"/>
        </w:numPr>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合同中是否有明确约定违约责任的承担方式；</w:t>
      </w:r>
    </w:p>
    <w:p>
      <w:pPr>
        <w:pStyle w:val="14"/>
        <w:keepNext w:val="0"/>
        <w:keepLines w:val="0"/>
        <w:pageBreakBefore w:val="0"/>
        <w:widowControl w:val="0"/>
        <w:numPr>
          <w:ilvl w:val="0"/>
          <w:numId w:val="8"/>
        </w:numPr>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约定是否合法有效；</w:t>
      </w:r>
    </w:p>
    <w:p>
      <w:pPr>
        <w:pStyle w:val="14"/>
        <w:keepNext w:val="0"/>
        <w:keepLines w:val="0"/>
        <w:pageBreakBefore w:val="0"/>
        <w:widowControl w:val="0"/>
        <w:numPr>
          <w:ilvl w:val="0"/>
          <w:numId w:val="8"/>
        </w:numPr>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违约金是否过分高于实际损失；</w:t>
      </w:r>
    </w:p>
    <w:p>
      <w:pPr>
        <w:pStyle w:val="14"/>
        <w:keepNext w:val="0"/>
        <w:keepLines w:val="0"/>
        <w:pageBreakBefore w:val="0"/>
        <w:widowControl w:val="0"/>
        <w:numPr>
          <w:ilvl w:val="0"/>
          <w:numId w:val="8"/>
        </w:numPr>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违约金是否低于实际损失；</w:t>
      </w:r>
    </w:p>
    <w:p>
      <w:pPr>
        <w:pStyle w:val="14"/>
        <w:keepNext w:val="0"/>
        <w:keepLines w:val="0"/>
        <w:pageBreakBefore w:val="0"/>
        <w:widowControl w:val="0"/>
        <w:numPr>
          <w:ilvl w:val="0"/>
          <w:numId w:val="8"/>
        </w:numPr>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实际损失与违约行为之间是否存在因果关系；</w:t>
      </w:r>
    </w:p>
    <w:p>
      <w:pPr>
        <w:pStyle w:val="14"/>
        <w:keepNext w:val="0"/>
        <w:keepLines w:val="0"/>
        <w:pageBreakBefore w:val="0"/>
        <w:widowControl w:val="0"/>
        <w:numPr>
          <w:ilvl w:val="0"/>
          <w:numId w:val="8"/>
        </w:numPr>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守约方是否存在过错；</w:t>
      </w:r>
    </w:p>
    <w:p>
      <w:pPr>
        <w:pStyle w:val="14"/>
        <w:keepNext w:val="0"/>
        <w:keepLines w:val="0"/>
        <w:pageBreakBefore w:val="0"/>
        <w:widowControl w:val="0"/>
        <w:numPr>
          <w:ilvl w:val="0"/>
          <w:numId w:val="8"/>
        </w:numPr>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其他影响违约责任承担的情形。</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 xml:space="preserve">第二十五条 </w:t>
      </w:r>
      <w:r>
        <w:rPr>
          <w:rFonts w:hint="eastAsia" w:ascii="仿宋_GB2312" w:hAnsi="仿宋" w:eastAsia="仿宋_GB2312" w:cs="仿宋"/>
          <w:color w:val="000000"/>
          <w:sz w:val="28"/>
          <w:szCs w:val="28"/>
        </w:rPr>
        <w:t xml:space="preserve"> 合同相对人可以向违约方主张合同履行后可能获得的可预见性利益损失。但是，不得超过违约一方订立合同时预见到或者应当预见到的因违约可能造成的损失。</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 xml:space="preserve">第二十六条 </w:t>
      </w:r>
      <w:r>
        <w:rPr>
          <w:rFonts w:hint="eastAsia" w:ascii="仿宋_GB2312" w:hAnsi="仿宋" w:eastAsia="仿宋_GB2312" w:cs="仿宋"/>
          <w:color w:val="000000"/>
          <w:sz w:val="28"/>
          <w:szCs w:val="28"/>
        </w:rPr>
        <w:t xml:space="preserve"> 审查约定的违约金是否过分高于造成的损失，可以造成实际损失的30%为上限，并结合合同履行情况、当事人过错程度等因素进行综合判断。</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 xml:space="preserve">第二十七条 </w:t>
      </w:r>
      <w:r>
        <w:rPr>
          <w:rFonts w:hint="eastAsia" w:ascii="仿宋_GB2312" w:hAnsi="仿宋" w:eastAsia="仿宋_GB2312" w:cs="仿宋"/>
          <w:color w:val="000000"/>
          <w:sz w:val="28"/>
          <w:szCs w:val="28"/>
        </w:rPr>
        <w:t xml:space="preserve"> 合同同时约定违约金和定金罚则的，可以选择适用定金或者违约金作为诉讼请求。</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第二十八条</w:t>
      </w:r>
      <w:r>
        <w:rPr>
          <w:rFonts w:hint="eastAsia" w:ascii="仿宋_GB2312" w:hAnsi="仿宋" w:eastAsia="仿宋_GB2312" w:cs="仿宋"/>
          <w:color w:val="000000"/>
          <w:sz w:val="28"/>
          <w:szCs w:val="28"/>
        </w:rPr>
        <w:t xml:space="preserve">  合同仅约定定金罚则或一方选择适用定金罚则，但定金不足以弥补一方违约造成的损失的，对方可以请求赔偿超过定金数额的损失。</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第二十九条</w:t>
      </w:r>
      <w:r>
        <w:rPr>
          <w:rFonts w:hint="eastAsia" w:ascii="仿宋_GB2312" w:hAnsi="仿宋" w:eastAsia="仿宋_GB2312" w:cs="仿宋"/>
          <w:color w:val="000000"/>
          <w:sz w:val="28"/>
          <w:szCs w:val="28"/>
        </w:rPr>
        <w:t xml:space="preserve">  律师应根据当事人提交的证据材料，确定合同纠纷案件的相对人作为被告。</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第三十条</w:t>
      </w:r>
      <w:r>
        <w:rPr>
          <w:rFonts w:hint="eastAsia" w:ascii="仿宋_GB2312" w:hAnsi="仿宋" w:eastAsia="仿宋_GB2312" w:cs="仿宋"/>
          <w:color w:val="000000"/>
          <w:sz w:val="28"/>
          <w:szCs w:val="28"/>
        </w:rPr>
        <w:t xml:space="preserve">  合同中约定由第三人履行合同义务的，第三人未履行，应以合同相对人为被告，但第三人承诺履行的，可以将第三人与合同相对人列为共同被告。</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第三十一条</w:t>
      </w:r>
      <w:r>
        <w:rPr>
          <w:rFonts w:hint="eastAsia" w:ascii="仿宋_GB2312" w:hAnsi="仿宋" w:eastAsia="仿宋_GB2312" w:cs="仿宋"/>
          <w:color w:val="000000"/>
          <w:sz w:val="28"/>
          <w:szCs w:val="28"/>
        </w:rPr>
        <w:t xml:space="preserve">  原告主张合同或者合同条款无效的，被告可以合同主体具有民事行为能力，合同系合同主体的真实意思表示、合同未违反法律、行政法规效力性强制性规定，不违反公序良俗等进行抗辩。</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 xml:space="preserve">第三十二条 </w:t>
      </w:r>
      <w:r>
        <w:rPr>
          <w:rFonts w:hint="eastAsia" w:ascii="仿宋_GB2312" w:hAnsi="仿宋" w:eastAsia="仿宋_GB2312" w:cs="仿宋"/>
          <w:color w:val="000000"/>
          <w:sz w:val="28"/>
          <w:szCs w:val="28"/>
        </w:rPr>
        <w:t xml:space="preserve"> 被告可以采取下列方式对原告的主张进行抗辩：</w:t>
      </w:r>
    </w:p>
    <w:p>
      <w:pPr>
        <w:pStyle w:val="14"/>
        <w:keepNext w:val="0"/>
        <w:keepLines w:val="0"/>
        <w:pageBreakBefore w:val="0"/>
        <w:widowControl w:val="0"/>
        <w:numPr>
          <w:ilvl w:val="0"/>
          <w:numId w:val="9"/>
        </w:numPr>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对方未按约定支付价款或履行（如标的物存在质量瑕疵或权利瑕疵）；</w:t>
      </w:r>
    </w:p>
    <w:p>
      <w:pPr>
        <w:pStyle w:val="14"/>
        <w:keepNext w:val="0"/>
        <w:keepLines w:val="0"/>
        <w:pageBreakBefore w:val="0"/>
        <w:widowControl w:val="0"/>
        <w:numPr>
          <w:ilvl w:val="0"/>
          <w:numId w:val="9"/>
        </w:numPr>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被告方义务已经依约履行完毕、或合同履行的时间未届满、条件尚不具备；</w:t>
      </w:r>
    </w:p>
    <w:p>
      <w:pPr>
        <w:pStyle w:val="14"/>
        <w:keepNext w:val="0"/>
        <w:keepLines w:val="0"/>
        <w:pageBreakBefore w:val="0"/>
        <w:widowControl w:val="0"/>
        <w:numPr>
          <w:ilvl w:val="0"/>
          <w:numId w:val="9"/>
        </w:numPr>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应当同时履行的情况下，原告没有履行或不适当履行；</w:t>
      </w:r>
    </w:p>
    <w:p>
      <w:pPr>
        <w:pStyle w:val="14"/>
        <w:keepNext w:val="0"/>
        <w:keepLines w:val="0"/>
        <w:pageBreakBefore w:val="0"/>
        <w:widowControl w:val="0"/>
        <w:numPr>
          <w:ilvl w:val="0"/>
          <w:numId w:val="9"/>
        </w:numPr>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原告应当先履行而未履行或不适当履行；</w:t>
      </w:r>
    </w:p>
    <w:p>
      <w:pPr>
        <w:pStyle w:val="14"/>
        <w:keepNext w:val="0"/>
        <w:keepLines w:val="0"/>
        <w:pageBreakBefore w:val="0"/>
        <w:widowControl w:val="0"/>
        <w:numPr>
          <w:ilvl w:val="0"/>
          <w:numId w:val="9"/>
        </w:numPr>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存在行使不安抗辩权的情形；</w:t>
      </w:r>
    </w:p>
    <w:p>
      <w:pPr>
        <w:pStyle w:val="14"/>
        <w:keepNext w:val="0"/>
        <w:keepLines w:val="0"/>
        <w:pageBreakBefore w:val="0"/>
        <w:widowControl w:val="0"/>
        <w:numPr>
          <w:ilvl w:val="0"/>
          <w:numId w:val="9"/>
        </w:numPr>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属于不可抗力；</w:t>
      </w:r>
    </w:p>
    <w:p>
      <w:pPr>
        <w:pStyle w:val="14"/>
        <w:keepNext w:val="0"/>
        <w:keepLines w:val="0"/>
        <w:pageBreakBefore w:val="0"/>
        <w:widowControl w:val="0"/>
        <w:numPr>
          <w:ilvl w:val="0"/>
          <w:numId w:val="9"/>
        </w:numPr>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存在情势变更的情形；</w:t>
      </w:r>
    </w:p>
    <w:p>
      <w:pPr>
        <w:pStyle w:val="14"/>
        <w:keepNext w:val="0"/>
        <w:keepLines w:val="0"/>
        <w:pageBreakBefore w:val="0"/>
        <w:widowControl w:val="0"/>
        <w:numPr>
          <w:ilvl w:val="0"/>
          <w:numId w:val="9"/>
        </w:numPr>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存在法律上或者事实上不能履行的情形；</w:t>
      </w:r>
    </w:p>
    <w:p>
      <w:pPr>
        <w:pStyle w:val="14"/>
        <w:keepNext w:val="0"/>
        <w:keepLines w:val="0"/>
        <w:pageBreakBefore w:val="0"/>
        <w:widowControl w:val="0"/>
        <w:numPr>
          <w:ilvl w:val="0"/>
          <w:numId w:val="9"/>
        </w:numPr>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互负到期债务，且该债务的标的物种类、品质相同的，应予以抵销；</w:t>
      </w:r>
    </w:p>
    <w:p>
      <w:pPr>
        <w:pStyle w:val="14"/>
        <w:keepNext w:val="0"/>
        <w:keepLines w:val="0"/>
        <w:pageBreakBefore w:val="0"/>
        <w:widowControl w:val="0"/>
        <w:numPr>
          <w:ilvl w:val="0"/>
          <w:numId w:val="9"/>
        </w:numPr>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原告对损失的造成或扩大有过失；</w:t>
      </w:r>
    </w:p>
    <w:p>
      <w:pPr>
        <w:pStyle w:val="14"/>
        <w:keepNext w:val="0"/>
        <w:keepLines w:val="0"/>
        <w:pageBreakBefore w:val="0"/>
        <w:widowControl w:val="0"/>
        <w:numPr>
          <w:ilvl w:val="0"/>
          <w:numId w:val="9"/>
        </w:numPr>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行使其他抗辩权。</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第三十三条</w:t>
      </w:r>
      <w:r>
        <w:rPr>
          <w:rFonts w:hint="eastAsia" w:ascii="仿宋_GB2312" w:hAnsi="仿宋" w:eastAsia="仿宋_GB2312" w:cs="仿宋"/>
          <w:color w:val="000000"/>
          <w:sz w:val="28"/>
          <w:szCs w:val="28"/>
        </w:rPr>
        <w:t xml:space="preserve">  原告提出赔偿损失的诉讼请求，被告可以自身不存在违约行为、原告不存在损失、原告主张的经济损失金额过大、或者损失与违约行为间没有因果关系等方面进行抗辩。</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第三十四条</w:t>
      </w:r>
      <w:r>
        <w:rPr>
          <w:rFonts w:hint="eastAsia" w:ascii="仿宋_GB2312" w:hAnsi="仿宋" w:eastAsia="仿宋_GB2312" w:cs="仿宋"/>
          <w:color w:val="000000"/>
          <w:sz w:val="28"/>
          <w:szCs w:val="28"/>
        </w:rPr>
        <w:t xml:space="preserve">  原告要求双倍返还定金，被告可以没有违约行为或者定金超过了合同总金额的20%等进行抗辩。</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第三十五条</w:t>
      </w:r>
      <w:r>
        <w:rPr>
          <w:rFonts w:hint="eastAsia" w:ascii="仿宋_GB2312" w:hAnsi="仿宋" w:eastAsia="仿宋_GB2312" w:cs="仿宋"/>
          <w:color w:val="000000"/>
          <w:sz w:val="28"/>
          <w:szCs w:val="28"/>
        </w:rPr>
        <w:t xml:space="preserve">  原告主张的违约金过分高于实际损失，被告可以以违约金过分高于实际损失为由请求降低。</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第三十六条</w:t>
      </w:r>
      <w:r>
        <w:rPr>
          <w:rFonts w:hint="eastAsia" w:ascii="仿宋_GB2312" w:hAnsi="仿宋" w:eastAsia="仿宋_GB2312" w:cs="仿宋"/>
          <w:color w:val="000000"/>
          <w:sz w:val="28"/>
          <w:szCs w:val="28"/>
        </w:rPr>
        <w:t xml:space="preserve">  原告主张解除合同的，被告可以采取以下方式抗辩：</w:t>
      </w:r>
    </w:p>
    <w:p>
      <w:pPr>
        <w:pStyle w:val="14"/>
        <w:keepNext w:val="0"/>
        <w:keepLines w:val="0"/>
        <w:pageBreakBefore w:val="0"/>
        <w:widowControl w:val="0"/>
        <w:numPr>
          <w:ilvl w:val="0"/>
          <w:numId w:val="10"/>
        </w:numPr>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不符合约定解除条件；</w:t>
      </w:r>
    </w:p>
    <w:p>
      <w:pPr>
        <w:pStyle w:val="14"/>
        <w:keepNext w:val="0"/>
        <w:keepLines w:val="0"/>
        <w:pageBreakBefore w:val="0"/>
        <w:widowControl w:val="0"/>
        <w:numPr>
          <w:ilvl w:val="0"/>
          <w:numId w:val="10"/>
        </w:numPr>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不符合法定解除条件。</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第三十七条</w:t>
      </w:r>
      <w:r>
        <w:rPr>
          <w:rFonts w:hint="eastAsia" w:ascii="仿宋_GB2312" w:hAnsi="仿宋" w:eastAsia="仿宋_GB2312" w:cs="仿宋"/>
          <w:color w:val="000000"/>
          <w:sz w:val="28"/>
          <w:szCs w:val="28"/>
        </w:rPr>
        <w:t xml:space="preserve">  原告主张撤销合同的，被告可以撤销权的行使超过除斥期间、不符合法定撤销条件、当事人知道撤销事由后明确表示或者以自己的行为表明放弃撤销权等为由抗辩。</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 xml:space="preserve">第三十八条 </w:t>
      </w:r>
      <w:r>
        <w:rPr>
          <w:rFonts w:hint="eastAsia" w:ascii="仿宋_GB2312" w:hAnsi="仿宋" w:eastAsia="仿宋_GB2312" w:cs="仿宋"/>
          <w:color w:val="000000"/>
          <w:sz w:val="28"/>
          <w:szCs w:val="28"/>
        </w:rPr>
        <w:t xml:space="preserve"> 原告主张可得利益损失的，被告可以以下方式抗辩：</w:t>
      </w:r>
    </w:p>
    <w:p>
      <w:pPr>
        <w:pStyle w:val="14"/>
        <w:keepNext w:val="0"/>
        <w:keepLines w:val="0"/>
        <w:pageBreakBefore w:val="0"/>
        <w:widowControl w:val="0"/>
        <w:numPr>
          <w:ilvl w:val="0"/>
          <w:numId w:val="11"/>
        </w:numPr>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签订合同时对违约造成的损失不具备可预见性；</w:t>
      </w:r>
    </w:p>
    <w:p>
      <w:pPr>
        <w:pStyle w:val="14"/>
        <w:keepNext w:val="0"/>
        <w:keepLines w:val="0"/>
        <w:pageBreakBefore w:val="0"/>
        <w:widowControl w:val="0"/>
        <w:numPr>
          <w:ilvl w:val="0"/>
          <w:numId w:val="11"/>
        </w:numPr>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原告未尽减损义务，扩大的损失应当自行承担；</w:t>
      </w:r>
    </w:p>
    <w:p>
      <w:pPr>
        <w:pStyle w:val="14"/>
        <w:keepNext w:val="0"/>
        <w:keepLines w:val="0"/>
        <w:pageBreakBefore w:val="0"/>
        <w:widowControl w:val="0"/>
        <w:numPr>
          <w:ilvl w:val="0"/>
          <w:numId w:val="11"/>
        </w:numPr>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原告没有可得利益损失；</w:t>
      </w:r>
    </w:p>
    <w:p>
      <w:pPr>
        <w:pStyle w:val="14"/>
        <w:keepNext w:val="0"/>
        <w:keepLines w:val="0"/>
        <w:pageBreakBefore w:val="0"/>
        <w:widowControl w:val="0"/>
        <w:numPr>
          <w:ilvl w:val="0"/>
          <w:numId w:val="11"/>
        </w:numPr>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原告对违约有过错，应减轻被告的责任；</w:t>
      </w:r>
    </w:p>
    <w:p>
      <w:pPr>
        <w:pStyle w:val="14"/>
        <w:keepNext w:val="0"/>
        <w:keepLines w:val="0"/>
        <w:pageBreakBefore w:val="0"/>
        <w:widowControl w:val="0"/>
        <w:numPr>
          <w:ilvl w:val="0"/>
          <w:numId w:val="11"/>
        </w:numPr>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被告没有违约行为；</w:t>
      </w:r>
    </w:p>
    <w:p>
      <w:pPr>
        <w:pStyle w:val="14"/>
        <w:keepNext w:val="0"/>
        <w:keepLines w:val="0"/>
        <w:pageBreakBefore w:val="0"/>
        <w:widowControl w:val="0"/>
        <w:numPr>
          <w:ilvl w:val="0"/>
          <w:numId w:val="11"/>
        </w:numPr>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原告主张的可得利益损失与被告行为间不存在因果关系。</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第三十九条</w:t>
      </w:r>
      <w:r>
        <w:rPr>
          <w:rFonts w:hint="eastAsia" w:ascii="仿宋_GB2312" w:hAnsi="仿宋" w:eastAsia="仿宋_GB2312" w:cs="仿宋"/>
          <w:color w:val="000000"/>
          <w:sz w:val="28"/>
          <w:szCs w:val="28"/>
        </w:rPr>
        <w:t xml:space="preserve">  被告可以采取下列方式抗辩原告以情势变更为由解除或者变更合同：</w:t>
      </w:r>
    </w:p>
    <w:p>
      <w:pPr>
        <w:pStyle w:val="14"/>
        <w:keepNext w:val="0"/>
        <w:keepLines w:val="0"/>
        <w:pageBreakBefore w:val="0"/>
        <w:widowControl w:val="0"/>
        <w:numPr>
          <w:ilvl w:val="0"/>
          <w:numId w:val="12"/>
        </w:numPr>
        <w:kinsoku/>
        <w:wordWrap/>
        <w:overflowPunct/>
        <w:topLinePunct w:val="0"/>
        <w:autoSpaceDE/>
        <w:autoSpaceDN/>
        <w:bidi w:val="0"/>
        <w:adjustRightInd/>
        <w:snapToGrid/>
        <w:spacing w:before="0" w:beforeAutospacing="0" w:after="0" w:afterAutospacing="0" w:line="500" w:lineRule="exact"/>
        <w:ind w:left="0"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双方签订合同时对原告主张的情况已经能够预见；</w:t>
      </w:r>
    </w:p>
    <w:p>
      <w:pPr>
        <w:pStyle w:val="14"/>
        <w:keepNext w:val="0"/>
        <w:keepLines w:val="0"/>
        <w:pageBreakBefore w:val="0"/>
        <w:widowControl w:val="0"/>
        <w:numPr>
          <w:ilvl w:val="0"/>
          <w:numId w:val="12"/>
        </w:numPr>
        <w:kinsoku/>
        <w:wordWrap/>
        <w:overflowPunct/>
        <w:topLinePunct w:val="0"/>
        <w:autoSpaceDE/>
        <w:autoSpaceDN/>
        <w:bidi w:val="0"/>
        <w:adjustRightInd/>
        <w:snapToGrid/>
        <w:spacing w:before="0" w:beforeAutospacing="0" w:after="0" w:afterAutospacing="0" w:line="500" w:lineRule="exact"/>
        <w:ind w:left="0"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出现的情况属于商业风险；</w:t>
      </w:r>
    </w:p>
    <w:p>
      <w:pPr>
        <w:pStyle w:val="14"/>
        <w:keepNext w:val="0"/>
        <w:keepLines w:val="0"/>
        <w:pageBreakBefore w:val="0"/>
        <w:widowControl w:val="0"/>
        <w:numPr>
          <w:ilvl w:val="0"/>
          <w:numId w:val="12"/>
        </w:numPr>
        <w:kinsoku/>
        <w:wordWrap/>
        <w:overflowPunct/>
        <w:topLinePunct w:val="0"/>
        <w:autoSpaceDE/>
        <w:autoSpaceDN/>
        <w:bidi w:val="0"/>
        <w:adjustRightInd/>
        <w:snapToGrid/>
        <w:spacing w:before="0" w:beforeAutospacing="0" w:after="0" w:afterAutospacing="0" w:line="500" w:lineRule="exact"/>
        <w:ind w:left="0"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继续履行合同后，不会显失公平；</w:t>
      </w:r>
    </w:p>
    <w:p>
      <w:pPr>
        <w:pStyle w:val="14"/>
        <w:keepNext w:val="0"/>
        <w:keepLines w:val="0"/>
        <w:pageBreakBefore w:val="0"/>
        <w:widowControl w:val="0"/>
        <w:numPr>
          <w:ilvl w:val="0"/>
          <w:numId w:val="12"/>
        </w:numPr>
        <w:kinsoku/>
        <w:wordWrap/>
        <w:overflowPunct/>
        <w:topLinePunct w:val="0"/>
        <w:autoSpaceDE/>
        <w:autoSpaceDN/>
        <w:bidi w:val="0"/>
        <w:adjustRightInd/>
        <w:snapToGrid/>
        <w:spacing w:before="0" w:beforeAutospacing="0" w:after="0" w:afterAutospacing="0" w:line="500" w:lineRule="exact"/>
        <w:ind w:left="0" w:firstLine="560"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合同目的可以实现。</w:t>
      </w:r>
    </w:p>
    <w:p>
      <w:pPr>
        <w:pStyle w:val="2"/>
        <w:keepNext w:val="0"/>
        <w:keepLines w:val="0"/>
        <w:pageBreakBefore w:val="0"/>
        <w:widowControl w:val="0"/>
        <w:kinsoku/>
        <w:wordWrap/>
        <w:overflowPunct/>
        <w:topLinePunct w:val="0"/>
        <w:autoSpaceDE/>
        <w:autoSpaceDN/>
        <w:bidi w:val="0"/>
        <w:adjustRightInd/>
        <w:snapToGrid/>
        <w:spacing w:beforeAutospacing="0" w:afterAutospacing="0" w:line="500" w:lineRule="exact"/>
        <w:jc w:val="left"/>
        <w:textAlignment w:val="auto"/>
        <w:outlineLvl w:val="9"/>
        <w:rPr>
          <w:rFonts w:ascii="仿宋_GB2312" w:hAnsi="宋体" w:eastAsia="仿宋_GB2312"/>
          <w:color w:val="000000"/>
          <w:sz w:val="28"/>
          <w:szCs w:val="28"/>
        </w:rPr>
      </w:pPr>
      <w:r>
        <w:rPr>
          <w:rFonts w:ascii="仿宋_GB2312" w:hAnsi="宋体" w:eastAsia="仿宋_GB2312"/>
          <w:color w:val="000000"/>
          <w:sz w:val="28"/>
          <w:szCs w:val="28"/>
        </w:rPr>
        <w:br w:type="page"/>
      </w:r>
      <w:r>
        <w:rPr>
          <w:sz w:val="20"/>
        </w:rPr>
        <mc:AlternateContent>
          <mc:Choice Requires="wps">
            <w:drawing>
              <wp:anchor distT="0" distB="0" distL="114300" distR="114300" simplePos="0" relativeHeight="251754496" behindDoc="0" locked="0" layoutInCell="1" allowOverlap="1">
                <wp:simplePos x="0" y="0"/>
                <wp:positionH relativeFrom="column">
                  <wp:posOffset>-651510</wp:posOffset>
                </wp:positionH>
                <wp:positionV relativeFrom="paragraph">
                  <wp:posOffset>6109970</wp:posOffset>
                </wp:positionV>
                <wp:extent cx="2063750" cy="1047750"/>
                <wp:effectExtent l="0" t="0" r="12700" b="0"/>
                <wp:wrapNone/>
                <wp:docPr id="18" name="文本框 18"/>
                <wp:cNvGraphicFramePr/>
                <a:graphic xmlns:a="http://schemas.openxmlformats.org/drawingml/2006/main">
                  <a:graphicData uri="http://schemas.microsoft.com/office/word/2010/wordprocessingShape">
                    <wps:wsp>
                      <wps:cNvSpPr txBox="1"/>
                      <wps:spPr>
                        <a:xfrm>
                          <a:off x="0" y="0"/>
                          <a:ext cx="2063750" cy="1047750"/>
                        </a:xfrm>
                        <a:prstGeom prst="rect">
                          <a:avLst/>
                        </a:prstGeom>
                        <a:solidFill>
                          <a:srgbClr val="FFFFFF"/>
                        </a:solidFill>
                        <a:ln>
                          <a:noFill/>
                        </a:ln>
                      </wps:spPr>
                      <wps:txbx>
                        <w:txbxContent>
                          <w:p/>
                        </w:txbxContent>
                      </wps:txbx>
                      <wps:bodyPr upright="1"/>
                    </wps:wsp>
                  </a:graphicData>
                </a:graphic>
              </wp:anchor>
            </w:drawing>
          </mc:Choice>
          <mc:Fallback>
            <w:pict>
              <v:shape id="_x0000_s1026" o:spid="_x0000_s1026" o:spt="202" type="#_x0000_t202" style="position:absolute;left:0pt;margin-left:-51.3pt;margin-top:481.1pt;height:82.5pt;width:162.5pt;z-index:251754496;mso-width-relative:page;mso-height-relative:page;" fillcolor="#FFFFFF" filled="t" stroked="f" coordsize="21600,21600" o:gfxdata="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ndtax2gAAAA0BAAAPAAAAAAAAAAEAIAAAACIAAABkcnMvZG93bnJldi54&#10;bWxQSwECFAAUAAAACACHTuJA2JdT2b8BAAB6AwAADgAAAAAAAAABACAAAAApAQAAZHJzL2Uyb0Rv&#10;Yy54bWxQSwUGAAAAAAYABgBZAQAAWgUAAAAA&#10;">
                <v:fill on="t" focussize="0,0"/>
                <v:stroke on="f"/>
                <v:imagedata o:title=""/>
                <o:lock v:ext="edit" aspectratio="f"/>
                <v:textbox>
                  <w:txbxContent>
                    <w:p/>
                  </w:txbxContent>
                </v:textbox>
              </v:shape>
            </w:pict>
          </mc:Fallback>
        </mc:AlternateContent>
      </w:r>
      <w:r>
        <w:rPr>
          <w:rFonts w:ascii="仿宋_GB2312" w:hAnsi="宋体" w:eastAsia="仿宋_GB2312"/>
          <w:color w:val="000000"/>
          <w:sz w:val="28"/>
          <w:szCs w:val="28"/>
        </w:rPr>
        <w:br w:type="page"/>
      </w:r>
      <w:bookmarkStart w:id="52" w:name="_Toc29296"/>
    </w:p>
    <w:p>
      <w:pPr>
        <w:pStyle w:val="2"/>
        <w:keepNext w:val="0"/>
        <w:keepLines w:val="0"/>
        <w:pageBreakBefore w:val="0"/>
        <w:widowControl w:val="0"/>
        <w:wordWrap/>
        <w:bidi w:val="0"/>
        <w:spacing w:line="500" w:lineRule="exact"/>
        <w:jc w:val="left"/>
        <w:outlineLvl w:val="9"/>
        <w:rPr>
          <w:rFonts w:hint="eastAsia" w:ascii="方正小标宋简体" w:hAnsi="方正小标宋简体" w:eastAsia="方正小标宋简体" w:cs="方正小标宋简体"/>
          <w:color w:val="000000"/>
          <w:sz w:val="48"/>
          <w:szCs w:val="48"/>
        </w:rPr>
      </w:pPr>
      <w:r>
        <w:rPr>
          <w:color w:val="000000"/>
          <w:sz w:val="48"/>
          <w:szCs w:val="44"/>
        </w:rPr>
        <mc:AlternateContent>
          <mc:Choice Requires="wps">
            <w:drawing>
              <wp:anchor distT="0" distB="0" distL="114300" distR="114300" simplePos="0" relativeHeight="251661312" behindDoc="0" locked="0" layoutInCell="1" allowOverlap="1">
                <wp:simplePos x="0" y="0"/>
                <wp:positionH relativeFrom="column">
                  <wp:posOffset>-615315</wp:posOffset>
                </wp:positionH>
                <wp:positionV relativeFrom="paragraph">
                  <wp:posOffset>5573395</wp:posOffset>
                </wp:positionV>
                <wp:extent cx="1746250" cy="899160"/>
                <wp:effectExtent l="4445" t="5080" r="20955" b="10160"/>
                <wp:wrapNone/>
                <wp:docPr id="21" name="矩形 21"/>
                <wp:cNvGraphicFramePr/>
                <a:graphic xmlns:a="http://schemas.openxmlformats.org/drawingml/2006/main">
                  <a:graphicData uri="http://schemas.microsoft.com/office/word/2010/wordprocessingShape">
                    <wps:wsp>
                      <wps:cNvSpPr/>
                      <wps:spPr>
                        <a:xfrm>
                          <a:off x="0" y="0"/>
                          <a:ext cx="1746250" cy="899160"/>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48.45pt;margin-top:438.85pt;height:70.8pt;width:137.5pt;z-index:251661312;mso-width-relative:page;mso-height-relative:page;" fillcolor="#FFFFFF" filled="t" stroked="t" coordsize="21600,21600" o:gfxdata="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eL0ck2QAAAAwBAAAPAAAAAAAAAAEAIAAAACIAAABkcnMvZG93bnJldi54&#10;bWxQSwECFAAUAAAACACHTuJAFW4xB/kBAAAgBAAADgAAAAAAAAABACAAAAAoAQAAZHJzL2Uyb0Rv&#10;Yy54bWxQSwUGAAAAAAYABgBZAQAAkwUAAAAA&#10;">
                <v:fill on="t" focussize="0,0"/>
                <v:stroke color="#FFFFFF" joinstyle="miter"/>
                <v:imagedata o:title=""/>
                <o:lock v:ext="edit" aspectratio="f"/>
              </v:rect>
            </w:pict>
          </mc:Fallback>
        </mc:AlternateContent>
      </w:r>
    </w:p>
    <w:p>
      <w:pPr>
        <w:keepNext w:val="0"/>
        <w:keepLines w:val="0"/>
        <w:pageBreakBefore w:val="0"/>
        <w:widowControl w:val="0"/>
        <w:wordWrap/>
        <w:bidi w:val="0"/>
        <w:spacing w:line="500" w:lineRule="exact"/>
        <w:rPr>
          <w:rFonts w:hint="eastAsia" w:ascii="方正小标宋简体" w:hAnsi="方正小标宋简体" w:eastAsia="方正小标宋简体" w:cs="方正小标宋简体"/>
          <w:color w:val="000000"/>
          <w:sz w:val="48"/>
          <w:szCs w:val="48"/>
        </w:rPr>
      </w:pPr>
    </w:p>
    <w:p>
      <w:pPr>
        <w:keepNext w:val="0"/>
        <w:keepLines w:val="0"/>
        <w:pageBreakBefore w:val="0"/>
        <w:widowControl w:val="0"/>
        <w:wordWrap/>
        <w:bidi w:val="0"/>
        <w:spacing w:line="500" w:lineRule="exact"/>
        <w:rPr>
          <w:rFonts w:hint="eastAsia" w:ascii="方正小标宋简体" w:hAnsi="方正小标宋简体" w:eastAsia="方正小标宋简体" w:cs="方正小标宋简体"/>
          <w:color w:val="000000"/>
          <w:sz w:val="48"/>
          <w:szCs w:val="48"/>
        </w:rPr>
      </w:pPr>
    </w:p>
    <w:p>
      <w:pPr>
        <w:pStyle w:val="2"/>
        <w:keepNext w:val="0"/>
        <w:keepLines w:val="0"/>
        <w:pageBreakBefore w:val="0"/>
        <w:widowControl w:val="0"/>
        <w:wordWrap/>
        <w:bidi w:val="0"/>
        <w:spacing w:line="500" w:lineRule="exact"/>
        <w:jc w:val="center"/>
        <w:rPr>
          <w:rFonts w:hint="eastAsia" w:ascii="方正小标宋简体" w:hAnsi="方正小标宋简体" w:eastAsia="方正小标宋简体" w:cs="方正小标宋简体"/>
          <w:b w:val="0"/>
          <w:bCs/>
          <w:color w:val="000000"/>
          <w:sz w:val="48"/>
          <w:szCs w:val="48"/>
        </w:rPr>
      </w:pPr>
      <w:bookmarkStart w:id="53" w:name="_Toc20089"/>
      <w:r>
        <w:rPr>
          <w:rFonts w:hint="eastAsia" w:ascii="方正小标宋简体" w:hAnsi="方正小标宋简体" w:eastAsia="方正小标宋简体" w:cs="方正小标宋简体"/>
          <w:b w:val="0"/>
          <w:bCs/>
          <w:color w:val="000000"/>
          <w:sz w:val="48"/>
          <w:szCs w:val="48"/>
        </w:rPr>
        <w:t>行政诉讼办案指南</w:t>
      </w:r>
      <w:bookmarkEnd w:id="52"/>
      <w:bookmarkEnd w:id="53"/>
    </w:p>
    <w:p>
      <w:pPr>
        <w:pStyle w:val="2"/>
        <w:keepNext w:val="0"/>
        <w:keepLines w:val="0"/>
        <w:pageBreakBefore w:val="0"/>
        <w:widowControl w:val="0"/>
        <w:wordWrap/>
        <w:bidi w:val="0"/>
        <w:spacing w:line="500" w:lineRule="exact"/>
        <w:jc w:val="center"/>
        <w:outlineLvl w:val="9"/>
        <w:rPr>
          <w:rFonts w:hint="eastAsia"/>
          <w:color w:val="000000"/>
          <w:sz w:val="20"/>
          <w:szCs w:val="20"/>
        </w:rPr>
      </w:pPr>
      <w:r>
        <w:rPr>
          <w:rFonts w:hint="eastAsia" w:ascii="方正小标宋简体" w:hAnsi="方正小标宋简体" w:eastAsia="方正小标宋简体" w:cs="方正小标宋简体"/>
          <w:b w:val="0"/>
          <w:bCs/>
          <w:color w:val="000000"/>
          <w:sz w:val="48"/>
          <w:szCs w:val="48"/>
        </w:rPr>
        <w:br w:type="page"/>
      </w:r>
      <w:r>
        <w:rPr>
          <w:rFonts w:hint="eastAsia" w:ascii="方正小标宋简体" w:hAnsi="方正小标宋简体" w:eastAsia="方正小标宋简体" w:cs="方正小标宋简体"/>
          <w:color w:val="000000"/>
          <w:sz w:val="48"/>
          <w:szCs w:val="48"/>
        </w:rPr>
        <w:t xml:space="preserve"> </w:t>
      </w:r>
      <w:r>
        <w:rPr>
          <w:rFonts w:hint="eastAsia"/>
          <w:color w:val="000000"/>
          <w:sz w:val="20"/>
          <w:szCs w:val="20"/>
        </w:rPr>
        <w:t xml:space="preserve"> </w:t>
      </w:r>
    </w:p>
    <w:p>
      <w:pPr>
        <w:keepNext w:val="0"/>
        <w:keepLines w:val="0"/>
        <w:pageBreakBefore w:val="0"/>
        <w:widowControl w:val="0"/>
        <w:wordWrap/>
        <w:bidi w:val="0"/>
        <w:spacing w:line="500" w:lineRule="exact"/>
        <w:rPr>
          <w:rFonts w:hint="eastAsia"/>
          <w:color w:val="000000"/>
          <w:sz w:val="20"/>
          <w:szCs w:val="20"/>
        </w:rPr>
      </w:pPr>
    </w:p>
    <w:p>
      <w:pPr>
        <w:keepNext w:val="0"/>
        <w:keepLines w:val="0"/>
        <w:pageBreakBefore w:val="0"/>
        <w:widowControl w:val="0"/>
        <w:wordWrap/>
        <w:bidi w:val="0"/>
        <w:spacing w:line="500" w:lineRule="exact"/>
        <w:jc w:val="center"/>
        <w:rPr>
          <w:rFonts w:hint="eastAsia" w:ascii="宋体" w:hAnsi="宋体" w:cs="宋体"/>
          <w:color w:val="000000"/>
          <w:sz w:val="20"/>
          <w:szCs w:val="20"/>
        </w:rPr>
      </w:pPr>
    </w:p>
    <w:p>
      <w:pPr>
        <w:keepNext w:val="0"/>
        <w:keepLines w:val="0"/>
        <w:pageBreakBefore w:val="0"/>
        <w:widowControl w:val="0"/>
        <w:wordWrap/>
        <w:bidi w:val="0"/>
        <w:spacing w:line="500" w:lineRule="exact"/>
        <w:ind w:firstLine="400" w:firstLineChars="200"/>
        <w:jc w:val="both"/>
        <w:rPr>
          <w:color w:val="000000"/>
          <w:sz w:val="20"/>
          <w:szCs w:val="20"/>
        </w:rPr>
        <w:sectPr>
          <w:footerReference r:id="rId7" w:type="default"/>
          <w:pgSz w:w="9638" w:h="13606"/>
          <w:pgMar w:top="1701" w:right="1134" w:bottom="1531" w:left="1134" w:header="850" w:footer="1020" w:gutter="0"/>
          <w:pgBorders>
            <w:top w:val="none" w:sz="0" w:space="0"/>
            <w:left w:val="none" w:sz="0" w:space="0"/>
            <w:bottom w:val="none" w:sz="0" w:space="0"/>
            <w:right w:val="none" w:sz="0" w:space="0"/>
          </w:pgBorders>
          <w:pgNumType w:fmt="decimal" w:start="1"/>
          <w:cols w:space="720" w:num="1"/>
          <w:rtlGutter w:val="0"/>
          <w:docGrid w:type="lines" w:linePitch="312" w:charSpace="0"/>
        </w:sectPr>
      </w:pPr>
      <w:r>
        <w:rPr>
          <w:sz w:val="20"/>
        </w:rPr>
        <mc:AlternateContent>
          <mc:Choice Requires="wps">
            <w:drawing>
              <wp:anchor distT="0" distB="0" distL="114300" distR="114300" simplePos="0" relativeHeight="251725824" behindDoc="0" locked="0" layoutInCell="1" allowOverlap="1">
                <wp:simplePos x="0" y="0"/>
                <wp:positionH relativeFrom="column">
                  <wp:posOffset>-424815</wp:posOffset>
                </wp:positionH>
                <wp:positionV relativeFrom="paragraph">
                  <wp:posOffset>5164455</wp:posOffset>
                </wp:positionV>
                <wp:extent cx="2063750" cy="1047750"/>
                <wp:effectExtent l="0" t="0" r="12700" b="0"/>
                <wp:wrapNone/>
                <wp:docPr id="10" name="文本框 10"/>
                <wp:cNvGraphicFramePr/>
                <a:graphic xmlns:a="http://schemas.openxmlformats.org/drawingml/2006/main">
                  <a:graphicData uri="http://schemas.microsoft.com/office/word/2010/wordprocessingShape">
                    <wps:wsp>
                      <wps:cNvSpPr txBox="1"/>
                      <wps:spPr>
                        <a:xfrm>
                          <a:off x="0" y="0"/>
                          <a:ext cx="2063750" cy="1047750"/>
                        </a:xfrm>
                        <a:prstGeom prst="rect">
                          <a:avLst/>
                        </a:prstGeom>
                        <a:solidFill>
                          <a:srgbClr val="FFFFFF"/>
                        </a:solidFill>
                        <a:ln>
                          <a:noFill/>
                        </a:ln>
                      </wps:spPr>
                      <wps:txbx>
                        <w:txbxContent>
                          <w:p/>
                        </w:txbxContent>
                      </wps:txbx>
                      <wps:bodyPr upright="1"/>
                    </wps:wsp>
                  </a:graphicData>
                </a:graphic>
              </wp:anchor>
            </w:drawing>
          </mc:Choice>
          <mc:Fallback>
            <w:pict>
              <v:shape id="_x0000_s1026" o:spid="_x0000_s1026" o:spt="202" type="#_x0000_t202" style="position:absolute;left:0pt;margin-left:-33.45pt;margin-top:406.65pt;height:82.5pt;width:162.5pt;z-index:251725824;mso-width-relative:page;mso-height-relative:page;" fillcolor="#FFFFFF" filled="t" stroked="f" coordsize="21600,21600" o:gfxdata="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2qi2bZAAAACwEAAA8AAAAAAAAAAQAgAAAAIgAAAGRycy9kb3ducmV2Lnht&#10;bFBLAQIUABQAAAAIAIdO4kDgx/QgvwEAAHoDAAAOAAAAAAAAAAEAIAAAACgBAABkcnMvZTJvRG9j&#10;LnhtbFBLBQYAAAAABgAGAFkBAABZBQAAAAA=&#10;">
                <v:fill on="t" focussize="0,0"/>
                <v:stroke on="f"/>
                <v:imagedata o:title=""/>
                <o:lock v:ext="edit" aspectratio="f"/>
                <v:textbox>
                  <w:txbxContent>
                    <w:p/>
                  </w:txbxContent>
                </v:textbox>
              </v:shape>
            </w:pict>
          </mc:Fallback>
        </mc:AlternateContent>
      </w:r>
      <w:r>
        <w:rPr>
          <w:sz w:val="20"/>
          <w:szCs w:val="21"/>
        </w:rPr>
        <mc:AlternateContent>
          <mc:Choice Requires="wps">
            <w:drawing>
              <wp:anchor distT="0" distB="0" distL="114300" distR="114300" simplePos="0" relativeHeight="251689984" behindDoc="0" locked="0" layoutInCell="1" allowOverlap="1">
                <wp:simplePos x="0" y="0"/>
                <wp:positionH relativeFrom="column">
                  <wp:posOffset>-340995</wp:posOffset>
                </wp:positionH>
                <wp:positionV relativeFrom="paragraph">
                  <wp:posOffset>7042150</wp:posOffset>
                </wp:positionV>
                <wp:extent cx="1297940" cy="690880"/>
                <wp:effectExtent l="4445" t="4445" r="12065" b="9525"/>
                <wp:wrapNone/>
                <wp:docPr id="1" name="矩形 1"/>
                <wp:cNvGraphicFramePr/>
                <a:graphic xmlns:a="http://schemas.openxmlformats.org/drawingml/2006/main">
                  <a:graphicData uri="http://schemas.microsoft.com/office/word/2010/wordprocessingShape">
                    <wps:wsp>
                      <wps:cNvSpPr/>
                      <wps:spPr>
                        <a:xfrm>
                          <a:off x="0" y="0"/>
                          <a:ext cx="1297940" cy="690880"/>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6.85pt;margin-top:554.5pt;height:54.4pt;width:102.2pt;z-index:251689984;mso-width-relative:page;mso-height-relative:page;" fillcolor="#FFFFFF" filled="t" stroked="t" coordsize="21600,21600" o:gfxdata="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HywNatkAAAANAQAADwAAAAAAAAABACAAAAAiAAAAZHJzL2Rvd25yZXYueG1s&#10;UEsBAhQAFAAAAAgAh07iQJBwt/D3AQAAHgQAAA4AAAAAAAAAAQAgAAAAKAEAAGRycy9lMm9Eb2Mu&#10;eG1sUEsFBgAAAAAGAAYAWQEAAJEFAAAAAA==&#10;">
                <v:fill on="t" focussize="0,0"/>
                <v:stroke color="#FFFFFF" joinstyle="miter"/>
                <v:imagedata o:title=""/>
                <o:lock v:ext="edit" aspectratio="f"/>
              </v:rect>
            </w:pict>
          </mc:Fallback>
        </mc:AlternateContent>
      </w:r>
      <w:r>
        <w:rPr>
          <w:color w:val="000000"/>
          <w:sz w:val="20"/>
          <w:szCs w:val="20"/>
        </w:rPr>
        <w:t xml:space="preserve">            </w:t>
      </w:r>
    </w:p>
    <w:p>
      <w:pPr>
        <w:pStyle w:val="2"/>
        <w:keepNext w:val="0"/>
        <w:keepLines w:val="0"/>
        <w:pageBreakBefore w:val="0"/>
        <w:widowControl w:val="0"/>
        <w:wordWrap/>
        <w:bidi w:val="0"/>
        <w:spacing w:before="0" w:after="0" w:line="500" w:lineRule="exact"/>
        <w:jc w:val="center"/>
        <w:rPr>
          <w:rFonts w:hint="eastAsia" w:ascii="方正小标宋简体" w:hAnsi="仿宋" w:eastAsia="方正小标宋简体" w:cs="仿宋"/>
          <w:b w:val="0"/>
          <w:bCs/>
          <w:color w:val="000000"/>
          <w:sz w:val="44"/>
          <w:szCs w:val="40"/>
        </w:rPr>
      </w:pPr>
      <w:bookmarkStart w:id="54" w:name="_Toc5696"/>
      <w:bookmarkStart w:id="55" w:name="_Toc25363"/>
      <w:r>
        <w:rPr>
          <w:rFonts w:hint="eastAsia" w:ascii="方正小标宋简体" w:hAnsi="仿宋" w:eastAsia="方正小标宋简体" w:cs="仿宋"/>
          <w:b w:val="0"/>
          <w:bCs/>
          <w:color w:val="000000"/>
          <w:sz w:val="44"/>
          <w:szCs w:val="40"/>
        </w:rPr>
        <w:t>凡   例</w:t>
      </w:r>
      <w:bookmarkEnd w:id="54"/>
    </w:p>
    <w:p>
      <w:pPr>
        <w:keepNext w:val="0"/>
        <w:keepLines w:val="0"/>
        <w:pageBreakBefore w:val="0"/>
        <w:widowControl w:val="0"/>
        <w:wordWrap/>
        <w:bidi w:val="0"/>
        <w:spacing w:line="500" w:lineRule="exact"/>
        <w:rPr>
          <w:rFonts w:hint="eastAsia"/>
          <w:sz w:val="20"/>
          <w:szCs w:val="21"/>
        </w:rPr>
      </w:pPr>
    </w:p>
    <w:p>
      <w:pPr>
        <w:keepNext w:val="0"/>
        <w:keepLines w:val="0"/>
        <w:pageBreakBefore w:val="0"/>
        <w:widowControl w:val="0"/>
        <w:numPr>
          <w:ilvl w:val="0"/>
          <w:numId w:val="13"/>
        </w:numPr>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凡属于国家法律的，均简称为《某某法》。例如《中华人民共和国行政诉讼法》简称为《行政诉讼法》《中华人民共和国行政复议法》简称为《行政复议法》</w:t>
      </w:r>
    </w:p>
    <w:p>
      <w:pPr>
        <w:keepNext w:val="0"/>
        <w:keepLines w:val="0"/>
        <w:pageBreakBefore w:val="0"/>
        <w:widowControl w:val="0"/>
        <w:numPr>
          <w:ilvl w:val="0"/>
          <w:numId w:val="13"/>
        </w:numPr>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凡属于法规及法规以下规范性文件的均简称为《某某法规》。例如，《中华民共和国政府信息公开条例》简称为《政府信息公开条例》</w:t>
      </w:r>
    </w:p>
    <w:p>
      <w:pPr>
        <w:keepNext w:val="0"/>
        <w:keepLines w:val="0"/>
        <w:pageBreakBefore w:val="0"/>
        <w:widowControl w:val="0"/>
        <w:numPr>
          <w:ilvl w:val="0"/>
          <w:numId w:val="13"/>
        </w:numPr>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最高人民法院《关于适用中华人民共和国&lt;行政诉讼法&gt;的解释》简称《行诉法解释》</w:t>
      </w:r>
    </w:p>
    <w:p>
      <w:pPr>
        <w:keepNext w:val="0"/>
        <w:keepLines w:val="0"/>
        <w:pageBreakBefore w:val="0"/>
        <w:widowControl w:val="0"/>
        <w:numPr>
          <w:ilvl w:val="0"/>
          <w:numId w:val="13"/>
        </w:numPr>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最高人民法院《关于行政诉讼证据若干问题的规定》简称为《行政诉讼证据规定》</w:t>
      </w:r>
    </w:p>
    <w:p>
      <w:pPr>
        <w:keepNext w:val="0"/>
        <w:keepLines w:val="0"/>
        <w:pageBreakBefore w:val="0"/>
        <w:widowControl w:val="0"/>
        <w:numPr>
          <w:ilvl w:val="0"/>
          <w:numId w:val="13"/>
        </w:numPr>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最高人民法院《关于审理行政案件适用法律规范问题的座谈会纪要》简称为《座谈会纪要》</w:t>
      </w:r>
    </w:p>
    <w:p>
      <w:pPr>
        <w:keepNext w:val="0"/>
        <w:keepLines w:val="0"/>
        <w:pageBreakBefore w:val="0"/>
        <w:widowControl w:val="0"/>
        <w:numPr>
          <w:ilvl w:val="0"/>
          <w:numId w:val="13"/>
        </w:numPr>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最高人民法院《关于行政诉讼撤诉若干问题的规定》简称为《撤诉规定》</w:t>
      </w:r>
    </w:p>
    <w:p>
      <w:pPr>
        <w:keepNext w:val="0"/>
        <w:keepLines w:val="0"/>
        <w:pageBreakBefore w:val="0"/>
        <w:widowControl w:val="0"/>
        <w:numPr>
          <w:ilvl w:val="0"/>
          <w:numId w:val="13"/>
        </w:numPr>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最高人民法院《关于行政案件管辖若干问题的规定》简称为《管辖规定》</w:t>
      </w:r>
    </w:p>
    <w:p>
      <w:pPr>
        <w:keepNext w:val="0"/>
        <w:keepLines w:val="0"/>
        <w:pageBreakBefore w:val="0"/>
        <w:widowControl w:val="0"/>
        <w:numPr>
          <w:ilvl w:val="0"/>
          <w:numId w:val="13"/>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最高人民法院《关于行政案件案由的暂行规定》简称《行政案由规定》</w:t>
      </w:r>
    </w:p>
    <w:p>
      <w:pPr>
        <w:keepNext w:val="0"/>
        <w:keepLines w:val="0"/>
        <w:pageBreakBefore w:val="0"/>
        <w:widowControl w:val="0"/>
        <w:numPr>
          <w:ilvl w:val="0"/>
          <w:numId w:val="13"/>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kern w:val="2"/>
          <w:sz w:val="28"/>
          <w:szCs w:val="28"/>
        </w:rPr>
        <w:t>最高人民法院《关于民事诉讼证据若干问题的规定》简称为</w:t>
      </w:r>
      <w:r>
        <w:rPr>
          <w:rFonts w:hint="eastAsia" w:ascii="仿宋_GB2312" w:hAnsi="仿宋" w:eastAsia="仿宋_GB2312" w:cs="仿宋"/>
          <w:sz w:val="28"/>
          <w:szCs w:val="28"/>
        </w:rPr>
        <w:t>《民事诉讼证据规定》</w:t>
      </w:r>
    </w:p>
    <w:p>
      <w:pPr>
        <w:pStyle w:val="2"/>
        <w:keepNext w:val="0"/>
        <w:keepLines w:val="0"/>
        <w:pageBreakBefore w:val="0"/>
        <w:widowControl w:val="0"/>
        <w:wordWrap/>
        <w:bidi w:val="0"/>
        <w:spacing w:before="0" w:after="0" w:line="500" w:lineRule="exact"/>
        <w:jc w:val="center"/>
        <w:rPr>
          <w:rFonts w:hint="eastAsia" w:ascii="方正小标宋简体" w:hAnsi="仿宋" w:eastAsia="方正小标宋简体" w:cs="仿宋"/>
          <w:color w:val="000000"/>
          <w:sz w:val="44"/>
          <w:szCs w:val="40"/>
        </w:rPr>
      </w:pPr>
      <w:r>
        <w:rPr>
          <w:rFonts w:hint="eastAsia" w:ascii="仿宋" w:hAnsi="仿宋" w:eastAsia="仿宋" w:cs="仿宋"/>
          <w:color w:val="000000"/>
          <w:sz w:val="28"/>
          <w:szCs w:val="28"/>
        </w:rPr>
        <w:br w:type="page"/>
      </w:r>
      <w:bookmarkStart w:id="56" w:name="_Toc30517"/>
      <w:r>
        <w:rPr>
          <w:rFonts w:hint="eastAsia" w:ascii="方正小标宋简体" w:hAnsi="仿宋" w:eastAsia="方正小标宋简体" w:cs="仿宋"/>
          <w:b w:val="0"/>
          <w:bCs/>
          <w:color w:val="000000"/>
          <w:sz w:val="44"/>
          <w:szCs w:val="40"/>
        </w:rPr>
        <w:t>目    录</w:t>
      </w:r>
      <w:bookmarkEnd w:id="56"/>
    </w:p>
    <w:p>
      <w:pPr>
        <w:pStyle w:val="11"/>
        <w:keepNext w:val="0"/>
        <w:keepLines w:val="0"/>
        <w:pageBreakBefore w:val="0"/>
        <w:widowControl w:val="0"/>
        <w:tabs>
          <w:tab w:val="right" w:leader="dot" w:pos="8869"/>
          <w:tab w:val="clear" w:pos="8720"/>
        </w:tabs>
        <w:wordWrap/>
        <w:bidi w:val="0"/>
        <w:spacing w:before="0" w:after="0" w:line="500" w:lineRule="exact"/>
        <w:ind w:firstLine="522" w:firstLineChars="200"/>
        <w:jc w:val="left"/>
        <w:rPr>
          <w:rFonts w:hint="eastAsia" w:ascii="仿宋" w:hAnsi="仿宋" w:eastAsia="仿宋" w:cs="仿宋"/>
          <w:b w:val="0"/>
          <w:color w:val="000000"/>
          <w:sz w:val="28"/>
          <w:szCs w:val="28"/>
        </w:rPr>
      </w:pPr>
    </w:p>
    <w:p>
      <w:pPr>
        <w:pStyle w:val="11"/>
        <w:keepNext w:val="0"/>
        <w:keepLines w:val="0"/>
        <w:pageBreakBefore w:val="0"/>
        <w:widowControl w:val="0"/>
        <w:tabs>
          <w:tab w:val="right" w:leader="dot" w:pos="8869"/>
          <w:tab w:val="clear" w:pos="8720"/>
        </w:tabs>
        <w:kinsoku/>
        <w:wordWrap/>
        <w:overflowPunct/>
        <w:topLinePunct w:val="0"/>
        <w:autoSpaceDE/>
        <w:autoSpaceDN/>
        <w:bidi w:val="0"/>
        <w:adjustRightInd/>
        <w:snapToGrid/>
        <w:spacing w:before="0" w:beforeAutospacing="0" w:after="0" w:afterAutospacing="0" w:line="500" w:lineRule="exact"/>
        <w:ind w:firstLine="0" w:firstLineChars="0"/>
        <w:jc w:val="left"/>
        <w:textAlignment w:val="auto"/>
        <w:rPr>
          <w:rFonts w:hint="eastAsia" w:ascii="仿宋_GB2312" w:hAnsi="仿宋" w:eastAsia="仿宋_GB2312" w:cs="仿宋"/>
          <w:b w:val="0"/>
          <w:color w:val="000000"/>
          <w:sz w:val="28"/>
          <w:szCs w:val="28"/>
        </w:rPr>
      </w:pPr>
      <w:r>
        <w:rPr>
          <w:rFonts w:hint="eastAsia" w:ascii="仿宋_GB2312" w:hAnsi="仿宋" w:eastAsia="仿宋_GB2312" w:cs="仿宋"/>
          <w:b w:val="0"/>
          <w:color w:val="000000"/>
          <w:sz w:val="28"/>
          <w:szCs w:val="28"/>
        </w:rPr>
        <w:fldChar w:fldCharType="begin"/>
      </w:r>
      <w:r>
        <w:rPr>
          <w:rFonts w:hint="eastAsia" w:ascii="仿宋_GB2312" w:hAnsi="仿宋" w:eastAsia="仿宋_GB2312" w:cs="仿宋"/>
          <w:b w:val="0"/>
          <w:color w:val="000000"/>
          <w:sz w:val="28"/>
          <w:szCs w:val="28"/>
        </w:rPr>
        <w:instrText xml:space="preserve"> HYPERLINK \l _Toc18860 </w:instrText>
      </w:r>
      <w:r>
        <w:rPr>
          <w:rFonts w:hint="eastAsia" w:ascii="仿宋_GB2312" w:hAnsi="仿宋" w:eastAsia="仿宋_GB2312" w:cs="仿宋"/>
          <w:b w:val="0"/>
          <w:color w:val="000000"/>
          <w:sz w:val="28"/>
          <w:szCs w:val="28"/>
        </w:rPr>
        <w:fldChar w:fldCharType="separate"/>
      </w:r>
      <w:r>
        <w:rPr>
          <w:rFonts w:hint="eastAsia" w:ascii="仿宋_GB2312" w:hAnsi="仿宋" w:eastAsia="仿宋_GB2312" w:cs="仿宋"/>
          <w:b w:val="0"/>
          <w:color w:val="000000"/>
          <w:sz w:val="28"/>
          <w:szCs w:val="28"/>
        </w:rPr>
        <w:t>前</w:t>
      </w:r>
      <w:r>
        <w:rPr>
          <w:rFonts w:hint="eastAsia" w:ascii="仿宋_GB2312" w:hAnsi="仿宋" w:eastAsia="仿宋_GB2312" w:cs="仿宋"/>
          <w:b w:val="0"/>
          <w:color w:val="000000"/>
          <w:sz w:val="28"/>
          <w:szCs w:val="28"/>
          <w:lang w:val="en-US" w:eastAsia="zh-CN"/>
        </w:rPr>
        <w:t xml:space="preserve"> </w:t>
      </w:r>
      <w:r>
        <w:rPr>
          <w:rFonts w:hint="eastAsia" w:ascii="仿宋_GB2312" w:hAnsi="仿宋" w:eastAsia="仿宋_GB2312" w:cs="仿宋"/>
          <w:b w:val="0"/>
          <w:color w:val="000000"/>
          <w:sz w:val="28"/>
          <w:szCs w:val="28"/>
        </w:rPr>
        <w:t>言</w:t>
      </w:r>
      <w:r>
        <w:rPr>
          <w:rFonts w:hint="eastAsia" w:ascii="仿宋_GB2312" w:hAnsi="仿宋" w:eastAsia="仿宋_GB2312" w:cs="仿宋"/>
          <w:b w:val="0"/>
          <w:color w:val="000000"/>
          <w:sz w:val="28"/>
          <w:szCs w:val="28"/>
        </w:rPr>
        <w:fldChar w:fldCharType="end"/>
      </w:r>
      <w:r>
        <w:rPr>
          <w:rFonts w:hint="eastAsia" w:ascii="仿宋_GB2312" w:hAnsi="仿宋" w:eastAsia="仿宋_GB2312" w:cs="仿宋"/>
          <w:b w:val="0"/>
          <w:color w:val="000000"/>
          <w:sz w:val="28"/>
          <w:szCs w:val="28"/>
        </w:rPr>
        <w:fldChar w:fldCharType="begin"/>
      </w:r>
      <w:r>
        <w:rPr>
          <w:rFonts w:hint="eastAsia" w:ascii="仿宋_GB2312" w:hAnsi="仿宋" w:eastAsia="仿宋_GB2312" w:cs="仿宋"/>
          <w:b w:val="0"/>
          <w:color w:val="000000"/>
          <w:sz w:val="28"/>
          <w:szCs w:val="28"/>
        </w:rPr>
        <w:instrText xml:space="preserve">TOC \o "1-3" \h \u </w:instrText>
      </w:r>
      <w:r>
        <w:rPr>
          <w:rFonts w:hint="eastAsia" w:ascii="仿宋_GB2312" w:hAnsi="仿宋" w:eastAsia="仿宋_GB2312" w:cs="仿宋"/>
          <w:b w:val="0"/>
          <w:color w:val="000000"/>
          <w:sz w:val="28"/>
          <w:szCs w:val="28"/>
        </w:rPr>
        <w:fldChar w:fldCharType="separate"/>
      </w:r>
    </w:p>
    <w:p>
      <w:pPr>
        <w:pStyle w:val="11"/>
        <w:keepNext w:val="0"/>
        <w:keepLines w:val="0"/>
        <w:pageBreakBefore w:val="0"/>
        <w:widowControl w:val="0"/>
        <w:tabs>
          <w:tab w:val="right" w:leader="dot" w:pos="8869"/>
          <w:tab w:val="clear" w:pos="8720"/>
        </w:tabs>
        <w:kinsoku/>
        <w:wordWrap/>
        <w:overflowPunct/>
        <w:topLinePunct w:val="0"/>
        <w:autoSpaceDE/>
        <w:autoSpaceDN/>
        <w:bidi w:val="0"/>
        <w:adjustRightInd/>
        <w:snapToGrid/>
        <w:spacing w:before="0" w:beforeAutospacing="0" w:after="0" w:afterAutospacing="0" w:line="500" w:lineRule="exact"/>
        <w:ind w:firstLine="0" w:firstLineChars="0"/>
        <w:jc w:val="left"/>
        <w:textAlignment w:val="auto"/>
        <w:rPr>
          <w:rFonts w:hint="eastAsia" w:ascii="仿宋_GB2312" w:hAnsi="仿宋" w:eastAsia="仿宋_GB2312" w:cs="仿宋"/>
          <w:b w:val="0"/>
          <w:color w:val="000000"/>
          <w:sz w:val="28"/>
          <w:szCs w:val="28"/>
        </w:rPr>
      </w:pPr>
      <w:r>
        <w:rPr>
          <w:rFonts w:hint="eastAsia" w:ascii="仿宋_GB2312" w:hAnsi="仿宋" w:eastAsia="仿宋_GB2312" w:cs="仿宋"/>
          <w:b w:val="0"/>
          <w:color w:val="000000"/>
          <w:sz w:val="28"/>
          <w:szCs w:val="28"/>
        </w:rPr>
        <w:fldChar w:fldCharType="begin"/>
      </w:r>
      <w:r>
        <w:rPr>
          <w:rFonts w:hint="eastAsia" w:ascii="仿宋_GB2312" w:hAnsi="仿宋" w:eastAsia="仿宋_GB2312" w:cs="仿宋"/>
          <w:b w:val="0"/>
          <w:color w:val="000000"/>
          <w:sz w:val="28"/>
          <w:szCs w:val="28"/>
        </w:rPr>
        <w:instrText xml:space="preserve"> HYPERLINK \l _Toc18860 </w:instrText>
      </w:r>
      <w:r>
        <w:rPr>
          <w:rFonts w:hint="eastAsia" w:ascii="仿宋_GB2312" w:hAnsi="仿宋" w:eastAsia="仿宋_GB2312" w:cs="仿宋"/>
          <w:b w:val="0"/>
          <w:color w:val="000000"/>
          <w:sz w:val="28"/>
          <w:szCs w:val="28"/>
        </w:rPr>
        <w:fldChar w:fldCharType="separate"/>
      </w:r>
      <w:r>
        <w:rPr>
          <w:rFonts w:hint="eastAsia" w:ascii="仿宋_GB2312" w:hAnsi="仿宋" w:eastAsia="仿宋_GB2312" w:cs="仿宋"/>
          <w:b w:val="0"/>
          <w:color w:val="000000"/>
          <w:sz w:val="28"/>
          <w:szCs w:val="28"/>
        </w:rPr>
        <w:t>第一章  行政诉讼的原则</w:t>
      </w:r>
      <w:r>
        <w:rPr>
          <w:rFonts w:hint="eastAsia" w:ascii="仿宋_GB2312" w:hAnsi="仿宋" w:eastAsia="仿宋_GB2312" w:cs="仿宋"/>
          <w:b w:val="0"/>
          <w:color w:val="000000"/>
          <w:sz w:val="28"/>
          <w:szCs w:val="28"/>
        </w:rPr>
        <w:fldChar w:fldCharType="end"/>
      </w:r>
    </w:p>
    <w:p>
      <w:pPr>
        <w:pStyle w:val="11"/>
        <w:keepNext w:val="0"/>
        <w:keepLines w:val="0"/>
        <w:pageBreakBefore w:val="0"/>
        <w:widowControl w:val="0"/>
        <w:tabs>
          <w:tab w:val="right" w:leader="dot" w:pos="8869"/>
          <w:tab w:val="clear" w:pos="8720"/>
        </w:tabs>
        <w:kinsoku/>
        <w:wordWrap/>
        <w:overflowPunct/>
        <w:topLinePunct w:val="0"/>
        <w:autoSpaceDE/>
        <w:autoSpaceDN/>
        <w:bidi w:val="0"/>
        <w:adjustRightInd/>
        <w:snapToGrid/>
        <w:spacing w:before="0" w:beforeAutospacing="0" w:after="0" w:afterAutospacing="0" w:line="500" w:lineRule="exact"/>
        <w:ind w:firstLine="0" w:firstLineChars="0"/>
        <w:jc w:val="left"/>
        <w:textAlignment w:val="auto"/>
        <w:rPr>
          <w:rFonts w:hint="eastAsia" w:ascii="仿宋_GB2312" w:hAnsi="仿宋" w:eastAsia="仿宋_GB2312" w:cs="仿宋"/>
          <w:b w:val="0"/>
          <w:color w:val="000000"/>
          <w:sz w:val="28"/>
          <w:szCs w:val="28"/>
        </w:rPr>
      </w:pPr>
      <w:r>
        <w:rPr>
          <w:rFonts w:hint="eastAsia" w:ascii="仿宋_GB2312" w:hAnsi="仿宋" w:eastAsia="仿宋_GB2312" w:cs="仿宋"/>
          <w:b w:val="0"/>
          <w:color w:val="000000"/>
          <w:sz w:val="28"/>
          <w:szCs w:val="28"/>
        </w:rPr>
        <w:fldChar w:fldCharType="begin"/>
      </w:r>
      <w:r>
        <w:rPr>
          <w:rFonts w:hint="eastAsia" w:ascii="仿宋_GB2312" w:hAnsi="仿宋" w:eastAsia="仿宋_GB2312" w:cs="仿宋"/>
          <w:b w:val="0"/>
          <w:color w:val="000000"/>
          <w:sz w:val="28"/>
          <w:szCs w:val="28"/>
        </w:rPr>
        <w:instrText xml:space="preserve"> HYPERLINK \l _Toc13045 </w:instrText>
      </w:r>
      <w:r>
        <w:rPr>
          <w:rFonts w:hint="eastAsia" w:ascii="仿宋_GB2312" w:hAnsi="仿宋" w:eastAsia="仿宋_GB2312" w:cs="仿宋"/>
          <w:b w:val="0"/>
          <w:color w:val="000000"/>
          <w:sz w:val="28"/>
          <w:szCs w:val="28"/>
        </w:rPr>
        <w:fldChar w:fldCharType="separate"/>
      </w:r>
      <w:r>
        <w:rPr>
          <w:rFonts w:hint="eastAsia" w:ascii="仿宋_GB2312" w:hAnsi="仿宋" w:eastAsia="仿宋_GB2312" w:cs="仿宋"/>
          <w:b w:val="0"/>
          <w:color w:val="000000"/>
          <w:sz w:val="28"/>
          <w:szCs w:val="28"/>
        </w:rPr>
        <w:t>第二章  提高获得实体处理的机率</w:t>
      </w:r>
      <w:r>
        <w:rPr>
          <w:rFonts w:hint="eastAsia" w:ascii="仿宋_GB2312" w:hAnsi="仿宋" w:eastAsia="仿宋_GB2312" w:cs="仿宋"/>
          <w:b w:val="0"/>
          <w:color w:val="000000"/>
          <w:sz w:val="28"/>
          <w:szCs w:val="28"/>
        </w:rPr>
        <w:fldChar w:fldCharType="end"/>
      </w:r>
    </w:p>
    <w:p>
      <w:pPr>
        <w:pStyle w:val="11"/>
        <w:keepNext w:val="0"/>
        <w:keepLines w:val="0"/>
        <w:pageBreakBefore w:val="0"/>
        <w:widowControl w:val="0"/>
        <w:tabs>
          <w:tab w:val="right" w:leader="dot" w:pos="8869"/>
          <w:tab w:val="clear" w:pos="8720"/>
        </w:tabs>
        <w:kinsoku/>
        <w:wordWrap/>
        <w:overflowPunct/>
        <w:topLinePunct w:val="0"/>
        <w:autoSpaceDE/>
        <w:autoSpaceDN/>
        <w:bidi w:val="0"/>
        <w:adjustRightInd/>
        <w:snapToGrid/>
        <w:spacing w:before="0" w:beforeAutospacing="0" w:after="0" w:afterAutospacing="0" w:line="500" w:lineRule="exact"/>
        <w:ind w:firstLine="0" w:firstLineChars="0"/>
        <w:jc w:val="left"/>
        <w:textAlignment w:val="auto"/>
        <w:rPr>
          <w:rFonts w:hint="eastAsia" w:ascii="仿宋_GB2312" w:hAnsi="仿宋" w:eastAsia="仿宋_GB2312" w:cs="仿宋"/>
          <w:b w:val="0"/>
          <w:color w:val="000000"/>
          <w:sz w:val="28"/>
          <w:szCs w:val="28"/>
        </w:rPr>
      </w:pPr>
      <w:r>
        <w:rPr>
          <w:rFonts w:hint="eastAsia" w:ascii="仿宋_GB2312" w:hAnsi="仿宋" w:eastAsia="仿宋_GB2312" w:cs="仿宋"/>
          <w:b w:val="0"/>
          <w:color w:val="000000"/>
          <w:sz w:val="28"/>
          <w:szCs w:val="28"/>
        </w:rPr>
        <w:fldChar w:fldCharType="begin"/>
      </w:r>
      <w:r>
        <w:rPr>
          <w:rFonts w:hint="eastAsia" w:ascii="仿宋_GB2312" w:hAnsi="仿宋" w:eastAsia="仿宋_GB2312" w:cs="仿宋"/>
          <w:b w:val="0"/>
          <w:color w:val="000000"/>
          <w:sz w:val="28"/>
          <w:szCs w:val="28"/>
        </w:rPr>
        <w:instrText xml:space="preserve"> HYPERLINK \l _Toc17071 </w:instrText>
      </w:r>
      <w:r>
        <w:rPr>
          <w:rFonts w:hint="eastAsia" w:ascii="仿宋_GB2312" w:hAnsi="仿宋" w:eastAsia="仿宋_GB2312" w:cs="仿宋"/>
          <w:b w:val="0"/>
          <w:color w:val="000000"/>
          <w:sz w:val="28"/>
          <w:szCs w:val="28"/>
        </w:rPr>
        <w:fldChar w:fldCharType="separate"/>
      </w:r>
      <w:r>
        <w:rPr>
          <w:rFonts w:hint="eastAsia" w:ascii="仿宋_GB2312" w:hAnsi="仿宋" w:eastAsia="仿宋_GB2312" w:cs="仿宋"/>
          <w:b w:val="0"/>
          <w:color w:val="000000"/>
          <w:sz w:val="28"/>
          <w:szCs w:val="28"/>
        </w:rPr>
        <w:t>第三章  行政诉讼程序的启动与推进</w:t>
      </w:r>
      <w:r>
        <w:rPr>
          <w:rFonts w:hint="eastAsia" w:ascii="仿宋_GB2312" w:hAnsi="仿宋" w:eastAsia="仿宋_GB2312" w:cs="仿宋"/>
          <w:b w:val="0"/>
          <w:color w:val="000000"/>
          <w:sz w:val="28"/>
          <w:szCs w:val="28"/>
        </w:rPr>
        <w:fldChar w:fldCharType="end"/>
      </w:r>
    </w:p>
    <w:p>
      <w:pPr>
        <w:pStyle w:val="11"/>
        <w:keepNext w:val="0"/>
        <w:keepLines w:val="0"/>
        <w:pageBreakBefore w:val="0"/>
        <w:widowControl w:val="0"/>
        <w:tabs>
          <w:tab w:val="right" w:leader="dot" w:pos="8869"/>
          <w:tab w:val="clear" w:pos="8720"/>
        </w:tabs>
        <w:kinsoku/>
        <w:wordWrap/>
        <w:overflowPunct/>
        <w:topLinePunct w:val="0"/>
        <w:autoSpaceDE/>
        <w:autoSpaceDN/>
        <w:bidi w:val="0"/>
        <w:adjustRightInd/>
        <w:snapToGrid/>
        <w:spacing w:before="0" w:beforeAutospacing="0" w:after="0" w:afterAutospacing="0" w:line="500" w:lineRule="exact"/>
        <w:ind w:firstLine="0" w:firstLineChars="0"/>
        <w:jc w:val="left"/>
        <w:textAlignment w:val="auto"/>
        <w:rPr>
          <w:rFonts w:hint="eastAsia" w:ascii="仿宋_GB2312" w:hAnsi="仿宋" w:eastAsia="仿宋_GB2312" w:cs="仿宋"/>
          <w:b w:val="0"/>
          <w:color w:val="000000"/>
          <w:sz w:val="28"/>
          <w:szCs w:val="28"/>
        </w:rPr>
      </w:pPr>
      <w:r>
        <w:rPr>
          <w:rFonts w:hint="eastAsia" w:ascii="仿宋_GB2312" w:hAnsi="仿宋" w:eastAsia="仿宋_GB2312" w:cs="仿宋"/>
          <w:b w:val="0"/>
          <w:color w:val="000000"/>
          <w:sz w:val="28"/>
          <w:szCs w:val="28"/>
        </w:rPr>
        <w:fldChar w:fldCharType="begin"/>
      </w:r>
      <w:r>
        <w:rPr>
          <w:rFonts w:hint="eastAsia" w:ascii="仿宋_GB2312" w:hAnsi="仿宋" w:eastAsia="仿宋_GB2312" w:cs="仿宋"/>
          <w:b w:val="0"/>
          <w:color w:val="000000"/>
          <w:sz w:val="28"/>
          <w:szCs w:val="28"/>
        </w:rPr>
        <w:instrText xml:space="preserve"> HYPERLINK \l _Toc14593 </w:instrText>
      </w:r>
      <w:r>
        <w:rPr>
          <w:rFonts w:hint="eastAsia" w:ascii="仿宋_GB2312" w:hAnsi="仿宋" w:eastAsia="仿宋_GB2312" w:cs="仿宋"/>
          <w:b w:val="0"/>
          <w:color w:val="000000"/>
          <w:sz w:val="28"/>
          <w:szCs w:val="28"/>
        </w:rPr>
        <w:fldChar w:fldCharType="separate"/>
      </w:r>
      <w:r>
        <w:rPr>
          <w:rFonts w:hint="eastAsia" w:ascii="仿宋_GB2312" w:hAnsi="仿宋" w:eastAsia="仿宋_GB2312" w:cs="仿宋"/>
          <w:b w:val="0"/>
          <w:color w:val="000000"/>
          <w:sz w:val="28"/>
          <w:szCs w:val="28"/>
        </w:rPr>
        <w:t>第四章  证据的收集、提供与审查</w:t>
      </w:r>
      <w:r>
        <w:rPr>
          <w:rFonts w:hint="eastAsia" w:ascii="仿宋_GB2312" w:hAnsi="仿宋" w:eastAsia="仿宋_GB2312" w:cs="仿宋"/>
          <w:b w:val="0"/>
          <w:color w:val="000000"/>
          <w:sz w:val="28"/>
          <w:szCs w:val="28"/>
        </w:rPr>
        <w:fldChar w:fldCharType="end"/>
      </w:r>
    </w:p>
    <w:p>
      <w:pPr>
        <w:pStyle w:val="11"/>
        <w:keepNext w:val="0"/>
        <w:keepLines w:val="0"/>
        <w:pageBreakBefore w:val="0"/>
        <w:widowControl w:val="0"/>
        <w:tabs>
          <w:tab w:val="right" w:leader="dot" w:pos="8869"/>
          <w:tab w:val="clear" w:pos="8720"/>
        </w:tabs>
        <w:kinsoku/>
        <w:wordWrap/>
        <w:overflowPunct/>
        <w:topLinePunct w:val="0"/>
        <w:autoSpaceDE/>
        <w:autoSpaceDN/>
        <w:bidi w:val="0"/>
        <w:adjustRightInd/>
        <w:snapToGrid/>
        <w:spacing w:before="0" w:beforeAutospacing="0" w:after="0" w:afterAutospacing="0" w:line="500" w:lineRule="exact"/>
        <w:ind w:firstLine="0" w:firstLineChars="0"/>
        <w:jc w:val="left"/>
        <w:textAlignment w:val="auto"/>
        <w:rPr>
          <w:rFonts w:hint="eastAsia" w:ascii="仿宋_GB2312" w:hAnsi="仿宋" w:eastAsia="仿宋_GB2312" w:cs="仿宋"/>
          <w:b w:val="0"/>
          <w:color w:val="000000"/>
          <w:sz w:val="28"/>
          <w:szCs w:val="28"/>
        </w:rPr>
      </w:pPr>
      <w:r>
        <w:rPr>
          <w:rFonts w:hint="eastAsia" w:ascii="仿宋_GB2312" w:hAnsi="仿宋" w:eastAsia="仿宋_GB2312" w:cs="仿宋"/>
          <w:b w:val="0"/>
          <w:color w:val="000000"/>
          <w:sz w:val="28"/>
          <w:szCs w:val="28"/>
        </w:rPr>
        <w:fldChar w:fldCharType="begin"/>
      </w:r>
      <w:r>
        <w:rPr>
          <w:rFonts w:hint="eastAsia" w:ascii="仿宋_GB2312" w:hAnsi="仿宋" w:eastAsia="仿宋_GB2312" w:cs="仿宋"/>
          <w:b w:val="0"/>
          <w:color w:val="000000"/>
          <w:sz w:val="28"/>
          <w:szCs w:val="28"/>
        </w:rPr>
        <w:instrText xml:space="preserve"> HYPERLINK \l _Toc22434 </w:instrText>
      </w:r>
      <w:r>
        <w:rPr>
          <w:rFonts w:hint="eastAsia" w:ascii="仿宋_GB2312" w:hAnsi="仿宋" w:eastAsia="仿宋_GB2312" w:cs="仿宋"/>
          <w:b w:val="0"/>
          <w:color w:val="000000"/>
          <w:sz w:val="28"/>
          <w:szCs w:val="28"/>
        </w:rPr>
        <w:fldChar w:fldCharType="separate"/>
      </w:r>
      <w:r>
        <w:rPr>
          <w:rFonts w:hint="eastAsia" w:ascii="仿宋_GB2312" w:hAnsi="仿宋" w:eastAsia="仿宋_GB2312" w:cs="仿宋"/>
          <w:b w:val="0"/>
          <w:color w:val="000000"/>
          <w:sz w:val="28"/>
          <w:szCs w:val="28"/>
        </w:rPr>
        <w:t>第五章  法律的适用</w:t>
      </w:r>
      <w:r>
        <w:rPr>
          <w:rFonts w:hint="eastAsia" w:ascii="仿宋_GB2312" w:hAnsi="仿宋" w:eastAsia="仿宋_GB2312" w:cs="仿宋"/>
          <w:b w:val="0"/>
          <w:color w:val="000000"/>
          <w:sz w:val="28"/>
          <w:szCs w:val="28"/>
        </w:rPr>
        <w:fldChar w:fldCharType="end"/>
      </w:r>
    </w:p>
    <w:p>
      <w:pPr>
        <w:pStyle w:val="11"/>
        <w:keepNext w:val="0"/>
        <w:keepLines w:val="0"/>
        <w:pageBreakBefore w:val="0"/>
        <w:widowControl w:val="0"/>
        <w:tabs>
          <w:tab w:val="right" w:leader="dot" w:pos="8869"/>
          <w:tab w:val="clear" w:pos="8720"/>
        </w:tabs>
        <w:kinsoku/>
        <w:wordWrap/>
        <w:overflowPunct/>
        <w:topLinePunct w:val="0"/>
        <w:autoSpaceDE/>
        <w:autoSpaceDN/>
        <w:bidi w:val="0"/>
        <w:adjustRightInd/>
        <w:snapToGrid/>
        <w:spacing w:before="0" w:beforeAutospacing="0" w:after="0" w:afterAutospacing="0" w:line="500" w:lineRule="exact"/>
        <w:ind w:firstLine="0" w:firstLineChars="0"/>
        <w:jc w:val="left"/>
        <w:textAlignment w:val="auto"/>
        <w:rPr>
          <w:rFonts w:hint="eastAsia" w:ascii="仿宋_GB2312" w:hAnsi="仿宋" w:eastAsia="仿宋_GB2312" w:cs="仿宋"/>
          <w:b w:val="0"/>
          <w:color w:val="000000"/>
          <w:sz w:val="28"/>
          <w:szCs w:val="28"/>
        </w:rPr>
      </w:pPr>
      <w:r>
        <w:rPr>
          <w:rFonts w:hint="eastAsia" w:ascii="仿宋_GB2312" w:hAnsi="仿宋" w:eastAsia="仿宋_GB2312" w:cs="仿宋"/>
          <w:b w:val="0"/>
          <w:color w:val="000000"/>
          <w:sz w:val="28"/>
          <w:szCs w:val="28"/>
        </w:rPr>
        <w:fldChar w:fldCharType="begin"/>
      </w:r>
      <w:r>
        <w:rPr>
          <w:rFonts w:hint="eastAsia" w:ascii="仿宋_GB2312" w:hAnsi="仿宋" w:eastAsia="仿宋_GB2312" w:cs="仿宋"/>
          <w:b w:val="0"/>
          <w:color w:val="000000"/>
          <w:sz w:val="28"/>
          <w:szCs w:val="28"/>
        </w:rPr>
        <w:instrText xml:space="preserve"> HYPERLINK \l _Toc2696 </w:instrText>
      </w:r>
      <w:r>
        <w:rPr>
          <w:rFonts w:hint="eastAsia" w:ascii="仿宋_GB2312" w:hAnsi="仿宋" w:eastAsia="仿宋_GB2312" w:cs="仿宋"/>
          <w:b w:val="0"/>
          <w:color w:val="000000"/>
          <w:sz w:val="28"/>
          <w:szCs w:val="28"/>
        </w:rPr>
        <w:fldChar w:fldCharType="separate"/>
      </w:r>
      <w:r>
        <w:rPr>
          <w:rFonts w:hint="eastAsia" w:ascii="仿宋_GB2312" w:hAnsi="仿宋" w:eastAsia="仿宋_GB2312" w:cs="仿宋"/>
          <w:b w:val="0"/>
          <w:color w:val="000000"/>
          <w:sz w:val="28"/>
          <w:szCs w:val="28"/>
        </w:rPr>
        <w:t>第六章  被诉行政行为法律依据的审查</w:t>
      </w:r>
      <w:r>
        <w:rPr>
          <w:rFonts w:hint="eastAsia" w:ascii="仿宋_GB2312" w:hAnsi="仿宋" w:eastAsia="仿宋_GB2312" w:cs="仿宋"/>
          <w:b w:val="0"/>
          <w:color w:val="000000"/>
          <w:sz w:val="28"/>
          <w:szCs w:val="28"/>
        </w:rPr>
        <w:fldChar w:fldCharType="end"/>
      </w:r>
    </w:p>
    <w:p>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0" w:firstLineChars="0"/>
        <w:jc w:val="left"/>
        <w:textAlignment w:val="auto"/>
        <w:outlineLvl w:val="9"/>
        <w:rPr>
          <w:rFonts w:ascii="仿宋_GB2312" w:hAnsi="仿宋" w:eastAsia="仿宋_GB2312" w:cs="仿宋"/>
          <w:b w:val="0"/>
          <w:bCs/>
          <w:color w:val="000000"/>
          <w:sz w:val="28"/>
          <w:szCs w:val="28"/>
        </w:rPr>
      </w:pPr>
      <w:r>
        <w:rPr>
          <w:rFonts w:hint="eastAsia" w:ascii="仿宋_GB2312" w:hAnsi="仿宋" w:eastAsia="仿宋_GB2312" w:cs="仿宋"/>
          <w:b w:val="0"/>
          <w:bCs/>
          <w:color w:val="000000"/>
          <w:sz w:val="28"/>
          <w:szCs w:val="28"/>
        </w:rPr>
        <w:fldChar w:fldCharType="end"/>
      </w:r>
    </w:p>
    <w:p>
      <w:pPr>
        <w:pStyle w:val="2"/>
        <w:keepNext w:val="0"/>
        <w:keepLines w:val="0"/>
        <w:pageBreakBefore w:val="0"/>
        <w:widowControl w:val="0"/>
        <w:wordWrap/>
        <w:bidi w:val="0"/>
        <w:spacing w:before="0" w:after="0" w:line="500" w:lineRule="exact"/>
        <w:ind w:firstLine="522" w:firstLineChars="200"/>
        <w:jc w:val="center"/>
        <w:rPr>
          <w:rFonts w:hint="eastAsia" w:ascii="方正小标宋简体" w:hAnsi="仿宋" w:eastAsia="方正小标宋简体" w:cs="仿宋"/>
          <w:bCs/>
          <w:color w:val="000000"/>
          <w:kern w:val="44"/>
          <w:sz w:val="40"/>
          <w:szCs w:val="40"/>
        </w:rPr>
      </w:pPr>
      <w:r>
        <w:rPr>
          <w:rFonts w:ascii="仿宋_GB2312" w:hAnsi="仿宋" w:eastAsia="仿宋_GB2312" w:cs="仿宋"/>
          <w:b w:val="0"/>
          <w:bCs/>
          <w:color w:val="000000"/>
          <w:sz w:val="28"/>
          <w:szCs w:val="28"/>
        </w:rPr>
        <w:br w:type="page"/>
      </w:r>
      <w:bookmarkStart w:id="57" w:name="_Toc30119"/>
      <w:r>
        <w:rPr>
          <w:rFonts w:hint="eastAsia" w:ascii="仿宋" w:hAnsi="仿宋" w:eastAsia="仿宋" w:cs="仿宋"/>
          <w:b/>
          <w:color w:val="000000"/>
          <w:sz w:val="28"/>
          <w:szCs w:val="28"/>
        </w:rPr>
        <mc:AlternateContent>
          <mc:Choice Requires="wps">
            <w:drawing>
              <wp:anchor distT="0" distB="0" distL="114300" distR="114300" simplePos="0" relativeHeight="251706368" behindDoc="0" locked="0" layoutInCell="1" allowOverlap="1">
                <wp:simplePos x="0" y="0"/>
                <wp:positionH relativeFrom="column">
                  <wp:posOffset>-101600</wp:posOffset>
                </wp:positionH>
                <wp:positionV relativeFrom="paragraph">
                  <wp:posOffset>8316595</wp:posOffset>
                </wp:positionV>
                <wp:extent cx="889000" cy="434340"/>
                <wp:effectExtent l="4445" t="5080" r="20955" b="17780"/>
                <wp:wrapNone/>
                <wp:docPr id="2" name="文本框 2"/>
                <wp:cNvGraphicFramePr/>
                <a:graphic xmlns:a="http://schemas.openxmlformats.org/drawingml/2006/main">
                  <a:graphicData uri="http://schemas.microsoft.com/office/word/2010/wordprocessingShape">
                    <wps:wsp>
                      <wps:cNvSpPr txBox="1"/>
                      <wps:spPr>
                        <a:xfrm>
                          <a:off x="0" y="0"/>
                          <a:ext cx="889000" cy="434340"/>
                        </a:xfrm>
                        <a:prstGeom prst="rect">
                          <a:avLst/>
                        </a:prstGeom>
                        <a:solidFill>
                          <a:srgbClr val="FFFFFF"/>
                        </a:solidFill>
                        <a:ln w="9525" cap="flat" cmpd="sng">
                          <a:solidFill>
                            <a:srgbClr val="FFFFFF"/>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202" type="#_x0000_t202" style="position:absolute;left:0pt;margin-left:-8pt;margin-top:654.85pt;height:34.2pt;width:70pt;z-index:251706368;mso-width-relative:page;mso-height-relative:page;" fillcolor="#FFFFFF" filled="t" stroked="t" coordsize="21600,21600" o:gfxdata="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RmG8NkAAAANAQAADwAAAAAAAAABACAAAAAiAAAA&#10;ZHJzL2Rvd25yZXYueG1sUEsBAhQAFAAAAAgAh07iQNnhD7oGAgAANQQAAA4AAAAAAAAAAQAgAAAA&#10;KAEAAGRycy9lMm9Eb2MueG1sUEsFBgAAAAAGAAYAWQEAAKAFAAAAAA==&#10;">
                <v:fill on="t" focussize="0,0"/>
                <v:stroke color="#FFFFFF" joinstyle="miter"/>
                <v:imagedata o:title=""/>
                <o:lock v:ext="edit" aspectratio="f"/>
                <v:textbox>
                  <w:txbxContent>
                    <w:p/>
                  </w:txbxContent>
                </v:textbox>
              </v:shape>
            </w:pict>
          </mc:Fallback>
        </mc:AlternateContent>
      </w:r>
      <w:r>
        <w:rPr>
          <w:rFonts w:hint="eastAsia" w:ascii="方正小标宋简体" w:hAnsi="仿宋" w:eastAsia="方正小标宋简体" w:cs="仿宋"/>
          <w:bCs/>
          <w:color w:val="000000"/>
          <w:kern w:val="44"/>
          <w:sz w:val="40"/>
          <w:szCs w:val="40"/>
        </w:rPr>
        <w:t>前    言</w:t>
      </w:r>
      <w:bookmarkEnd w:id="57"/>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代理行政诉讼，维护当事人的合法权益，维护法律的正确实施，维护社会公平正义，达到代理的目的，履行《律师法》赋予律师“三个维护”的神圣职责，归根结底要解决口大关键问题。一是如何让代理的行政案件获得实体处理；二是如何启动和推进程序；三是如何收集提供和审查证据；四是如何适用法律。</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要解决上述四大关键问题，既要借鉴法院检索类案的做法，又要遵循行政诉讼的特殊规律。</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黑体" w:hAnsi="黑体" w:eastAsia="黑体" w:cs="仿宋"/>
          <w:color w:val="000000"/>
          <w:sz w:val="28"/>
          <w:szCs w:val="28"/>
        </w:rPr>
        <w:t>一、检索类案。</w:t>
      </w:r>
      <w:r>
        <w:rPr>
          <w:rFonts w:hint="eastAsia" w:ascii="仿宋_GB2312" w:hAnsi="仿宋" w:eastAsia="仿宋_GB2312" w:cs="仿宋"/>
          <w:color w:val="000000"/>
          <w:sz w:val="28"/>
          <w:szCs w:val="28"/>
        </w:rPr>
        <w:t>代理律师在了解基本案情后，要把握此类案件的主要法律依据、审判机关对相关法条的理解、对此类案件通常的处理办法，要考虑好诉讼请求的设计，建议检索类案。检索类案一般的顺序是最高人民法院指导案例、《最高人民法院公报》案例、《人民法院案例选》案例以及《中国法院裁判文书网》案例。</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黑体" w:hAnsi="黑体" w:eastAsia="黑体" w:cs="仿宋"/>
          <w:color w:val="000000"/>
          <w:sz w:val="28"/>
          <w:szCs w:val="28"/>
        </w:rPr>
        <w:t>二、遵循规律。</w:t>
      </w:r>
      <w:r>
        <w:rPr>
          <w:rFonts w:hint="eastAsia" w:ascii="仿宋_GB2312" w:hAnsi="仿宋" w:eastAsia="仿宋_GB2312" w:cs="仿宋"/>
          <w:color w:val="000000"/>
          <w:sz w:val="28"/>
          <w:szCs w:val="28"/>
        </w:rPr>
        <w:t>相对于民事诉讼和刑事诉讼，行政诉讼表现出其独有的然而在其领域中又具有普遍规律性的东西。例如，行政诉讼的原则、提高获得实体处理的概率、启动推进行政诉讼程序、收集提供审查证据、法律的适用以及被诉行政行为法律依据的审查等等。</w:t>
      </w:r>
    </w:p>
    <w:p>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jc w:val="center"/>
        <w:textAlignment w:val="auto"/>
        <w:rPr>
          <w:rFonts w:hint="eastAsia" w:ascii="黑体" w:hAnsi="黑体" w:eastAsia="黑体" w:cs="仿宋"/>
          <w:b w:val="0"/>
          <w:bCs/>
          <w:color w:val="000000"/>
          <w:sz w:val="36"/>
          <w:szCs w:val="36"/>
        </w:rPr>
      </w:pPr>
      <w:r>
        <w:rPr>
          <w:rFonts w:ascii="仿宋" w:hAnsi="仿宋" w:eastAsia="仿宋" w:cs="仿宋"/>
          <w:b w:val="0"/>
          <w:bCs/>
          <w:color w:val="000000"/>
          <w:sz w:val="28"/>
          <w:szCs w:val="28"/>
        </w:rPr>
        <w:br w:type="page"/>
      </w:r>
      <w:bookmarkStart w:id="58" w:name="_Toc24761"/>
      <w:r>
        <w:rPr>
          <w:rFonts w:hint="eastAsia" w:ascii="黑体" w:hAnsi="黑体" w:eastAsia="黑体" w:cs="仿宋"/>
          <w:b w:val="0"/>
          <w:bCs/>
          <w:color w:val="000000"/>
          <w:sz w:val="28"/>
          <w:szCs w:val="28"/>
        </w:rPr>
        <mc:AlternateContent>
          <mc:Choice Requires="wps">
            <w:drawing>
              <wp:anchor distT="0" distB="0" distL="114300" distR="114300" simplePos="0" relativeHeight="251707392" behindDoc="0" locked="0" layoutInCell="1" allowOverlap="1">
                <wp:simplePos x="0" y="0"/>
                <wp:positionH relativeFrom="column">
                  <wp:posOffset>-63500</wp:posOffset>
                </wp:positionH>
                <wp:positionV relativeFrom="paragraph">
                  <wp:posOffset>8403590</wp:posOffset>
                </wp:positionV>
                <wp:extent cx="825500" cy="434340"/>
                <wp:effectExtent l="4445" t="5080" r="8255" b="17780"/>
                <wp:wrapNone/>
                <wp:docPr id="5" name="文本框 5"/>
                <wp:cNvGraphicFramePr/>
                <a:graphic xmlns:a="http://schemas.openxmlformats.org/drawingml/2006/main">
                  <a:graphicData uri="http://schemas.microsoft.com/office/word/2010/wordprocessingShape">
                    <wps:wsp>
                      <wps:cNvSpPr txBox="1"/>
                      <wps:spPr>
                        <a:xfrm>
                          <a:off x="0" y="0"/>
                          <a:ext cx="825500" cy="434340"/>
                        </a:xfrm>
                        <a:prstGeom prst="rect">
                          <a:avLst/>
                        </a:prstGeom>
                        <a:solidFill>
                          <a:srgbClr val="FFFFFF"/>
                        </a:solidFill>
                        <a:ln w="9525" cap="flat" cmpd="sng">
                          <a:solidFill>
                            <a:srgbClr val="FFFFFF"/>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202" type="#_x0000_t202" style="position:absolute;left:0pt;margin-left:-5pt;margin-top:661.7pt;height:34.2pt;width:65pt;z-index:251707392;mso-width-relative:page;mso-height-relative:page;" fillcolor="#FFFFFF" filled="t" stroked="t" coordsize="21600,21600" o:gfxdata="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XeLdkAAAANAQAADwAAAAAAAAABACAAAAAiAAAA&#10;ZHJzL2Rvd25yZXYueG1sUEsBAhQAFAAAAAgAh07iQG7axNEGAgAANQQAAA4AAAAAAAAAAQAgAAAA&#10;KAEAAGRycy9lMm9Eb2MueG1sUEsFBgAAAAAGAAYAWQEAAKAFAAAAAA==&#10;">
                <v:fill on="t" focussize="0,0"/>
                <v:stroke color="#FFFFFF" joinstyle="miter"/>
                <v:imagedata o:title=""/>
                <o:lock v:ext="edit" aspectratio="f"/>
                <v:textbox>
                  <w:txbxContent>
                    <w:p/>
                  </w:txbxContent>
                </v:textbox>
              </v:shape>
            </w:pict>
          </mc:Fallback>
        </mc:AlternateContent>
      </w:r>
      <w:r>
        <w:rPr>
          <w:rFonts w:hint="eastAsia" w:ascii="黑体" w:hAnsi="黑体" w:eastAsia="黑体" w:cs="仿宋"/>
          <w:b w:val="0"/>
          <w:bCs/>
          <w:color w:val="000000"/>
          <w:sz w:val="28"/>
          <w:szCs w:val="28"/>
        </w:rPr>
        <w:t>第一章  行政诉讼的原则</w:t>
      </w:r>
      <w:bookmarkEnd w:id="58"/>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行政诉讼的原则包括合法性审查原则、诉权保障原则以及诚实信用等其他原则。</w:t>
      </w:r>
    </w:p>
    <w:p>
      <w:pPr>
        <w:pStyle w:val="3"/>
        <w:keepNext w:val="0"/>
        <w:keepLines w:val="0"/>
        <w:pageBreakBefore w:val="0"/>
        <w:widowControl w:val="0"/>
        <w:wordWrap/>
        <w:bidi w:val="0"/>
        <w:adjustRightInd/>
        <w:snapToGrid/>
        <w:spacing w:before="0" w:after="0" w:line="500" w:lineRule="exact"/>
        <w:ind w:firstLine="522" w:firstLineChars="200"/>
        <w:jc w:val="both"/>
        <w:rPr>
          <w:rFonts w:hint="eastAsia" w:ascii="楷体" w:hAnsi="楷体" w:eastAsia="楷体" w:cs="仿宋"/>
          <w:bCs w:val="0"/>
          <w:color w:val="000000"/>
          <w:sz w:val="28"/>
          <w:szCs w:val="28"/>
        </w:rPr>
      </w:pPr>
      <w:r>
        <w:rPr>
          <w:rFonts w:hint="eastAsia" w:ascii="楷体" w:hAnsi="楷体" w:eastAsia="楷体" w:cs="仿宋"/>
          <w:bCs w:val="0"/>
          <w:color w:val="000000"/>
          <w:sz w:val="28"/>
          <w:szCs w:val="28"/>
        </w:rPr>
        <w:t>第一节  合法性审查原则</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合法性审查原则是《行政诉讼法》最具特色的基本原则。行政诉讼的所有程序和基本制度就是围绕这个核心原则建立起来的。几乎所有的法治国家都确立了类似对行政行为进行合法性审查的原则。</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人民法院在行政诉讼中的直接审查对象是被诉行政行为。人民法院着重审查被诉行为的合法性。法院对合理性问题原则上不予审查，在例外的情况下可以进行审查，而不是以合法性审查为唯一目的。</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我国越来越多的法律，除了规定合法原则。还将比例原则或者合理性原则作为行政行为的法定标准。一些法律责任确立了比例原则和合理性原则，例如《行政强制法》第5条规定，行政强制的设定和实施应当适当。采用非强制手段可以达到行政管理的目的的，不得设定和实施行政强制。该法第16条规定了行政机关依法实施行政强制措施的轻处原则及行政机关履行行政管理职责，依照法律法规的规定实施行政强制措施。违法行为情节显著轻微或者没有明显社会危害的，可以不采取行政强制措施。行政机关不能为了达到执法目的而不择手段，这是现代行政的内在要求，也是我国法治政府建设的重要要求。例如，《国务院全面推进依法行政实施纲要的通知》除了规定合法行政的要求之外，还规定了合理行政的要求。</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对合法性审查不仅包括审理阶段，更主要的是贯穿于行政诉讼的全过程。</w:t>
      </w:r>
    </w:p>
    <w:p>
      <w:pPr>
        <w:pStyle w:val="3"/>
        <w:keepNext w:val="0"/>
        <w:keepLines w:val="0"/>
        <w:pageBreakBefore w:val="0"/>
        <w:widowControl w:val="0"/>
        <w:wordWrap/>
        <w:bidi w:val="0"/>
        <w:adjustRightInd/>
        <w:snapToGrid/>
        <w:spacing w:before="0" w:after="0" w:line="500" w:lineRule="exact"/>
        <w:ind w:firstLine="522" w:firstLineChars="200"/>
        <w:jc w:val="both"/>
        <w:rPr>
          <w:rFonts w:hint="eastAsia" w:ascii="楷体" w:hAnsi="楷体" w:eastAsia="楷体" w:cs="仿宋"/>
          <w:bCs w:val="0"/>
          <w:color w:val="000000"/>
          <w:sz w:val="28"/>
          <w:szCs w:val="28"/>
        </w:rPr>
      </w:pPr>
      <w:r>
        <w:rPr>
          <w:rFonts w:hint="eastAsia" w:ascii="楷体" w:hAnsi="楷体" w:eastAsia="楷体" w:cs="仿宋"/>
          <w:bCs w:val="0"/>
          <w:color w:val="000000"/>
          <w:sz w:val="28"/>
          <w:szCs w:val="28"/>
        </w:rPr>
        <w:t>第二节  诉权保障原则</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黑体" w:eastAsia="仿宋_GB2312" w:cs="仿宋"/>
          <w:bCs w:val="0"/>
          <w:color w:val="000000"/>
          <w:sz w:val="28"/>
          <w:szCs w:val="28"/>
        </w:rPr>
      </w:pPr>
      <w:r>
        <w:rPr>
          <w:rFonts w:hint="eastAsia" w:ascii="仿宋_GB2312" w:hAnsi="黑体" w:eastAsia="仿宋_GB2312" w:cs="仿宋"/>
          <w:bCs w:val="0"/>
          <w:color w:val="000000"/>
          <w:sz w:val="28"/>
          <w:szCs w:val="28"/>
        </w:rPr>
        <w:t>一、人民法院独立审判原则</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法院系统外部独立是审判独立的第一要义。独立审判的主体是人民法院，即审判独立是指人民法院独立行使审判权，而不是法官或者法院内部审判组织的独立。法院系统内部独立是审判独立的第二要义。按照《宪法》和《人民法院组织法》的职权划分，上下级法院之间的关系是监督关系而非领导关系。各级法院对于最高人民法院的司法解释、决定以及上级法院决定应当执行，但是就具体案件的审判而言，各人民法院行政审判权又是独立的，各自对自己所做的审判结论负责。</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黑体" w:eastAsia="仿宋_GB2312" w:cs="仿宋"/>
          <w:bCs w:val="0"/>
          <w:color w:val="000000"/>
          <w:sz w:val="28"/>
          <w:szCs w:val="28"/>
        </w:rPr>
      </w:pPr>
      <w:r>
        <w:rPr>
          <w:rFonts w:hint="eastAsia" w:ascii="仿宋_GB2312" w:hAnsi="黑体" w:eastAsia="仿宋_GB2312" w:cs="仿宋"/>
          <w:bCs w:val="0"/>
          <w:color w:val="000000"/>
          <w:sz w:val="28"/>
          <w:szCs w:val="28"/>
        </w:rPr>
        <w:t>二、起诉权保障原则</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（一）人民法院应当保障公民、法人和其他组织的起诉权利</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1.延长了一般情况下的起诉期限</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2.明确规定，特殊情况下可以扣除起诉期限</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3.可以口头起诉，以方便当事人行使诉权</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4.法院应当履行指导和释明义务</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5.当事人有投诉权</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（二）应当受理的行政案件依法受理</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1.强化受理程序约束</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2.裁定不予立案说明理由</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3.飞跃起诉</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4.适度扩大行政诉讼受案范围</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5.明确对规范性文件可以附带进行审查</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黑体" w:eastAsia="仿宋_GB2312" w:cs="仿宋"/>
          <w:bCs w:val="0"/>
          <w:color w:val="000000"/>
          <w:sz w:val="28"/>
          <w:szCs w:val="28"/>
        </w:rPr>
      </w:pPr>
      <w:r>
        <w:rPr>
          <w:rFonts w:hint="eastAsia" w:ascii="仿宋_GB2312" w:hAnsi="黑体" w:eastAsia="仿宋_GB2312" w:cs="仿宋"/>
          <w:bCs w:val="0"/>
          <w:color w:val="000000"/>
          <w:sz w:val="28"/>
          <w:szCs w:val="28"/>
        </w:rPr>
        <w:t>三、禁止干预、阻碍受理原则</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行政机关及其工作人员不得干预、阻碍人民法院受理行政案件。</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黑体" w:hAnsi="黑体" w:eastAsia="黑体" w:cs="仿宋"/>
          <w:b w:val="0"/>
          <w:color w:val="000000"/>
          <w:sz w:val="28"/>
          <w:szCs w:val="28"/>
        </w:rPr>
      </w:pPr>
      <w:r>
        <w:rPr>
          <w:rFonts w:hint="eastAsia" w:ascii="仿宋_GB2312" w:hAnsi="黑体" w:eastAsia="仿宋_GB2312" w:cs="仿宋"/>
          <w:bCs w:val="0"/>
          <w:color w:val="000000"/>
          <w:sz w:val="28"/>
          <w:szCs w:val="28"/>
        </w:rPr>
        <w:t>四、行政机关负责人出庭应诉原则</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（一）原则规定</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国务院《关于加强和改进行政应诉工作的意见》以及《最高人民法院关于行政诉讼应诉若干问题的通知》明确，对外及重大公共利益、社会高度关注或者可能引发群体性的案件以及人民法院书面建议行政机关负责人出庭的案件，被诉行政机关负责人应当出庭。</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（二）具体范围</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1.涉及人民群众生产生活和社会稳定的群体性行政诉讼、共同诉讼、集团诉讼案件</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2.社会影响重大、复杂的行政诉讼案件</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3.年内反复发生的同类案件</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4.涉案标的金额巨大的行政诉讼案件</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5.涉及致使公民死亡或者全部丧失劳动能力而引发的行政赔偿案件</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6.因撤销行政许可、责令停产停业或者致使公民丧失主要生活来源而引发的案件</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7.农村集体土地或者国有土地上房屋征收补偿案件</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8.对本单位行政执法活动将产生影响的行政诉讼案件</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9.一审行政机关败诉，二审开庭审理的案件</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10.上级机关要求行政机关负责人出庭的案件</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11.行政机关负责人认为需要出庭的诉讼案件</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此外，还有法律平等原则、直接言词原则、辩论原则以及原告可以处分权利原则。</w:t>
      </w:r>
    </w:p>
    <w:p>
      <w:pPr>
        <w:pStyle w:val="3"/>
        <w:keepNext w:val="0"/>
        <w:keepLines w:val="0"/>
        <w:pageBreakBefore w:val="0"/>
        <w:widowControl w:val="0"/>
        <w:wordWrap/>
        <w:bidi w:val="0"/>
        <w:adjustRightInd/>
        <w:snapToGrid/>
        <w:spacing w:before="0" w:after="0" w:line="500" w:lineRule="exact"/>
        <w:ind w:firstLine="522" w:firstLineChars="200"/>
        <w:jc w:val="both"/>
        <w:rPr>
          <w:rFonts w:hint="eastAsia" w:ascii="楷体" w:hAnsi="楷体" w:eastAsia="楷体" w:cs="仿宋"/>
          <w:bCs w:val="0"/>
          <w:color w:val="000000"/>
          <w:sz w:val="28"/>
          <w:szCs w:val="28"/>
        </w:rPr>
      </w:pPr>
      <w:r>
        <w:rPr>
          <w:rFonts w:hint="eastAsia" w:ascii="楷体" w:hAnsi="楷体" w:eastAsia="楷体" w:cs="仿宋"/>
          <w:bCs w:val="0"/>
          <w:color w:val="000000"/>
          <w:sz w:val="28"/>
          <w:szCs w:val="28"/>
        </w:rPr>
        <w:t>第三节  诚实信用等其它原则</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黑体" w:eastAsia="仿宋_GB2312" w:cs="仿宋"/>
          <w:color w:val="000000"/>
          <w:sz w:val="28"/>
          <w:szCs w:val="28"/>
        </w:rPr>
      </w:pPr>
      <w:r>
        <w:rPr>
          <w:rFonts w:hint="eastAsia" w:ascii="仿宋_GB2312" w:hAnsi="黑体" w:eastAsia="仿宋_GB2312" w:cs="仿宋"/>
          <w:color w:val="000000"/>
          <w:sz w:val="28"/>
          <w:szCs w:val="28"/>
        </w:rPr>
        <w:t>一、诚实信用原则</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2018年，中共中央印发《社会主义核心价值观融入法治建设立法修法规划》。2021年中央宣传部、中央政法委、全国人大常委会办公厅、司法部印发《关于建立社会主义核心价值观入法入规协调机制的意见（试行）》。同年，最高人民法院印发《关于深入推进社会主义核心价值观融入裁判文书释法说理的指导意见》，大力弘扬社会主义核心价值观，诚实信用原则是公民个人层面的价值准则。</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b/>
          <w:bCs/>
          <w:color w:val="000000"/>
          <w:sz w:val="28"/>
          <w:szCs w:val="28"/>
        </w:rPr>
      </w:pPr>
      <w:r>
        <w:rPr>
          <w:rFonts w:hint="eastAsia" w:ascii="仿宋_GB2312" w:hAnsi="黑体" w:eastAsia="仿宋_GB2312" w:cs="仿宋"/>
          <w:b/>
          <w:bCs/>
          <w:color w:val="000000"/>
          <w:sz w:val="28"/>
          <w:szCs w:val="28"/>
        </w:rPr>
        <w:t>二、禁止不利变更原则</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禁止不利变更原则是指第二审法院不得变更第一审判决而导致对当事人更加不利。</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黑体" w:eastAsia="仿宋_GB2312" w:cs="仿宋"/>
          <w:color w:val="000000"/>
          <w:sz w:val="28"/>
          <w:szCs w:val="28"/>
        </w:rPr>
      </w:pPr>
      <w:r>
        <w:rPr>
          <w:rFonts w:hint="eastAsia" w:ascii="仿宋_GB2312" w:hAnsi="黑体" w:eastAsia="仿宋_GB2312" w:cs="仿宋"/>
          <w:color w:val="000000"/>
          <w:sz w:val="28"/>
          <w:szCs w:val="28"/>
        </w:rPr>
        <w:t>三、吸收原则</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吸收原则虽为《刑法》中的原则，在行政诉讼中予以明确十分必要。行政诉讼中的吸收原则有两层含义：首先，存在多机关多部门实施一系列过程行为的征地拆迁等行政行为中，结果行为吸收过程行为；其次，刑事责任内容与行政责任具有相同的法律效果时，先行承担的刑事责任吸收行政责任。</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黑体" w:eastAsia="仿宋_GB2312" w:cs="仿宋"/>
          <w:color w:val="000000"/>
          <w:sz w:val="28"/>
          <w:szCs w:val="28"/>
        </w:rPr>
      </w:pPr>
      <w:r>
        <w:rPr>
          <w:rFonts w:hint="eastAsia" w:ascii="仿宋_GB2312" w:hAnsi="黑体" w:eastAsia="仿宋_GB2312" w:cs="仿宋"/>
          <w:color w:val="000000"/>
          <w:sz w:val="28"/>
          <w:szCs w:val="28"/>
        </w:rPr>
        <w:t>四、禁止重复起诉原则</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在司法实践中，重复提起行政诉讼的案例很多。在理论上，公民对行政机关的每一个行政行为都有诉权。根据《行政诉讼法》第101条规定，民事诉讼中的禁止重复起诉原则应当在行政诉讼中予以明确。行政相对人因违法行政行为造成的损失，已经获得国家赔偿，对该行政行为可能不再具有诉的利益。</w:t>
      </w:r>
    </w:p>
    <w:p>
      <w:pPr>
        <w:pStyle w:val="2"/>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outlineLvl w:val="9"/>
        <w:rPr>
          <w:rFonts w:hint="eastAsia" w:ascii="黑体" w:hAnsi="黑体" w:eastAsia="黑体" w:cs="仿宋"/>
          <w:b w:val="0"/>
          <w:bCs/>
          <w:color w:val="000000"/>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黑体" w:hAnsi="黑体" w:eastAsia="黑体" w:cs="仿宋"/>
          <w:b w:val="0"/>
          <w:bCs/>
          <w:color w:val="000000"/>
          <w:sz w:val="28"/>
          <w:szCs w:val="28"/>
          <w:lang w:val="en-US" w:eastAsia="zh-CN"/>
        </w:rPr>
      </w:pPr>
      <w:bookmarkStart w:id="59" w:name="_Toc1794"/>
      <w:r>
        <w:rPr>
          <w:rFonts w:hint="eastAsia" w:ascii="黑体" w:hAnsi="黑体" w:eastAsia="黑体" w:cs="仿宋"/>
          <w:b w:val="0"/>
          <w:bCs/>
          <w:color w:val="000000"/>
          <w:sz w:val="28"/>
          <w:szCs w:val="28"/>
          <w:lang w:val="en-US" w:eastAsia="zh-CN"/>
        </w:rPr>
        <w:t>第二章   提高获得实体处理的概率</w:t>
      </w:r>
      <w:bookmarkEnd w:id="59"/>
    </w:p>
    <w:p>
      <w:pPr>
        <w:pStyle w:val="3"/>
        <w:keepNext w:val="0"/>
        <w:keepLines w:val="0"/>
        <w:pageBreakBefore w:val="0"/>
        <w:widowControl w:val="0"/>
        <w:wordWrap/>
        <w:bidi w:val="0"/>
        <w:adjustRightInd/>
        <w:snapToGrid/>
        <w:spacing w:before="0" w:after="0" w:line="500" w:lineRule="exact"/>
        <w:ind w:firstLine="522" w:firstLineChars="200"/>
        <w:jc w:val="both"/>
        <w:rPr>
          <w:rFonts w:hint="eastAsia" w:ascii="楷体" w:hAnsi="楷体" w:eastAsia="楷体" w:cs="仿宋"/>
          <w:bCs w:val="0"/>
          <w:color w:val="000000"/>
          <w:sz w:val="28"/>
          <w:szCs w:val="28"/>
        </w:rPr>
      </w:pPr>
      <w:r>
        <w:rPr>
          <w:rFonts w:hint="eastAsia" w:ascii="楷体" w:hAnsi="楷体" w:eastAsia="楷体" w:cs="仿宋"/>
          <w:bCs w:val="0"/>
          <w:color w:val="000000"/>
          <w:sz w:val="28"/>
          <w:szCs w:val="28"/>
        </w:rPr>
        <w:t>第一节  判断是否是行政行为</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一、行政行为</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行政机关作出的行为，有的是行政行为，有的不属于行政行为。不属于行政行为的事实行为，不纳入行政诉讼受案范围。</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行政行为是行政主体为了处理行政事务依法采取的对外发生法律效果的处分行为。行政行为包含主体要素、公法要素、处分要素、效果要素等4个要素。</w:t>
      </w:r>
    </w:p>
    <w:p>
      <w:pPr>
        <w:keepNext w:val="0"/>
        <w:keepLines w:val="0"/>
        <w:pageBreakBefore w:val="0"/>
        <w:widowControl w:val="0"/>
        <w:numPr>
          <w:ilvl w:val="0"/>
          <w:numId w:val="14"/>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主体要素。主体要素即行政行为的主体，必须是行政机关、法律法规授权组织。主体要素是从功能意义上讲的。如果不是功能意义上的行政机关作出的行为，例如，各级党委、人大、政协作出的行为，则不属于行政行为。如果是非行政机关作出的行为，只要其属于功能意义上的行政机关应当认定为行政行为。例如，基层群众性自治组织、行业协会、行政性公司、行政公产管理机关以及事业单位等在法律法规授权的情况下可以作出行政行为，具有可诉性。</w:t>
      </w:r>
    </w:p>
    <w:p>
      <w:pPr>
        <w:keepNext w:val="0"/>
        <w:keepLines w:val="0"/>
        <w:pageBreakBefore w:val="0"/>
        <w:widowControl w:val="0"/>
        <w:numPr>
          <w:ilvl w:val="0"/>
          <w:numId w:val="14"/>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公法要素。公法要素即行政行为必须依据行政法等公法来实施，行政行为主要是行政机关适用行政法律规范的行为。因此，公法要素排除了民事行为、国家行为（也就是统治行为）以及国际法行为。</w:t>
      </w:r>
    </w:p>
    <w:p>
      <w:pPr>
        <w:keepNext w:val="0"/>
        <w:keepLines w:val="0"/>
        <w:pageBreakBefore w:val="0"/>
        <w:widowControl w:val="0"/>
        <w:numPr>
          <w:ilvl w:val="0"/>
          <w:numId w:val="14"/>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处分要素。处分要素是指行政机关就特定的行政事项单方面作出的确认或者创设权利义务的行为。因此，处分要素排除了观念通知行为，即行政机关的单纯答复行为；单纯执行行为，即根据行政处理决定的实施行为；重复处理行为，如对已经生效行政行为的重述等；准备性行为，即作出行政行为之前收集证据、报送材料等行为。</w:t>
      </w:r>
    </w:p>
    <w:p>
      <w:pPr>
        <w:keepNext w:val="0"/>
        <w:keepLines w:val="0"/>
        <w:pageBreakBefore w:val="0"/>
        <w:widowControl w:val="0"/>
        <w:numPr>
          <w:ilvl w:val="0"/>
          <w:numId w:val="14"/>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效果要素。效果要素是指行政行为必须适应发生特定公法意义上的法律效果为目的的行为。效果要素排除了事实行为。</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二、事实行为</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事实行为是指行政机关实施的没有处分内容和法律约束力的行为。行政机关在作出此类行为时，并无发生法律效果的意图。在某种意义上，事实行为主要功能是作为行政行为的准备过程、执行过程而存在。</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事实行为主要包括四类。</w:t>
      </w:r>
    </w:p>
    <w:p>
      <w:pPr>
        <w:keepNext w:val="0"/>
        <w:keepLines w:val="0"/>
        <w:pageBreakBefore w:val="0"/>
        <w:widowControl w:val="0"/>
        <w:numPr>
          <w:ilvl w:val="0"/>
          <w:numId w:val="15"/>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行政事务性行为。例如，行政机关工作人员驾驶公务车辆、案卷管理、请示、汇报、清除道路路障、道路规划等。</w:t>
      </w:r>
    </w:p>
    <w:p>
      <w:pPr>
        <w:keepNext w:val="0"/>
        <w:keepLines w:val="0"/>
        <w:pageBreakBefore w:val="0"/>
        <w:widowControl w:val="0"/>
        <w:numPr>
          <w:ilvl w:val="0"/>
          <w:numId w:val="15"/>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执行性行为。例如，根据行政处罚决定采取的强制措施、税务机关关于催收税款的通知、行政机关根据法院的协作执行通知书采取的执行行为。形式上属于执行性的事实行为，但实质上属于行政行为的情形，《行诉法解释》第1条实际上将行政诉讼受案范围从行政行为扩大到事实行为。</w:t>
      </w:r>
    </w:p>
    <w:p>
      <w:pPr>
        <w:keepNext w:val="0"/>
        <w:keepLines w:val="0"/>
        <w:pageBreakBefore w:val="0"/>
        <w:widowControl w:val="0"/>
        <w:numPr>
          <w:ilvl w:val="0"/>
          <w:numId w:val="15"/>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观念通知。例如，没有法律约束力的答复和通知。</w:t>
      </w:r>
    </w:p>
    <w:p>
      <w:pPr>
        <w:keepNext w:val="0"/>
        <w:keepLines w:val="0"/>
        <w:pageBreakBefore w:val="0"/>
        <w:widowControl w:val="0"/>
        <w:numPr>
          <w:ilvl w:val="0"/>
          <w:numId w:val="15"/>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磋商行为。例如，行政机关与行政相对人之间签订行政合同过程中的磋商活动。</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三、内部行为</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行政机关对属于自己的组织、人员的人事或者财务管理的行为不属于行政行为。根据《行诉法解释》的规定，《行政诉讼法》规定的行政机关对行政机关工作人员的奖惩、任免等决定，是指行政机关作出的涉及到该行政机关公务员权利义务的决定。并非所有的内部行为都不属于人民法院的受案范围。如果行政机关的内部行为影响到了公民在《宪法》上的基本权利，该行为具有可诉性。</w:t>
      </w:r>
    </w:p>
    <w:p>
      <w:pPr>
        <w:pStyle w:val="3"/>
        <w:keepNext w:val="0"/>
        <w:keepLines w:val="0"/>
        <w:pageBreakBefore w:val="0"/>
        <w:widowControl w:val="0"/>
        <w:wordWrap/>
        <w:bidi w:val="0"/>
        <w:adjustRightInd/>
        <w:snapToGrid/>
        <w:spacing w:before="0" w:after="0" w:line="500" w:lineRule="exact"/>
        <w:ind w:firstLine="522" w:firstLineChars="200"/>
        <w:jc w:val="both"/>
        <w:rPr>
          <w:rFonts w:hint="eastAsia" w:ascii="楷体" w:hAnsi="楷体" w:eastAsia="楷体" w:cs="仿宋"/>
          <w:bCs w:val="0"/>
          <w:color w:val="000000"/>
          <w:sz w:val="28"/>
          <w:szCs w:val="28"/>
        </w:rPr>
      </w:pPr>
      <w:r>
        <w:rPr>
          <w:rFonts w:hint="eastAsia" w:ascii="楷体" w:hAnsi="楷体" w:eastAsia="楷体" w:cs="仿宋"/>
          <w:bCs w:val="0"/>
          <w:color w:val="000000"/>
          <w:sz w:val="28"/>
          <w:szCs w:val="28"/>
        </w:rPr>
        <w:t>第二节  判断行政行为是否可诉</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行政机关的行为是否可诉与行政案件的受案范围是一个问题的两个方面。行政行为是否可诉的提法是从行政相对人的角度来说的，从裁判者的角度来讲则是法院受案范围的问题。</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总的来说，可诉的行政行为有两种。</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是违法的行政行为。并不是所有的违法行政行为都具有可诉性。行政行为给当事人的利益产生一定的影响，才可以提起诉讼。《行政诉讼法》第2条确立了合法权益的标准，即公民、法人或者其他组织认为行政机关和其工作人员的行政行为侵犯其合法权益，有权依照法律提起行政诉讼。这种权利和利益并非抽象的，而是必须符合法律规定。符合法律规定并不意味着必须有法律的明确规定。这里的合法权益应当理解为适宜或者值得司法保护的利益。如果利益不适用于司法保护或者不值得司法保护，则不属于上述合法权益。</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二是明显不适当的行政行为，即滥用职权与行政处罚显失公正。除这两种情况的不适当的行政行为外，其他不适当的行政行为不具有可诉性。</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行政行为是否可诉，判断的依据分为法律依据的和政策依据两种。法律依据是指《行政诉讼法》第42条、《行政诉讼法》第13条以及《行诉法解释》第1条。政策依据是指以最高法有关案例的裁判观点为核心的司法政策。《行政诉讼法》第12条第2款规定，“除前款规定外，人民法院受理法律、法规规定可以提起诉讼的其他行政案件。”这说明，《行政诉讼法》授权人民法院受理法律、法律规定可以提起诉讼的其他非人身权、财产权的行政案件。</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一、法律依据</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kern w:val="44"/>
          <w:sz w:val="28"/>
          <w:szCs w:val="28"/>
        </w:rPr>
        <w:t>《行政诉讼法》</w:t>
      </w:r>
      <w:r>
        <w:rPr>
          <w:rFonts w:hint="eastAsia" w:ascii="仿宋_GB2312" w:hAnsi="仿宋" w:eastAsia="仿宋_GB2312" w:cs="仿宋"/>
          <w:color w:val="000000"/>
          <w:sz w:val="28"/>
          <w:szCs w:val="28"/>
        </w:rPr>
        <w:t>第42条规定，“人民法院受理公民、法人或者其他组织提起的下列诉讼：</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（一）对行政拘留、暂扣或者吊销许可证和执照、责令停产停业、没收违法所得、没收非法财物、罚款、警告等行政处罚不服的；</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（二）对限制人身自由或者对财产的查封、扣押、冻结等行政强制措施和行政强制执行不服的；</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（三）申请行政许可，行政机关拒绝或者在法定期限内不予答复，或者对行政机关作出的有关行政许可的其他决定不服的；</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（四）对行政机关作出的关于确认土地、矿藏、水流、森林、山岭、草原、荒地、滩涂、海域等自然资源的所有权或者使用权的决定不服的；</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（五）对征收、征用决定及其补偿决定不服的；</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（六）申请行政机关履行保护人身权、财产权等合法权益的法定职责，行政机关拒绝履行或者不予答复的；</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（七）认为行政机关侵犯其经营自主权或者农村土地承包经营权、农村土地经营权的；</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（八）认为行政机关滥用行政权力排除或者限制竞争的；</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（九）认为行政机关违法集资、摊派费用或者违法要求履行其他义务的；</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（十）认为行政机关没有依法支付抚恤金、最低生活保障待遇或者社会保险待遇的；</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（十一）认为行政机关不依法履行、未按照约定履行或者违法变更、解除政府特许经营协议、土地房屋征收补偿协议等协议的；</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（十二）认为行政机关侵犯其他人身权、财产权等合法权益的。除前款规定外，人民法院受理法律、法规规定可以提起诉讼的其他行政案件。”</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第13条规定，“人民法院不受理公民、法人或者其他组织对下列事项提起的诉讼：</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（一）国防、外交等国家行为；</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（二）行政法规、规章或者行政机关制定、发布的具有普遍约束力的决定、命令；</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（三）行政机关对行政机关工作人员的奖惩、任免等决定；</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（四）法律规定由行政机关最终裁决的行政行为。”</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《行诉法解释》第1条规定，“公民、法人或者其他组织对行政机关及其工作人员的行政行为不服，依法提起诉讼的，属于人民法院行政诉讼的受案范围。”</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“下列行为不属于人民法院行政诉讼的受案范围：</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（一）公安、国家安全等机关依照刑事诉讼法的明确授权实施的行为；</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（二）调解行为以及法律规定的仲裁行为；</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（三）行政指导行为；</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（四）驳回当事人对行政行为提起申诉的重复处理行为；</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（五）行政机关作出的不产生外部法律效力的行为；</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（六）行政机关为作出行政行为而实施的准备、论证、研究、层报、咨询等过程性行为；</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（七）行政机关根据人民法院的生效裁判、协助执行通知书作出的执行行为，但行政机关扩大执行范围或者采取违法方式实施的除外；</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（八）上级行政机关基于内部层级监督关系对下级行政机关作出的听取报告、执法检查、督促履责等行为；</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（九）行政机关针对信访事项作出的登记、受理、交办、转送、复查、复核意见等行为；</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（十）对公民、法人或者其他组织权利义务不产生实际影响的行为。”</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第2条规定，《行政诉讼法》第13条第1项规定的“国家行为”，是指国务院、中央军事委员会、国防部、外交部等根据宪法和法律的授权，以国家的名义实施的有关国防和外交事务的行为，以及经宪法和法律授权的国家机关宣布紧急状态等行为。《行政诉讼法》第13条第2项规定的“具有普遍约束力的决定、命令”，是指行政机关针对不特定对象发布的能反复适用的规范性文件。《行政诉讼法》第13条第3项规定的“对行政机关工作人员的奖惩、任免等决定”，是指行政机关作出的涉及行政机关工作人员公务员权利义务的决定。</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《行政诉讼法》第13条第4项规定的“法律规定由行政机关最终裁决的行政行为”中的“法律”，是指全国人民代表大会及其常务委员会制定、通过的规范性文件。</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二、政策依据</w:t>
      </w:r>
    </w:p>
    <w:p>
      <w:pPr>
        <w:keepNext w:val="0"/>
        <w:keepLines w:val="0"/>
        <w:pageBreakBefore w:val="0"/>
        <w:widowControl w:val="0"/>
        <w:numPr>
          <w:ilvl w:val="0"/>
          <w:numId w:val="16"/>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监督行为原则上不可诉。根据最高人民法院第三巡回法庭的意见：</w:t>
      </w:r>
    </w:p>
    <w:p>
      <w:pPr>
        <w:keepNext w:val="0"/>
        <w:keepLines w:val="0"/>
        <w:pageBreakBefore w:val="0"/>
        <w:widowControl w:val="0"/>
        <w:numPr>
          <w:ilvl w:val="0"/>
          <w:numId w:val="17"/>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上级行政机关对下级行政机关、本级人民政府对所属工作部门的内部监督行为，一般不属于行政诉讼受案范围。</w:t>
      </w:r>
    </w:p>
    <w:p>
      <w:pPr>
        <w:keepNext w:val="0"/>
        <w:keepLines w:val="0"/>
        <w:pageBreakBefore w:val="0"/>
        <w:widowControl w:val="0"/>
        <w:numPr>
          <w:ilvl w:val="0"/>
          <w:numId w:val="17"/>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人民政府不履行层级监督职责的行为，一般不属于行政诉讼受案范围。行政机关基于上下级监督关系而形成的内部监督管理行为，一般不属于行政诉讼受案范围。</w:t>
      </w:r>
    </w:p>
    <w:p>
      <w:pPr>
        <w:keepNext w:val="0"/>
        <w:keepLines w:val="0"/>
        <w:pageBreakBefore w:val="0"/>
        <w:widowControl w:val="0"/>
        <w:numPr>
          <w:ilvl w:val="0"/>
          <w:numId w:val="17"/>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行政机关内部监督行为依职权外化，对相对人权利义务造成影响的，属于行政复议受理和行政诉讼受案范围。</w:t>
      </w:r>
    </w:p>
    <w:p>
      <w:pPr>
        <w:keepNext w:val="0"/>
        <w:keepLines w:val="0"/>
        <w:pageBreakBefore w:val="0"/>
        <w:widowControl w:val="0"/>
        <w:numPr>
          <w:ilvl w:val="0"/>
          <w:numId w:val="16"/>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行政机关根据法院执行裁定作出的、未设定相对人新的权利义务的告知行为，不属于行政诉讼受案范围。</w:t>
      </w:r>
    </w:p>
    <w:p>
      <w:pPr>
        <w:keepNext w:val="0"/>
        <w:keepLines w:val="0"/>
        <w:pageBreakBefore w:val="0"/>
        <w:widowControl w:val="0"/>
        <w:numPr>
          <w:ilvl w:val="0"/>
          <w:numId w:val="16"/>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行政机关作出的会议纪要不直接设定当事人权利义务、不直接对外发生法律效力的，通常不属于行政诉讼受案范围。</w:t>
      </w:r>
    </w:p>
    <w:p>
      <w:pPr>
        <w:keepNext w:val="0"/>
        <w:keepLines w:val="0"/>
        <w:pageBreakBefore w:val="0"/>
        <w:widowControl w:val="0"/>
        <w:numPr>
          <w:ilvl w:val="0"/>
          <w:numId w:val="16"/>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上下级行政机关之间作出的请示、批复等内部行政行为，通常不产生外部法律效力，不属于行政诉讼受案范围。</w:t>
      </w:r>
    </w:p>
    <w:p>
      <w:pPr>
        <w:keepNext w:val="0"/>
        <w:keepLines w:val="0"/>
        <w:pageBreakBefore w:val="0"/>
        <w:widowControl w:val="0"/>
        <w:numPr>
          <w:ilvl w:val="0"/>
          <w:numId w:val="16"/>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不属于人民法院行政诉讼主管工作的范围</w:t>
      </w:r>
      <w:r>
        <w:rPr>
          <w:rFonts w:hint="eastAsia" w:ascii="仿宋_GB2312" w:hAnsi="仿宋" w:eastAsia="仿宋_GB2312" w:cs="仿宋"/>
          <w:color w:val="000000"/>
          <w:sz w:val="28"/>
          <w:szCs w:val="28"/>
        </w:rPr>
        <w:br w:type="textWrapping"/>
      </w:r>
      <w:r>
        <w:rPr>
          <w:rFonts w:hint="eastAsia" w:ascii="仿宋_GB2312" w:hAnsi="仿宋" w:eastAsia="仿宋_GB2312" w:cs="仿宋"/>
          <w:color w:val="000000"/>
          <w:sz w:val="28"/>
          <w:szCs w:val="28"/>
        </w:rPr>
        <w:t xml:space="preserve">    1.行政机构撤并、内部人员分流、人事档案交接等事项；</w:t>
      </w:r>
      <w:r>
        <w:rPr>
          <w:rFonts w:hint="eastAsia" w:ascii="仿宋_GB2312" w:hAnsi="仿宋" w:eastAsia="仿宋_GB2312" w:cs="仿宋"/>
          <w:color w:val="000000"/>
          <w:sz w:val="28"/>
          <w:szCs w:val="28"/>
        </w:rPr>
        <w:br w:type="textWrapping"/>
      </w:r>
      <w:r>
        <w:rPr>
          <w:rFonts w:hint="eastAsia" w:ascii="仿宋_GB2312" w:hAnsi="仿宋" w:eastAsia="仿宋_GB2312" w:cs="仿宋"/>
          <w:color w:val="000000"/>
          <w:sz w:val="28"/>
          <w:szCs w:val="28"/>
        </w:rPr>
        <w:t xml:space="preserve">    2.历史遗留的落实政策性质的房地产纠纷。</w:t>
      </w:r>
    </w:p>
    <w:p>
      <w:pPr>
        <w:keepNext w:val="0"/>
        <w:keepLines w:val="0"/>
        <w:pageBreakBefore w:val="0"/>
        <w:widowControl w:val="0"/>
        <w:numPr>
          <w:ilvl w:val="0"/>
          <w:numId w:val="16"/>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信访处理活动</w:t>
      </w:r>
      <w:r>
        <w:rPr>
          <w:rFonts w:hint="eastAsia" w:ascii="仿宋_GB2312" w:hAnsi="仿宋" w:eastAsia="仿宋_GB2312" w:cs="仿宋"/>
          <w:color w:val="000000"/>
          <w:sz w:val="28"/>
          <w:szCs w:val="28"/>
        </w:rPr>
        <w:br w:type="textWrapping"/>
      </w:r>
      <w:r>
        <w:rPr>
          <w:rFonts w:hint="eastAsia" w:ascii="仿宋_GB2312" w:hAnsi="仿宋" w:eastAsia="仿宋_GB2312" w:cs="仿宋"/>
          <w:color w:val="000000"/>
          <w:sz w:val="28"/>
          <w:szCs w:val="28"/>
        </w:rPr>
        <w:t xml:space="preserve">    1.行政相对人针对信访答复意见提起的不履行职责等诉讼请求，不属于行政诉讼受案范围；</w:t>
      </w:r>
      <w:r>
        <w:rPr>
          <w:rFonts w:hint="eastAsia" w:ascii="仿宋_GB2312" w:hAnsi="仿宋" w:eastAsia="仿宋_GB2312" w:cs="仿宋"/>
          <w:color w:val="000000"/>
          <w:sz w:val="28"/>
          <w:szCs w:val="28"/>
        </w:rPr>
        <w:br w:type="textWrapping"/>
      </w:r>
      <w:r>
        <w:rPr>
          <w:rFonts w:hint="eastAsia" w:ascii="仿宋_GB2312" w:hAnsi="仿宋" w:eastAsia="仿宋_GB2312" w:cs="仿宋"/>
          <w:color w:val="000000"/>
          <w:sz w:val="28"/>
          <w:szCs w:val="28"/>
        </w:rPr>
        <w:t xml:space="preserve">    2.行政机关针对信访事项作出的复查、复核意见等行为，不属于行政诉讼受案范围。</w:t>
      </w:r>
    </w:p>
    <w:p>
      <w:pPr>
        <w:keepNext w:val="0"/>
        <w:keepLines w:val="0"/>
        <w:pageBreakBefore w:val="0"/>
        <w:widowControl w:val="0"/>
        <w:numPr>
          <w:ilvl w:val="0"/>
          <w:numId w:val="16"/>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行政机关自主或者依其他机关请求，就其职权范围内特定事项作出的具有独立意思表示的行政确认行为，属于可诉的行政行为；但是行政机关的行为仅系对已存在文件的摘录或事实行为的客观描述，未设定行政相对人新的权利义务的除外。</w:t>
      </w:r>
    </w:p>
    <w:p>
      <w:pPr>
        <w:keepNext w:val="0"/>
        <w:keepLines w:val="0"/>
        <w:pageBreakBefore w:val="0"/>
        <w:widowControl w:val="0"/>
        <w:numPr>
          <w:ilvl w:val="0"/>
          <w:numId w:val="16"/>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行政协议</w:t>
      </w:r>
      <w:r>
        <w:rPr>
          <w:rFonts w:hint="eastAsia" w:ascii="仿宋_GB2312" w:hAnsi="仿宋" w:eastAsia="仿宋_GB2312" w:cs="仿宋"/>
          <w:color w:val="000000"/>
          <w:sz w:val="28"/>
          <w:szCs w:val="28"/>
        </w:rPr>
        <w:br w:type="textWrapping"/>
      </w:r>
      <w:r>
        <w:rPr>
          <w:rFonts w:hint="eastAsia" w:ascii="仿宋_GB2312" w:hAnsi="仿宋" w:eastAsia="仿宋_GB2312" w:cs="仿宋"/>
          <w:color w:val="000000"/>
          <w:sz w:val="28"/>
          <w:szCs w:val="28"/>
        </w:rPr>
        <w:t xml:space="preserve">    1.行政机关签订的招商引资协议，可以认为属于行政协议；</w:t>
      </w:r>
      <w:r>
        <w:rPr>
          <w:rFonts w:hint="eastAsia" w:ascii="仿宋_GB2312" w:hAnsi="仿宋" w:eastAsia="仿宋_GB2312" w:cs="仿宋"/>
          <w:color w:val="000000"/>
          <w:sz w:val="28"/>
          <w:szCs w:val="28"/>
        </w:rPr>
        <w:br w:type="textWrapping"/>
      </w:r>
      <w:r>
        <w:rPr>
          <w:rFonts w:hint="eastAsia" w:ascii="仿宋_GB2312" w:hAnsi="仿宋" w:eastAsia="仿宋_GB2312" w:cs="仿宋"/>
          <w:color w:val="000000"/>
          <w:sz w:val="28"/>
          <w:szCs w:val="28"/>
        </w:rPr>
        <w:t xml:space="preserve">    2.行政协议诉讼的受案范围，不限于《行政诉讼法》第12条第1款第11项规定的四种情形。</w:t>
      </w:r>
    </w:p>
    <w:p>
      <w:pPr>
        <w:keepNext w:val="0"/>
        <w:keepLines w:val="0"/>
        <w:pageBreakBefore w:val="0"/>
        <w:widowControl w:val="0"/>
        <w:numPr>
          <w:ilvl w:val="0"/>
          <w:numId w:val="16"/>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公安消防机构作出的火灾原因重新认定决定，属于行政诉讼受案范围。</w:t>
      </w:r>
    </w:p>
    <w:p>
      <w:pPr>
        <w:keepNext w:val="0"/>
        <w:keepLines w:val="0"/>
        <w:pageBreakBefore w:val="0"/>
        <w:widowControl w:val="0"/>
        <w:numPr>
          <w:ilvl w:val="0"/>
          <w:numId w:val="16"/>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在行政复议前置的情况下，人民法院对公民、法人或者其他组织起诉复议机关不予受理决定的，人民法院应当予以受理。不予受理决定属于可诉的行政行为。</w:t>
      </w:r>
    </w:p>
    <w:p>
      <w:pPr>
        <w:keepNext w:val="0"/>
        <w:keepLines w:val="0"/>
        <w:pageBreakBefore w:val="0"/>
        <w:widowControl w:val="0"/>
        <w:numPr>
          <w:ilvl w:val="0"/>
          <w:numId w:val="16"/>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土地行政主管部门通过拍卖出让国有建设用地使用权与竞得人签署成交确认书的行为，当事人不服提起行政诉讼的，人民法院应当依法受理。</w:t>
      </w:r>
    </w:p>
    <w:p>
      <w:pPr>
        <w:keepNext w:val="0"/>
        <w:keepLines w:val="0"/>
        <w:pageBreakBefore w:val="0"/>
        <w:widowControl w:val="0"/>
        <w:numPr>
          <w:ilvl w:val="0"/>
          <w:numId w:val="16"/>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行政允诺行为属于可诉行政行为。</w:t>
      </w:r>
    </w:p>
    <w:p>
      <w:pPr>
        <w:keepNext w:val="0"/>
        <w:keepLines w:val="0"/>
        <w:pageBreakBefore w:val="0"/>
        <w:widowControl w:val="0"/>
        <w:numPr>
          <w:ilvl w:val="0"/>
          <w:numId w:val="16"/>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行政相对人不服行政机关的裁决行为（包含对民事争议所作的裁决）属于可诉行政行为。</w:t>
      </w:r>
    </w:p>
    <w:p>
      <w:pPr>
        <w:keepNext w:val="0"/>
        <w:keepLines w:val="0"/>
        <w:pageBreakBefore w:val="0"/>
        <w:widowControl w:val="0"/>
        <w:numPr>
          <w:ilvl w:val="0"/>
          <w:numId w:val="16"/>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证明行为。公证行为不可诉。出具介绍信的行为如果是对现实法律关系的证明，并未设定新的行政法律关系，不具有可诉性。但如果对行政相对人的权利义务产生实际影响的，属于可诉的行政行为。</w:t>
      </w:r>
    </w:p>
    <w:p>
      <w:pPr>
        <w:keepNext w:val="0"/>
        <w:keepLines w:val="0"/>
        <w:pageBreakBefore w:val="0"/>
        <w:widowControl w:val="0"/>
        <w:numPr>
          <w:ilvl w:val="0"/>
          <w:numId w:val="16"/>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受理行为。一般情况下，受理行为是不可诉的，如果受理行为在下列情形下可以成为可诉的：</w:t>
      </w:r>
      <w:r>
        <w:rPr>
          <w:rFonts w:hint="eastAsia" w:ascii="仿宋_GB2312" w:hAnsi="仿宋" w:eastAsia="仿宋_GB2312" w:cs="仿宋"/>
          <w:color w:val="000000"/>
          <w:sz w:val="28"/>
          <w:szCs w:val="28"/>
        </w:rPr>
        <w:br w:type="textWrapping"/>
      </w:r>
      <w:r>
        <w:rPr>
          <w:rFonts w:hint="eastAsia" w:ascii="仿宋_GB2312" w:hAnsi="仿宋" w:eastAsia="仿宋_GB2312" w:cs="仿宋"/>
          <w:color w:val="000000"/>
          <w:sz w:val="28"/>
          <w:szCs w:val="28"/>
        </w:rPr>
        <w:t xml:space="preserve">    1.否定性的受理行为成为阻碍行政相对人权益实现的主要因素；</w:t>
      </w:r>
      <w:r>
        <w:rPr>
          <w:rFonts w:hint="eastAsia" w:ascii="仿宋_GB2312" w:hAnsi="仿宋" w:eastAsia="仿宋_GB2312" w:cs="仿宋"/>
          <w:color w:val="000000"/>
          <w:sz w:val="28"/>
          <w:szCs w:val="28"/>
        </w:rPr>
        <w:br w:type="textWrapping"/>
      </w:r>
      <w:r>
        <w:rPr>
          <w:rFonts w:hint="eastAsia" w:ascii="仿宋_GB2312" w:hAnsi="仿宋" w:eastAsia="仿宋_GB2312" w:cs="仿宋"/>
          <w:color w:val="000000"/>
          <w:sz w:val="28"/>
          <w:szCs w:val="28"/>
        </w:rPr>
        <w:t xml:space="preserve">    2.否定性的受理行为直接导致今后行政行为无法作出；</w:t>
      </w:r>
      <w:r>
        <w:rPr>
          <w:rFonts w:hint="eastAsia" w:ascii="仿宋_GB2312" w:hAnsi="仿宋" w:eastAsia="仿宋_GB2312" w:cs="仿宋"/>
          <w:color w:val="000000"/>
          <w:sz w:val="28"/>
          <w:szCs w:val="28"/>
        </w:rPr>
        <w:br w:type="textWrapping"/>
      </w:r>
      <w:r>
        <w:rPr>
          <w:rFonts w:hint="eastAsia" w:ascii="仿宋_GB2312" w:hAnsi="仿宋" w:eastAsia="仿宋_GB2312" w:cs="仿宋"/>
          <w:color w:val="000000"/>
          <w:sz w:val="28"/>
          <w:szCs w:val="28"/>
        </w:rPr>
        <w:t xml:space="preserve">    3.行政受理行为可能导致行政相对人无法在法定的或者合理期限享有权利或减少免除义务；</w:t>
      </w:r>
      <w:r>
        <w:rPr>
          <w:rFonts w:hint="eastAsia" w:ascii="仿宋_GB2312" w:hAnsi="仿宋" w:eastAsia="仿宋_GB2312" w:cs="仿宋"/>
          <w:color w:val="000000"/>
          <w:sz w:val="28"/>
          <w:szCs w:val="28"/>
        </w:rPr>
        <w:br w:type="textWrapping"/>
      </w:r>
      <w:r>
        <w:rPr>
          <w:rFonts w:hint="eastAsia" w:ascii="仿宋_GB2312" w:hAnsi="仿宋" w:eastAsia="仿宋_GB2312" w:cs="仿宋"/>
          <w:color w:val="000000"/>
          <w:sz w:val="28"/>
          <w:szCs w:val="28"/>
        </w:rPr>
        <w:t xml:space="preserve">    4.行政相对人对于行政机关的管辖权提出异议；</w:t>
      </w:r>
      <w:r>
        <w:rPr>
          <w:rFonts w:hint="eastAsia" w:ascii="仿宋_GB2312" w:hAnsi="仿宋" w:eastAsia="仿宋_GB2312" w:cs="仿宋"/>
          <w:color w:val="000000"/>
          <w:sz w:val="28"/>
          <w:szCs w:val="28"/>
        </w:rPr>
        <w:br w:type="textWrapping"/>
      </w:r>
      <w:r>
        <w:rPr>
          <w:rFonts w:hint="eastAsia" w:ascii="仿宋_GB2312" w:hAnsi="仿宋" w:eastAsia="仿宋_GB2312" w:cs="仿宋"/>
          <w:color w:val="000000"/>
          <w:sz w:val="28"/>
          <w:szCs w:val="28"/>
        </w:rPr>
        <w:t xml:space="preserve">    5.行政相对人认为行政机关的受理行为可能导致其权益受到实际影响的其他行为。</w:t>
      </w:r>
    </w:p>
    <w:p>
      <w:pPr>
        <w:keepNext w:val="0"/>
        <w:keepLines w:val="0"/>
        <w:pageBreakBefore w:val="0"/>
        <w:widowControl w:val="0"/>
        <w:numPr>
          <w:ilvl w:val="0"/>
          <w:numId w:val="16"/>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登记行为。行政机关在经过审查之后，针对行政相对人的权利义务关系作出设立、变更、终止特定权利义务的意思表示属于可诉的行政行为，例如婚姻登记行为。如果行政机关不履行登记职责可能导致行政相对人无法从事特定的民事活动，或者无法获得应得的公示效力。也就是说，如果行政机关作出了否定性的登记行为，即不予登记、拖延登记、变更、撤销、废止登记等属于可诉的行政行为。</w:t>
      </w:r>
    </w:p>
    <w:p>
      <w:pPr>
        <w:keepNext w:val="0"/>
        <w:keepLines w:val="0"/>
        <w:pageBreakBefore w:val="0"/>
        <w:widowControl w:val="0"/>
        <w:numPr>
          <w:ilvl w:val="0"/>
          <w:numId w:val="16"/>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答复或者通知行为</w:t>
      </w:r>
      <w:r>
        <w:rPr>
          <w:rFonts w:hint="eastAsia" w:ascii="仿宋_GB2312" w:hAnsi="仿宋" w:eastAsia="仿宋_GB2312" w:cs="仿宋"/>
          <w:color w:val="000000"/>
          <w:sz w:val="28"/>
          <w:szCs w:val="28"/>
        </w:rPr>
        <w:br w:type="textWrapping"/>
      </w:r>
      <w:r>
        <w:rPr>
          <w:rFonts w:hint="eastAsia" w:ascii="仿宋_GB2312" w:hAnsi="仿宋" w:eastAsia="仿宋_GB2312" w:cs="仿宋"/>
          <w:color w:val="000000"/>
          <w:sz w:val="28"/>
          <w:szCs w:val="28"/>
        </w:rPr>
        <w:t xml:space="preserve">    1.如果行政机关具有作出答复或者通知的义务，且该答复或者通知行为对行政法律关系的产生变更或者消灭产生影响的，应当属于可诉的准行政决定；</w:t>
      </w:r>
      <w:r>
        <w:rPr>
          <w:rFonts w:hint="eastAsia" w:ascii="仿宋_GB2312" w:hAnsi="仿宋" w:eastAsia="仿宋_GB2312" w:cs="仿宋"/>
          <w:color w:val="000000"/>
          <w:sz w:val="28"/>
          <w:szCs w:val="28"/>
        </w:rPr>
        <w:br w:type="textWrapping"/>
      </w:r>
      <w:r>
        <w:rPr>
          <w:rFonts w:hint="eastAsia" w:ascii="仿宋_GB2312" w:hAnsi="仿宋" w:eastAsia="仿宋_GB2312" w:cs="仿宋"/>
          <w:color w:val="000000"/>
          <w:sz w:val="28"/>
          <w:szCs w:val="28"/>
        </w:rPr>
        <w:t xml:space="preserve">    2.如果行政机关没有作出答复或通知的法定义务，且该答复或者通知，对行政法律关系的产生、变更或者消灭未产生影响的，这属于以观念表示作出的事实行为，不属于可诉的行为；</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3.如果答复或通知行为构成行政行为的中间性程序，一般不属于可诉的行为；</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4.答复或者通知行为构成行政行为的要件时不具有独立性，不具有可诉性。</w:t>
      </w:r>
    </w:p>
    <w:p>
      <w:pPr>
        <w:keepNext w:val="0"/>
        <w:keepLines w:val="0"/>
        <w:pageBreakBefore w:val="0"/>
        <w:widowControl w:val="0"/>
        <w:numPr>
          <w:ilvl w:val="0"/>
          <w:numId w:val="16"/>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确认行为</w:t>
      </w:r>
    </w:p>
    <w:p>
      <w:pPr>
        <w:keepNext w:val="0"/>
        <w:keepLines w:val="0"/>
        <w:pageBreakBefore w:val="0"/>
        <w:widowControl w:val="0"/>
        <w:numPr>
          <w:ilvl w:val="0"/>
          <w:numId w:val="18"/>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公安机关作出的交通事故责任认定具有可诉性；</w:t>
      </w:r>
    </w:p>
    <w:p>
      <w:pPr>
        <w:keepNext w:val="0"/>
        <w:keepLines w:val="0"/>
        <w:pageBreakBefore w:val="0"/>
        <w:widowControl w:val="0"/>
        <w:numPr>
          <w:ilvl w:val="0"/>
          <w:numId w:val="18"/>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医疗事故技术鉴定不具有可诉性；卫生行政机关作出的医疗事故处理决定具有可诉性；对于当事人之间的医疗事故发生争议，要求行政机关处理，行政机关不作相应行为的，属于可诉的行政行为；</w:t>
      </w:r>
    </w:p>
    <w:p>
      <w:pPr>
        <w:keepNext w:val="0"/>
        <w:keepLines w:val="0"/>
        <w:pageBreakBefore w:val="0"/>
        <w:widowControl w:val="0"/>
        <w:numPr>
          <w:ilvl w:val="0"/>
          <w:numId w:val="18"/>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技术监督机关定期将抽检产品的鉴定结论、消防管理部门就火灾原因和火灾事故责任认定，具有可诉性；</w:t>
      </w:r>
    </w:p>
    <w:p>
      <w:pPr>
        <w:keepNext w:val="0"/>
        <w:keepLines w:val="0"/>
        <w:pageBreakBefore w:val="0"/>
        <w:widowControl w:val="0"/>
        <w:numPr>
          <w:ilvl w:val="0"/>
          <w:numId w:val="18"/>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刑事案件中，地质矿产主管部门作出的鉴定结论，不具有可诉性。</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三、行政诉讼受案范围与行政复议的区别</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从列举事项来看，《行政复议法》的受案范围要广于行政诉讼。例如，《行政复议法》明确规定对于涉及受教育权、行政机关变更或者废止农业承包合同等应当受理。这些规定在《行政诉讼法》中没有相应的体现。</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行政诉讼法》修改之后，两者受案范围出现趋同倾向。行政复议绝大多数的受案范围也进入了行政诉讼受案范围，但在特定领域行政诉讼列举的范围要广于行政复议。例如，《行政诉讼法》规定的行政协议、行政机关滥用行政权力排除或者限制竞争等。</w:t>
      </w:r>
    </w:p>
    <w:p>
      <w:pPr>
        <w:pStyle w:val="3"/>
        <w:keepNext w:val="0"/>
        <w:keepLines w:val="0"/>
        <w:pageBreakBefore w:val="0"/>
        <w:widowControl w:val="0"/>
        <w:wordWrap/>
        <w:bidi w:val="0"/>
        <w:spacing w:before="0" w:after="0" w:line="500" w:lineRule="exact"/>
        <w:ind w:firstLine="522" w:firstLineChars="200"/>
        <w:jc w:val="both"/>
        <w:rPr>
          <w:rFonts w:hint="eastAsia" w:ascii="楷体" w:hAnsi="楷体" w:eastAsia="楷体" w:cs="仿宋"/>
          <w:bCs w:val="0"/>
          <w:color w:val="000000"/>
          <w:sz w:val="28"/>
          <w:szCs w:val="28"/>
        </w:rPr>
      </w:pPr>
      <w:r>
        <w:rPr>
          <w:rFonts w:hint="eastAsia" w:ascii="楷体" w:hAnsi="楷体" w:eastAsia="楷体" w:cs="仿宋"/>
          <w:bCs w:val="0"/>
          <w:color w:val="000000"/>
          <w:sz w:val="28"/>
          <w:szCs w:val="28"/>
        </w:rPr>
        <w:t>第三节  判断行政行为的数量</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确定案由。《案由规定》已于2020年12月7日由最高人民法院审判委员会第1820次会议讨论通过，自2021年1月1日起施行，《最高人民法院关于规范行政案件案由的通知》同时废止。《案由规定》指出，“行政案件案由是行政案件名称的核心组成部分，起到明确被诉对象、区分案件性质、提示法律适用、引导当事人正确行使诉讼权利等作用。”因此，案由能正确反映被诉行政行为的种类和该行政行为的特性，能具体反映被诉行政行为基本内容和行政管理的范围。在起诉之前，应当检索行政案由规定，寻找与行政相对人的诉求的性质，最相类似的行政案件的案由。</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确定“一案一诉”还是“一案多诉”。“一案一诉”是人民法院受理行政案件的基本原则，对于当事人的诉讼请求，涉及多个不同行政被诉主体和行政行为，人民法院进行充分释明及指导，如经过充分说明，当事人仍拒绝明确其诉讼请求的，则裁定不予受理或者驳回起诉。</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当事人可以就数个相互关联的行政行为同时提起诉讼，人民法院可以合并为一个案件进行受理和裁判，但对于没有关联性的不同诉讼，即便当事人相同，亦应分开审理。例如，公安机关因当事人非法上访和非法驾驶机动车作出两份行政处罚决定书，是两个互不关联的行政行为，当事人一并提起诉讼，法院可以认定不符合起诉的条件。</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行诉法解释》第57条规定：“法律、法规未规定行政复议为提起行政诉讼必经程序，公民、法人或者其他组织既提起诉讼又申请行政复议的，由先立案的机关管辖；同时立案的，由公民、法人或者其他组织选择。公民、法人或者其他组织已经申请行政复议，在法定复议期间内又向人民法院提起诉讼的，人民法院裁定不予立案。”因此，当事人对公安机关作出的行政处罚决定已经申请行政复议，在法定复议期间内，又向人民法院起诉要求撤销该处罚决定，不符合司法解释的规定。</w:t>
      </w:r>
    </w:p>
    <w:p>
      <w:pPr>
        <w:pStyle w:val="3"/>
        <w:keepNext w:val="0"/>
        <w:keepLines w:val="0"/>
        <w:pageBreakBefore w:val="0"/>
        <w:widowControl w:val="0"/>
        <w:wordWrap/>
        <w:bidi w:val="0"/>
        <w:spacing w:before="0" w:after="0" w:line="500" w:lineRule="exact"/>
        <w:ind w:firstLine="522" w:firstLineChars="200"/>
        <w:jc w:val="both"/>
        <w:rPr>
          <w:rFonts w:hint="eastAsia" w:ascii="楷体" w:hAnsi="楷体" w:eastAsia="楷体" w:cs="仿宋"/>
          <w:bCs w:val="0"/>
          <w:color w:val="000000"/>
          <w:sz w:val="28"/>
          <w:szCs w:val="28"/>
        </w:rPr>
      </w:pPr>
      <w:r>
        <w:rPr>
          <w:rFonts w:hint="eastAsia" w:ascii="楷体" w:hAnsi="楷体" w:eastAsia="楷体" w:cs="仿宋"/>
          <w:bCs w:val="0"/>
          <w:color w:val="000000"/>
          <w:sz w:val="28"/>
          <w:szCs w:val="28"/>
        </w:rPr>
        <w:t>第四节  原告、被告与第三人的确定</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一、原告的确定</w:t>
      </w:r>
    </w:p>
    <w:p>
      <w:pPr>
        <w:pStyle w:val="4"/>
        <w:keepNext w:val="0"/>
        <w:keepLines w:val="0"/>
        <w:pageBreakBefore w:val="0"/>
        <w:widowControl w:val="0"/>
        <w:wordWrap/>
        <w:bidi w:val="0"/>
        <w:spacing w:before="0"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（一）是否有法律上的利害关系</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原告资格的本质特征是“法律上的利害关系”。“法律上的利害关系”不仅包括法定权利，也包括合法权益，不仅包括了既得利益，也包括了必定到来的期待利益。与行政行为具有法律上利害关系，是指对行政相对人权利义务产生实际影响，这种实际影响包括积极也影响和消极地影响两种情况。如果行政机关的行为无论是行政行为还是事实行为，如果对行政相对人的合法权益造成了不利影响，原告资格就已经具备。</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要注意适用关于原告资格的总体规定，也就是对于行政行为有法律利害关系人的当事人的诉权的概括规定。《行政诉讼法》第25条规定，“行政行为的相对人以及其他与行政行为有利害关系的公民、法人或者其他组织，有权提起诉讼。”</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《行诉法解释》第12条规定，有下列情形之一的，属于《行政诉讼法》第二十五条第一款规定的“与行政行为有利害关系”：</w:t>
      </w:r>
    </w:p>
    <w:p>
      <w:pPr>
        <w:keepNext w:val="0"/>
        <w:keepLines w:val="0"/>
        <w:pageBreakBefore w:val="0"/>
        <w:widowControl w:val="0"/>
        <w:numPr>
          <w:ilvl w:val="0"/>
          <w:numId w:val="19"/>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被诉的行政行为涉及其相邻权或者公平竞争权的；</w:t>
      </w:r>
    </w:p>
    <w:p>
      <w:pPr>
        <w:keepNext w:val="0"/>
        <w:keepLines w:val="0"/>
        <w:pageBreakBefore w:val="0"/>
        <w:widowControl w:val="0"/>
        <w:numPr>
          <w:ilvl w:val="0"/>
          <w:numId w:val="19"/>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在行政复议等行政程序中被追加为第三人的；</w:t>
      </w:r>
    </w:p>
    <w:p>
      <w:pPr>
        <w:keepNext w:val="0"/>
        <w:keepLines w:val="0"/>
        <w:pageBreakBefore w:val="0"/>
        <w:widowControl w:val="0"/>
        <w:numPr>
          <w:ilvl w:val="0"/>
          <w:numId w:val="19"/>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要求行政机关依法追究加害人法律责任的；</w:t>
      </w:r>
    </w:p>
    <w:p>
      <w:pPr>
        <w:keepNext w:val="0"/>
        <w:keepLines w:val="0"/>
        <w:pageBreakBefore w:val="0"/>
        <w:widowControl w:val="0"/>
        <w:numPr>
          <w:ilvl w:val="0"/>
          <w:numId w:val="19"/>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撤销或者变更行政行为涉及其合法权益的；</w:t>
      </w:r>
    </w:p>
    <w:p>
      <w:pPr>
        <w:keepNext w:val="0"/>
        <w:keepLines w:val="0"/>
        <w:pageBreakBefore w:val="0"/>
        <w:widowControl w:val="0"/>
        <w:numPr>
          <w:ilvl w:val="0"/>
          <w:numId w:val="19"/>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为维护自身合法权益向行政机关投诉，具有处理投诉职责的行政机关作出或者未做出处理的；</w:t>
      </w:r>
    </w:p>
    <w:p>
      <w:pPr>
        <w:keepNext w:val="0"/>
        <w:keepLines w:val="0"/>
        <w:pageBreakBefore w:val="0"/>
        <w:widowControl w:val="0"/>
        <w:numPr>
          <w:ilvl w:val="0"/>
          <w:numId w:val="19"/>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其他与行政行为有利害关系的情形。</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第13条规定，“债权人以行政机关对债务人所作的行政行为损害债权实现为由提起行政诉讼的，人民法院应当告知其就民事争议提起民事诉讼，但行政机关作出行政行为时依法应予保护或者应予考虑的除外。”</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（二）具体诉讼类型下的原告资格的确定</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1.形成诉讼中原告资格的确定</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（1）审查可诉性行政行为是否存在；</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（2）审查是否属于行政行为针对的行政相对人；</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（3）审查权利是否属于自己的受保护的权利；</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（4）审查权利是否可能受到损害。</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2.课以义务诉讼中原告资格的确定</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（1）审查起诉人的主张不能明显而明确的排除；</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（2）审查起诉人的主张是否是在法律上或者值得司法保护的权利；</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（3）审查权利侵害是否具有可能性。</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3.给付诉讼中原告资格的确定</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（1）起诉人针对的主要是事实行为；</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（2）起诉人专属于原告的利益可能受到侵害。</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4.确认诉讼中原告资格的确定</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（1）起诉人针对的行政行为是否违法、行政行为是否需要确认、法律关系是否存在；</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（2）是否是专属于原告的确认利益。</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二、被告的确定</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作出行政行为的行政机关为被告是一个综合性的基本性的确定原则。</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确定适格的被告需要考虑的基本问题是：以谁为被告更有利于行政争议的解决；更有利于监督行政机关依法行使行政职权；更有利于体现对原告的权益保护；更有利于法院公正合理的审理行政案件。</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确定行政诉讼被告应当考虑以下三个方面的条件。第一，行政诉讼被告原则上应当是行政主体，除非有合法有效的规范的授权。第二，行政诉讼被告原则上应当是实施被诉行政行为或者不作为的，或者与原告发生行政法律关系的具有一定行政职权的机关、机构或者组织，除非有合法有效的法律规范另有规定。第三，行政诉讼被告原则上应当是能够独立承担法律责任和诉讼后果的机关、机构或者组织，除非合法有效的法律规范另有规定。</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（一）作出行政行为的行政机关、被法律法规授权的组织是被告</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1.作出行政行为的行政机关为被告，作出的含义不仅包括作为行为，还包括不作为行为。</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（1）行政机关包括原行政机关，还包括行政复议机关。</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（2）行政行为的真正行为者为被告。</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2.被法律、法规、规章授权的组织为被告。</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（1）组织不仅包括企业、事业单位，还包括行政机关、行政机构（派出机构、内设机构），但不包括个人。</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（2）规章包括部委规章和地方规章。</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44"/>
          <w:sz w:val="28"/>
          <w:szCs w:val="28"/>
        </w:rPr>
      </w:pPr>
      <w:r>
        <w:rPr>
          <w:rFonts w:hint="eastAsia" w:ascii="仿宋_GB2312" w:hAnsi="仿宋" w:eastAsia="仿宋_GB2312" w:cs="仿宋"/>
          <w:color w:val="000000"/>
          <w:sz w:val="28"/>
          <w:szCs w:val="28"/>
        </w:rPr>
        <w:t>（3）要审查规章的授权是否合法，该组织是否具有合法的执法主体资格，只有在规章的授权和更高层级的法律法规没有抵触，而且该授权是必要的情况下，才应当承认受权组织的执法主体资格。审查是否超过法定授权范围，对是否超越法律、法规或者规章的授权进行审查。</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b w:val="0"/>
          <w:bCs w:val="0"/>
          <w:color w:val="000000"/>
          <w:kern w:val="44"/>
          <w:sz w:val="28"/>
          <w:szCs w:val="28"/>
        </w:rPr>
      </w:pPr>
      <w:r>
        <w:rPr>
          <w:rFonts w:hint="eastAsia" w:ascii="仿宋_GB2312" w:hAnsi="仿宋" w:eastAsia="仿宋_GB2312" w:cs="仿宋"/>
          <w:color w:val="000000"/>
          <w:sz w:val="28"/>
          <w:szCs w:val="28"/>
        </w:rPr>
        <w:t>（二）经过复议的行政诉讼被告的确定</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1.一般情况</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根据《行政诉讼法》第26条规定，归纳如下。</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（1）经复议的案件，复议机关决定维持原行政行为的，作出原行政行为的行政机关和复议机关是共同被告。</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（2）复议机关改变原行政行为的，复议机关是被告。</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（3）复议机关在法定期限内未作出复议决定，公民、法人或者其他组织起诉原行政行为的，作出原行政行为的行政机关是被告；起诉复议机关不作为的，复议机关是被告。</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2.特殊情况</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维持原行政行为时被告的确定。复议机关驳回复议申请或者复议请求（实体性驳回）时，行政机关和复议机关是被告。以复议申请不符合受理条件为由驳回复议申请或者复议请求（程序性驳回）时，复议机关是被告。</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行政复议机关逾期不作出复议决定时被告的确定。如果当事人通过起诉行政复议机关不作为意在通过行政复议的救济程序解决行政争议，应当以行政复议机关为被告；如果当事人意在解决行政纠纷本身，应当以原行政机关为被告；如果难以选择的话，从实质解决纠纷角度考虑，应当以原行政机关为被告。</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（3）改变原行政行为时被告的确定。改变原行政行为所适用的规范依据，对定性不产生影响的，复议机关不是被告；对定性产生影响的，复议机关是被告。</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4）复议机关在行政诉讼过程中改变复议决定时被告的确定。行政复议机关在对行政案件宣告判决或者裁定前，改变其作出的行政复议决定时，即把维持原行政机关的复议决定改变为变更或者撤销时，复议机关是被告。</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（三）共同被告的确定</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1.一般情况</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《行政诉讼法》规定，两个以上行政机关作出同一行政行为的，共同作出行政行为的行政机关是共同被告。</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2.特殊情况</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（1）共同不作为的共同被告的确定。两个以上行政机关的推诿，不属于受理、不予答复等不作为，不作为共同被告处理，应当按照当事人的不同的诉讼请求分别起诉。</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上下级行政机关被告的确定。第一，两个行政机关是上下级关系。遵循对外标准和盖章标准，对外发生法律效力的文书上盖章的行政机关为被告，共同盖章的行政机关是共同被告。第二，下级行政机关事先请示上级行政机关。如果下级行政机关的请示属于法定的强制的必经程序，且上级行政机关署名，则应当为共同被告；如果下级行政机关的请示属于任意性的行政程序，上级行政机关既未下达正式文书，也没有在行政法律文书上署名，则只能以下级行政机关作为被告。没有上下级关系之间的行政机关的批准行为成立合作行政关系，也应当以对外发生法律效力的文书上署名的机关为被告。第三，按照上级行政机关要求作出行政行为。在审查判断时应当考查下级行政机关是否被动地接受上级行政机关的委办命令、交办指令。下级行政机关被动接受上级行政机关的指令而作出行政行为应当遵循实际约束力标准，即如果上级行政机关的指令也构成一个有约束力的行政行为，下级行政机关据此作出行政行为，则上下级行政机关是共同被告；如果上级行政机关的指令仅仅是一个行政指导行为，对下级行政机关没有实际的约束力，则被诉行政行为仍然是下级行政机关的行为，应当列下级行政机关为被告。第四，上级行政机关交下级行政机关转办的行政行为，以下级行政机关为被告。强拆行为以作出强制拆除决定的行政机关为被告；没有强制拆除决定书的，以具体实施强制拆除行为的职能部门为被告。即政府及其相关职能部门、街道办事处等组织实施强制拆除的行政主体都是适格被告。在强制拆除类行政案件中，司法实践还存在有条件的以自认强拆主体为适格被告的情形。</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非行政机关的组织作为共同被告的情形。第一，单一被告的情形。《行诉法解释》第20条规定，行政机关组建并赋予行政管理职能但不具有独立承担法律责任能力的机构，以自己的名义作出行政行为，当事人不服提起诉讼的，应当以组建该机构的行政机关为被告。法律、法规或者规章授权行使行政职权的行政机关内设机构、派出机构或者其他组织，超出法定授权范围实施行政行为，当事人不服提起诉讼的，应当以实施该行为的机构或者组织为被告。没有法律、法规或者规章规定，行政机关授权其内设机构、派出机构或者其他组织行使行政职权的，属于《行政诉讼法》第26条规定的委托。当事人不服提起诉讼的，应当以该行政机关为被告。第二，行政机关组建临时机构的情形。应当考察临时机构能否独立承担法律责任。如果临时机构属于若干行政机关临时派员组织的，应当以这些行政机关作为共同被告；如果临时机构属于能独立承担法律责任的组织，应当以该临时机构作为被告；如果临时机构没有取得法定的行政主体资格，无论该临时机构盖何种章，一概以组建该临时机构的行政机关为被告。第三，行政机关和企业等非行政机关联合执法的情形。应当以作出决定的行政机关作为被告，不能以非行政机关的社会团体为被告。如果侵犯公民、法人和其他组织的合法权益，有可能需要承担赔偿责任的，非行政机关可作为第三人参加诉讼。第四，行政机关和党委联合执法的情形。行政机关和党委共同作出行政行为的，应当以行政机关作为被告。</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4）复议机关作共同被告。经复议的案件，复议机关决定维持原行政行为的，作出原行政行为的行政机关和复议机关是共同被告。经复议的案件，既可以由基层人民法院管辖，也可以由中级人民法院管辖。行政复议机关改变原行政行为的行政复议决定，应当以行政复议机关为被告。认为没有履行相应法定职责申请行政复议，行政复议机关受理后发现该行政机关没有相应法定职责，或者在受理前已经履行法定职责，行政复议机关驳回行政复议申请，应当以作出原行政行为的行政机关和复议机关为共同被告。</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b w:val="0"/>
          <w:bCs w:val="0"/>
          <w:color w:val="000000"/>
          <w:kern w:val="44"/>
          <w:sz w:val="28"/>
          <w:szCs w:val="28"/>
        </w:rPr>
      </w:pPr>
      <w:r>
        <w:rPr>
          <w:rFonts w:hint="eastAsia" w:ascii="仿宋_GB2312" w:hAnsi="仿宋" w:eastAsia="仿宋_GB2312" w:cs="仿宋"/>
          <w:color w:val="000000"/>
          <w:sz w:val="28"/>
          <w:szCs w:val="28"/>
        </w:rPr>
        <w:t>（四）行政委托情形下被告的确定</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1.行政授权和行政委托</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区分行政委托与行政授权最为关键的区别是是否有法律法规授权。如果有法律法规规章授权，属于行政授权，作出行政行为者是被告。否则属于行政委托，委托人为被告。被委托组织超出委托事项的范围，由委托的行政机关作为被告，被委托的组织作为第三人参加诉讼。</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如果法律明确规定，只有法律法规授权才可以作为被授权组织，那么，只有法律法规授权的组织才能作为行政诉讼被告，规章授权的组织不能作为被告，应当视为行政委托，由委托的行政机关作为被告。</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行政诉讼法》第26条第5款规定，由行政机关委托的组织所做的行政行为，委托的行政机关是被告。判断行政委托是否成立。第一，管理公共事务职能要素。委托人必须是有管理公共事务职能的组织。第二，物资技能要素。受委托人必须具备相应的技术鉴定、技术检验的能力。第三，人员要素。委托人必须具有熟悉有关法律法规规章和行政事务的工作人员。</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2.公务协作关系（事项委托、执行委托）中的行政诉讼被告</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当事人如果对于请求方的行政行为不服，应当以请求方行政机关为被告。被请求方的执行行为的性质取决于其是否超越请求方行政机关的公务协作范围。如果被请求方完全按照请求方行政机关的要求作出执行行为，则此执行行为属于实质意义上的事实行为，行政诉讼被告为请求方行政机关。如果被请求方行政机关的执行行为超出请求方行政机关要求协助执行的范围，则在超出范围内，以被请求行政机关作为被告。即请求方行政机关就其请求另一行政机关为公务协作行为以合法性承担责任。被请求方行政机关就其公务协作的执行行为负法律责任。</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b w:val="0"/>
          <w:bCs w:val="0"/>
          <w:color w:val="000000"/>
          <w:kern w:val="44"/>
          <w:sz w:val="28"/>
          <w:szCs w:val="28"/>
        </w:rPr>
      </w:pPr>
      <w:r>
        <w:rPr>
          <w:rFonts w:hint="eastAsia" w:ascii="仿宋_GB2312" w:hAnsi="仿宋" w:eastAsia="仿宋_GB2312" w:cs="仿宋"/>
          <w:color w:val="000000"/>
          <w:sz w:val="28"/>
          <w:szCs w:val="28"/>
        </w:rPr>
        <w:t>（五）行政诉讼被告资格的承继</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1.行政机关合并时的被告</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两个以上的行政机关合并，并且成立新的行政机关，属于新设合并。两个以上的行政机关合并，并未成立新的行政机关，而是保留一个或数个行政机关，属于吸收合并。</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不管是新设合并还是吸收合并，如果新的行政机关继续行使原行政机关的行政职权，新成立的行政机关作为行政诉讼被告。如果新的行政机关没有继续行使原行政机关的行政职权，新成立的行政机关不作为行政诉讼被告。如果行使原行政机关职权的是其他行政机关，则由其他行政机关作为行政诉讼被告。如果没有行政机关行使原行政机关的职权，则不存在着继续行使行政职权的行政机关，应当以原行政机关所属人民政府或者上一级行政机关为被告。</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如果被撤销或者合并的机关是复议机关，则被告根据以下办法确定：如果复议决定维持原行政行为的，则应当由原行政机关作为被告。如果复议决定撤销或变更原行政为行为的，应由继续行使职权的行政机关作为被告。没有继续行使职权的行政机关，由决定撤销或者上级行政机关指定的行政机关作为被告。</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2.行政机关分立时的被告</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原行政机关分立为两个以上的行政机关，分立后的行政机关仍然保留原行政机关的名称，是为吸收分立。原行政机关分立为两个以上的行政机关，原行政机关不再保留，是为新设分立。</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在吸收式分立的情况下，保留原行政机关名称的行政机关，属于继续行使职权的行政机关，应当为行政诉讼被告。在新设分立的情况下，原行政机关的职权被分解，如果原行政机关的权力包括分解后的若干行政机关的职权，则若干行政机关应当为共同被告。如果原行政机关的权力只是由其中一个行政机关继承着，则此行政机关为行政诉讼被告。</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（六）几种特殊情况被告的确定</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1.临时机构作为被告</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能独立承担法律责任的临时机构可以作为被告。经济开发区管理机构是适格的被告。</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2.军事机关作为被告</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军事机关如果是行政机关，属于法律法规授权的组织，可以作为行政诉讼被告。</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3.公路路政管理机构不能作为被告</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路养护总段（分段）根据委托授权只能是以委托单位名义行为，不具备行政主体资格。只要法条规定某行政机关可以授权另一行政机关或行政机构的，通常认定为委托。《行政诉讼法》上的授权主体，是立法机关而非行使行政职权的行政机关。</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4.代征代缴人不能成为行政诉讼的适格被告，应以税务机关作为被告</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代征代缴是一种义务而非行政权力。实质意义上的行政行为，必须通过税务机关才能进行。根据《税收征收管理法》第30条，税务机关必须给代征代缴人支付相应的报酬。代征代缴义务人履行义务并非基于税务机关的委托，而是基于法律规定的法律义务，所以，代征代缴不是典型的委托，也不是直接委托。</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5. 村委会能否成为行政诉讼被告</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根据《村民委员会组织法》第19条规定，村委会下列行政管理行为侵犯村民合法权利可以成为行政诉讼的被告：乡统筹、村提留等有关费用的收缴；村集体经济项目的立项、承包、产业结构调整；村公益事业的经费筹集和建设承包；村集体经济收益的管理和使用；村民的土地承包经营；宅基地的使用；优抚、救灾救济、扶贫、助残等款物的发放；计划生育工作；水电费及其他有偿服务费的收缴；村民户籍关系的变更；由村委会作出的侵害村民合法权益的其他行政管理行为。</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6.地方国有资产监督管理委员会具备行政诉讼被告资格</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国有资产管理监督机构是依照行政法规授权代表国家行使企业国有资产所有权界定职责的行政机关。2009年，最高人民法院行政审判庭作出的《关于地方国有资产监督管理委员会是否可以作为行政诉讼被告问题的答复》（[2009]行他字第14号）明确，地方国有资产监督管理委员会作出产权界定行为的，可为行政诉讼被告。</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7.因司法政策确定不可诉的其他情形</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比如市、县政府组织开展集体土地首次登记的行为不可诉等。</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三、第三人的确定</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（一）判断是否具有法律上的利害关系</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1.观察被诉行政行为是否已经侵犯了公民、法人或者其他组织的合法权益；</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2.观察被诉行政行为是否对其合法权益造成了不利影响。</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（二）第三人的两种情形</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1.同被诉行政行为有利害关系（权利丧失、减少或义务科与、增加），但没有提起诉讼的公民、法人或者其他组织；</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同案件处理结果有利害关系。通知同案件处理结果有利害关系的第三人参与诉讼，实际上是将一个已经开始的诉讼和一个今后可能发生的潜在的诉讼合并审理，从而达到防患于未然、简化诉讼、方便当事人诉讼、化解纠纷的目的。</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被诉行政行为，虽然没有使特定公民、法人或者其他组织丧失权利，也没有给其增加义务，但由于其是行政程序中的当事人，是行政机关所处理的事项的利害关系人。如果被诉行政行为的效力或者内容发生变化，或者特定机关对该事项进行重新处理，这可能与公民、法人或者其他组织的权利义务有利害关系。这种利害关系可能是享受一定的权利，也可能是丧失一定的权利；可能是减少一定的义务，也可能是增加一定的义务；可能是承担一定的法律责任，也可能是减免一定的法律责任。</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被诉行政行为对现存权利义务关系制造了冲突和矛盾。被诉行政行为虽然没有直接涉及有关公民、法人或者其他组织的权利或者义务，但是在事实上与该公民、法人或者其他组织现存的权利义务关系或者职权职责关系发生内在的冲突或者矛盾。被诉行政行为是否有效，将关系到该公民、法人或者其他组织现成的权利义务关系或者职权职务关系是否发生变化。</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44"/>
          <w:sz w:val="28"/>
          <w:szCs w:val="28"/>
        </w:rPr>
      </w:pPr>
      <w:r>
        <w:rPr>
          <w:rFonts w:hint="eastAsia" w:ascii="仿宋_GB2312" w:hAnsi="仿宋" w:eastAsia="仿宋_GB2312" w:cs="仿宋"/>
          <w:color w:val="000000"/>
          <w:sz w:val="28"/>
          <w:szCs w:val="28"/>
        </w:rPr>
        <w:t>（3）被诉行政行为认定的事实造成不利后果。被诉行政行为虽然没有直接涉及有关公民、法人或者其他组织的权利义务，但是行政行为所认定的事实或者人民法院在审查被诉行政行为所认定的事实，作为一种法律事实，在正常的法治状态下，势必引起对该公民、法人或者其他组织不利的法律后果，则该公民、法人或者其他组织也应被视为与被诉行政行为有法律上利害关系的人。</w:t>
      </w:r>
    </w:p>
    <w:p>
      <w:pPr>
        <w:pStyle w:val="3"/>
        <w:keepNext w:val="0"/>
        <w:keepLines w:val="0"/>
        <w:pageBreakBefore w:val="0"/>
        <w:widowControl w:val="0"/>
        <w:wordWrap/>
        <w:bidi w:val="0"/>
        <w:adjustRightInd/>
        <w:snapToGrid/>
        <w:spacing w:before="0" w:after="0" w:line="500" w:lineRule="exact"/>
        <w:ind w:firstLine="522" w:firstLineChars="200"/>
        <w:jc w:val="both"/>
        <w:rPr>
          <w:rFonts w:hint="eastAsia" w:ascii="楷体" w:hAnsi="楷体" w:eastAsia="楷体" w:cs="仿宋"/>
          <w:bCs w:val="0"/>
          <w:color w:val="000000"/>
          <w:sz w:val="28"/>
          <w:szCs w:val="28"/>
        </w:rPr>
      </w:pPr>
      <w:r>
        <w:rPr>
          <w:rFonts w:hint="eastAsia" w:ascii="楷体" w:hAnsi="楷体" w:eastAsia="楷体" w:cs="仿宋"/>
          <w:bCs w:val="0"/>
          <w:color w:val="000000"/>
          <w:sz w:val="28"/>
          <w:szCs w:val="28"/>
        </w:rPr>
        <w:t>第五节  判断是否超过法定的起诉期限</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一、判断起诉是否已超过法定起诉期限</w:t>
      </w:r>
    </w:p>
    <w:p>
      <w:pPr>
        <w:keepNext w:val="0"/>
        <w:keepLines w:val="0"/>
        <w:pageBreakBefore w:val="0"/>
        <w:widowControl w:val="0"/>
        <w:numPr>
          <w:ilvl w:val="0"/>
          <w:numId w:val="20"/>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一般起诉期限6个月。《行政诉讼法》第46条第1款规定：公民、法人或者其他组织直接向人民法院提起诉讼的，应当自知道或者应当知道作出行政行为之日起六个月内提出。</w:t>
      </w:r>
    </w:p>
    <w:p>
      <w:pPr>
        <w:keepNext w:val="0"/>
        <w:keepLines w:val="0"/>
        <w:pageBreakBefore w:val="0"/>
        <w:widowControl w:val="0"/>
        <w:numPr>
          <w:ilvl w:val="0"/>
          <w:numId w:val="20"/>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不履行法定职责的起诉期限亦为6个月，不是2个月。《行政诉讼法》第47条规定，“公民、法人或者其他组织申请行政机关履行保护其人身权、财产权等合法权益的法定职责，行政机关在接到申请之日起两个月内不履行的，公民、法人或者其他组织可以向人民法院提起诉讼。法律、法规对行政机关履行职责的期限另有规定的，从其规定。公民、法人或者其他组织在紧急情况下请求行政机关履行保护其人身权、财产权等合法权益的法定职责，行政机关不履行的，提起诉讼不受前款规定期限的限制。”</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《行诉法解释》第66条规定，公民、法人或者其他组织依照《行政诉讼法》第四十七条第一款的规定，对行政机关不履行法定职责提起诉讼的，应当在行政机关履行法定职责期限届满之日起六个月内提出。</w:t>
      </w:r>
    </w:p>
    <w:p>
      <w:pPr>
        <w:keepNext w:val="0"/>
        <w:keepLines w:val="0"/>
        <w:pageBreakBefore w:val="0"/>
        <w:widowControl w:val="0"/>
        <w:numPr>
          <w:ilvl w:val="0"/>
          <w:numId w:val="20"/>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特殊起诉期限。《行政诉讼法》第46条第1款规定：公民、法人或者其他组织直接向人民法院提起诉讼的，应当自知道或者应当知道作出行政行为之日起六个月内提出。法律另有规定的除外。</w:t>
      </w:r>
      <w:r>
        <w:rPr>
          <w:rFonts w:hint="eastAsia" w:ascii="仿宋_GB2312" w:hAnsi="仿宋" w:eastAsia="仿宋_GB2312" w:cs="仿宋"/>
          <w:color w:val="000000"/>
          <w:kern w:val="2"/>
          <w:sz w:val="28"/>
          <w:szCs w:val="28"/>
        </w:rPr>
        <w:t>例如，《邮政法》《统计法》《环境保护法》中规定的起诉期限为15日。</w:t>
      </w:r>
    </w:p>
    <w:p>
      <w:pPr>
        <w:keepNext w:val="0"/>
        <w:keepLines w:val="0"/>
        <w:pageBreakBefore w:val="0"/>
        <w:widowControl w:val="0"/>
        <w:numPr>
          <w:ilvl w:val="0"/>
          <w:numId w:val="20"/>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最长起诉期限5年和20年。《行政诉讼法》第46条第2款规定：因不动产提起诉讼的案件自行政行为作出之日起超过二十年，其他案件自行政行为作出之日起超过五年提起诉讼的，人民法院不予受理。5年和20年最长起诉期限，其适用前提是公民、法人或者其他组织不知道行政机关作出的行政行为内容。</w:t>
      </w:r>
    </w:p>
    <w:p>
      <w:pPr>
        <w:keepNext w:val="0"/>
        <w:keepLines w:val="0"/>
        <w:pageBreakBefore w:val="0"/>
        <w:widowControl w:val="0"/>
        <w:numPr>
          <w:ilvl w:val="0"/>
          <w:numId w:val="20"/>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法定扣除和酌定延长起诉期限。《行政诉讼法》第48条规定，“公民、法人或者其他组织因不可抗力或者其他不属于其自身的原因耽误起诉期限的，被耽误的时间不计算在起诉期限内。公民、法人或者其他组织因前款规定以外的其他特殊情况耽误起诉期限的，在障碍消除后十日内，可以申请延长期限，是否准许由人民法院决定。”</w:t>
      </w:r>
    </w:p>
    <w:p>
      <w:pPr>
        <w:keepNext w:val="0"/>
        <w:keepLines w:val="0"/>
        <w:pageBreakBefore w:val="0"/>
        <w:widowControl w:val="0"/>
        <w:numPr>
          <w:ilvl w:val="0"/>
          <w:numId w:val="20"/>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并提出行政赔偿请求的期限。根据《最高人民法院关于审理行政赔偿案件若干问题的规定》第23条第1款，公民、法人或者其他组织在提起行政诉讼的同时一并提出行政赔偿请求的，其起诉期限按照行政诉讼起诉期限的规定执行。</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二、判断起算点</w:t>
      </w:r>
    </w:p>
    <w:p>
      <w:pPr>
        <w:keepNext w:val="0"/>
        <w:keepLines w:val="0"/>
        <w:pageBreakBefore w:val="0"/>
        <w:widowControl w:val="0"/>
        <w:numPr>
          <w:ilvl w:val="0"/>
          <w:numId w:val="21"/>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知道或应当知道行政行为的内容和起诉期限的起算点是知道或者应当知道作出行政行为之日</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《行政诉讼法》第46条第1款规定：公民、法人或者其他组织直接向人民法院提起诉讼的，应当自知道或者应当知道作出行政行为之日起六个月内提出。</w:t>
      </w:r>
    </w:p>
    <w:p>
      <w:pPr>
        <w:keepNext w:val="0"/>
        <w:keepLines w:val="0"/>
        <w:pageBreakBefore w:val="0"/>
        <w:widowControl w:val="0"/>
        <w:numPr>
          <w:ilvl w:val="0"/>
          <w:numId w:val="21"/>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不履行法定职责的起算点是行政机关履行法定职责期限届满之日</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《行诉法解释》第66条规定，公民、法人或者其他组织依照《行政诉讼法》第四十七条第一款的规定，对行政机关不履行法定职责提起诉讼的，应当在行政机关履行法定职责期限届满之日起六个月内提出。</w:t>
      </w:r>
    </w:p>
    <w:p>
      <w:pPr>
        <w:keepNext w:val="0"/>
        <w:keepLines w:val="0"/>
        <w:pageBreakBefore w:val="0"/>
        <w:widowControl w:val="0"/>
        <w:numPr>
          <w:ilvl w:val="0"/>
          <w:numId w:val="21"/>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知道或应当知道行政行为的内容但未告知起诉期限时起算点是知道或者应当知道起诉期限之日</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行诉法解释》第64条第1款规定：“行政机关作出行政行为时，未告知公民、法人或者其他组织起诉期限的，起诉期限从公民、法人或者其他组织知道或者应当知道起诉期限之日起计算，但从知道或者应当知道行政行为内容之日起最长不得超过一年。”</w:t>
      </w:r>
    </w:p>
    <w:p>
      <w:pPr>
        <w:keepNext w:val="0"/>
        <w:keepLines w:val="0"/>
        <w:pageBreakBefore w:val="0"/>
        <w:widowControl w:val="0"/>
        <w:numPr>
          <w:ilvl w:val="0"/>
          <w:numId w:val="21"/>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不知道且不应当知道行政行为起算点是自行政行为作出之日起5年或20年</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《行政诉讼法》第46条第2款规定：因不动产提起诉讼的案件自行政行为作出之日起超过二十年，其他案件自行政行为作出之日起超过五年提起诉讼的，人民法院不予受理。</w:t>
      </w:r>
    </w:p>
    <w:p>
      <w:pPr>
        <w:pStyle w:val="3"/>
        <w:keepNext w:val="0"/>
        <w:keepLines w:val="0"/>
        <w:pageBreakBefore w:val="0"/>
        <w:widowControl w:val="0"/>
        <w:wordWrap/>
        <w:bidi w:val="0"/>
        <w:adjustRightInd/>
        <w:snapToGrid/>
        <w:spacing w:before="0" w:after="0" w:line="500" w:lineRule="exact"/>
        <w:ind w:firstLine="522" w:firstLineChars="200"/>
        <w:jc w:val="both"/>
        <w:rPr>
          <w:rFonts w:hint="eastAsia" w:ascii="楷体" w:hAnsi="楷体" w:eastAsia="楷体" w:cs="仿宋"/>
          <w:bCs w:val="0"/>
          <w:color w:val="000000"/>
          <w:sz w:val="28"/>
          <w:szCs w:val="28"/>
        </w:rPr>
      </w:pPr>
      <w:r>
        <w:rPr>
          <w:rFonts w:hint="eastAsia" w:ascii="楷体" w:hAnsi="楷体" w:eastAsia="楷体" w:cs="仿宋"/>
          <w:bCs w:val="0"/>
          <w:color w:val="000000"/>
          <w:sz w:val="28"/>
          <w:szCs w:val="28"/>
        </w:rPr>
        <w:t>第六节  管辖</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到哪个法院起诉。经湖南高院党组研究并报最高法院批复同意，决定在全省全面开展一审行政案件集中管辖改革，并制定下发了《关于开展全省基层人民法院一审行政案件集中管辖工作的实施方案》。根据该实施方案，长沙市、衡阳市、怀化市基层人民法院一审行政案件分别由长沙、衡阳、怀化3个铁路运输法院集中管辖，其他市州根据地理位置、交通条件、案件数量、审判力量等因素，分别确定两个基层人民法院进行集中管辖。集中管辖时间自2019年5月1日起全面实施，长沙分河东、河西两大片区，采取5月1日和10月1日两批次开展集中管辖的方式。集中管辖实施后，非集中管辖法院对辖区一审行政案件不再行使管辖权，在集中管辖实施前已经开始审查或审理但未处理完毕的一审行政案件，继续处理完毕。</w:t>
      </w:r>
    </w:p>
    <w:p>
      <w:pPr>
        <w:pStyle w:val="3"/>
        <w:keepNext w:val="0"/>
        <w:keepLines w:val="0"/>
        <w:pageBreakBefore w:val="0"/>
        <w:widowControl w:val="0"/>
        <w:wordWrap/>
        <w:bidi w:val="0"/>
        <w:adjustRightInd/>
        <w:snapToGrid/>
        <w:spacing w:before="0" w:after="0" w:line="500" w:lineRule="exact"/>
        <w:ind w:firstLine="522" w:firstLineChars="200"/>
        <w:jc w:val="both"/>
        <w:rPr>
          <w:rFonts w:hint="eastAsia" w:ascii="楷体" w:hAnsi="楷体" w:eastAsia="楷体" w:cs="仿宋"/>
          <w:bCs w:val="0"/>
          <w:color w:val="000000"/>
          <w:sz w:val="28"/>
          <w:szCs w:val="28"/>
        </w:rPr>
      </w:pPr>
      <w:r>
        <w:rPr>
          <w:rFonts w:hint="eastAsia" w:ascii="楷体" w:hAnsi="楷体" w:eastAsia="楷体" w:cs="仿宋"/>
          <w:bCs w:val="0"/>
          <w:color w:val="000000"/>
          <w:sz w:val="28"/>
          <w:szCs w:val="28"/>
        </w:rPr>
        <w:t>第七节  诉讼请求的设计</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诉讼请求的设计可以参照《行诉法解释》明确行政诉讼的诉讼请求。</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《行诉法解释》第68条规定，《行政诉讼法》第49条第3项规定的“有具体的诉讼请求”是指：</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（一）请求判决撤销或者变更行政行为；</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（二）请求判决行政机关履行特定法定职责或者给付义务；</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（三）请求判决确认行政行为违法；</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（四）请求判决确认行政行为无效；</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（五）请求判决行政机关予以赔偿或者补偿；</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（六）请求解决行政协议争议；</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（七）请求一并审查规章以下规范性文件；</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（八）请求一并解决相关民事争议；</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（九）其他诉讼请求。</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当事人单独或者一并提起行政赔偿、补偿诉讼的，应当有具体的赔偿、补偿事项以及数额；请求一并审查规章以下规范性文件的，应当提供明确的文件名称或者审查对象；请求一并解决相关民事争议的，应当有具体的民事诉讼请求。</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代理相对人提起行政诉讼，确定诉讼请求是一项细致、复杂的工作，需要根据个案的具体情况具体研判。前述列举仅是倡导和概括性列举，在具体案件中，需要根据被诉行政行为的种类、性质以及转化情况审慎确定具体诉讼请求。</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一、行政处罚、行政强制等行政执法行为</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相对人不服行政机关送达的行政处罚、责令限期改正违法行为、行政强制等行政执法行为起诉的，诉讼请求可以结合执法文书的具体内容和结果在（一）（三）（四）（七）等项中确定。</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二、行政协议</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相对人对行政协议的签订、履行等有争议的，应当按照《行政诉讼法》第101条规定，参照《民事诉讼法》的相关规定确定请求继续履行、解除、撤销协议或者确认协议无效以及主张违约金、赔偿损失等诉讼请求。因国家政策变化导致行政协议变更或者解除时的诉讼请求确定，要根据个案情况审慎判断。不影响协议效力的，选择解除协议。</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三、没有收到行政机关的相关侵益性文书</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相对人对没有收到行政机关的相关侵益性文书，即发生物权等合法权益受损的，可以根据物权受损的程度以及有无恢复的可能等具体情况提出恢复原状或者赔偿损失的诉讼请求。涉权性会议纪要未经告知直接进入执行程序的，参照前述确定诉讼请求。</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四、不主动履行其职责</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相对人对行政机关不主动履行其职责的，可以直接起诉行政机关履行特定法定职责。政府研究处理相关特定事项的会议纪要议定的行政机关职责，经过送达或者告知的，会议纪要议定的职责转化为该行政机关的法定职责，可以提出请求履行会议纪要议定事项职责的请求。</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五、征地拆迁、城中村改造</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相对人对征地拆迁、城中村改造等一系列行政行为不服的，要按照过程性行政行为被结果性行政行为吸收的原则确定诉讼请求。</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六、确认行政行为违法</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《行政诉讼法》第70条的规定，行政行为程序轻微违法，但对于原告权利不产生实际影响的，人民法院判决确认违法，但不撤销行政行为。因此，确认行政行为违法的诉讼请求时，代理人要向相对人充分释明：</w:t>
      </w:r>
    </w:p>
    <w:p>
      <w:pPr>
        <w:keepNext w:val="0"/>
        <w:keepLines w:val="0"/>
        <w:pageBreakBefore w:val="0"/>
        <w:widowControl w:val="0"/>
        <w:numPr>
          <w:ilvl w:val="0"/>
          <w:numId w:val="22"/>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人民法院判决确认行政行为违法，并不必然产生行政赔偿；</w:t>
      </w:r>
    </w:p>
    <w:p>
      <w:pPr>
        <w:keepNext w:val="0"/>
        <w:keepLines w:val="0"/>
        <w:pageBreakBefore w:val="0"/>
        <w:widowControl w:val="0"/>
        <w:numPr>
          <w:ilvl w:val="0"/>
          <w:numId w:val="22"/>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人民法院判决确认行政行为违法，但不撤销被诉行政行为，被诉行政行为的效力仍予以保留。</w:t>
      </w:r>
    </w:p>
    <w:p>
      <w:pPr>
        <w:pStyle w:val="2"/>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outlineLvl w:val="9"/>
        <w:rPr>
          <w:rFonts w:hint="eastAsia" w:ascii="黑体" w:hAnsi="黑体" w:eastAsia="黑体" w:cs="仿宋"/>
          <w:b w:val="0"/>
          <w:bCs/>
          <w:color w:val="000000"/>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黑体" w:hAnsi="黑体" w:eastAsia="黑体" w:cs="仿宋"/>
          <w:b w:val="0"/>
          <w:bCs/>
          <w:color w:val="000000"/>
          <w:sz w:val="28"/>
          <w:szCs w:val="28"/>
          <w:lang w:val="en-US" w:eastAsia="zh-CN"/>
        </w:rPr>
      </w:pPr>
      <w:bookmarkStart w:id="60" w:name="_Toc19232"/>
      <w:r>
        <w:rPr>
          <w:rFonts w:hint="eastAsia" w:ascii="黑体" w:hAnsi="黑体" w:eastAsia="黑体" w:cs="仿宋"/>
          <w:b w:val="0"/>
          <w:bCs/>
          <w:color w:val="000000"/>
          <w:sz w:val="28"/>
          <w:szCs w:val="28"/>
          <w:lang w:val="en-US" w:eastAsia="zh-CN"/>
        </w:rPr>
        <w:t>第三章   行政诉讼程序的启动与推进</w:t>
      </w:r>
      <w:bookmarkEnd w:id="60"/>
    </w:p>
    <w:p>
      <w:pPr>
        <w:pStyle w:val="3"/>
        <w:keepNext w:val="0"/>
        <w:keepLines w:val="0"/>
        <w:pageBreakBefore w:val="0"/>
        <w:widowControl w:val="0"/>
        <w:wordWrap/>
        <w:bidi w:val="0"/>
        <w:adjustRightInd/>
        <w:snapToGrid/>
        <w:spacing w:before="0" w:after="0" w:line="500" w:lineRule="exact"/>
        <w:ind w:firstLine="522" w:firstLineChars="200"/>
        <w:jc w:val="both"/>
        <w:rPr>
          <w:rFonts w:hint="eastAsia" w:ascii="楷体" w:hAnsi="楷体" w:eastAsia="楷体" w:cs="仿宋"/>
          <w:bCs w:val="0"/>
          <w:color w:val="000000"/>
          <w:sz w:val="28"/>
          <w:szCs w:val="28"/>
        </w:rPr>
      </w:pPr>
      <w:r>
        <w:rPr>
          <w:rFonts w:hint="eastAsia" w:ascii="楷体" w:hAnsi="楷体" w:eastAsia="楷体" w:cs="仿宋"/>
          <w:bCs w:val="0"/>
          <w:color w:val="000000"/>
          <w:sz w:val="28"/>
          <w:szCs w:val="28"/>
        </w:rPr>
        <w:t>第一节   立案与管辖权异议</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一、立案</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（一）证据材料</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在立案阶段，公民、法人或者其他组织应当提供如下三方面的证据材料：</w:t>
      </w:r>
    </w:p>
    <w:p>
      <w:pPr>
        <w:keepNext w:val="0"/>
        <w:keepLines w:val="0"/>
        <w:pageBreakBefore w:val="0"/>
        <w:widowControl w:val="0"/>
        <w:numPr>
          <w:ilvl w:val="0"/>
          <w:numId w:val="23"/>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公民、法人或者其他组织身份或登记的证明；</w:t>
      </w:r>
    </w:p>
    <w:p>
      <w:pPr>
        <w:keepNext w:val="0"/>
        <w:keepLines w:val="0"/>
        <w:pageBreakBefore w:val="0"/>
        <w:widowControl w:val="0"/>
        <w:numPr>
          <w:ilvl w:val="0"/>
          <w:numId w:val="23"/>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提供有关行政行为存在的证据材料以证明被诉行政行为客观存在；</w:t>
      </w:r>
    </w:p>
    <w:p>
      <w:pPr>
        <w:keepNext w:val="0"/>
        <w:keepLines w:val="0"/>
        <w:pageBreakBefore w:val="0"/>
        <w:widowControl w:val="0"/>
        <w:numPr>
          <w:ilvl w:val="0"/>
          <w:numId w:val="23"/>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提供具备法律上的利害关系等证据材料以证明被诉行政行为和自己存在着关联性。</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（二）不予登记立案</w:t>
      </w:r>
    </w:p>
    <w:p>
      <w:pPr>
        <w:keepNext w:val="0"/>
        <w:keepLines w:val="0"/>
        <w:pageBreakBefore w:val="0"/>
        <w:widowControl w:val="0"/>
        <w:numPr>
          <w:ilvl w:val="0"/>
          <w:numId w:val="24"/>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所诉事项属于人民法院主管，但违法起诉或者不符合法律规定；</w:t>
      </w:r>
    </w:p>
    <w:p>
      <w:pPr>
        <w:keepNext w:val="0"/>
        <w:keepLines w:val="0"/>
        <w:pageBreakBefore w:val="0"/>
        <w:widowControl w:val="0"/>
        <w:numPr>
          <w:ilvl w:val="0"/>
          <w:numId w:val="24"/>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所诉事项不属于人民法院主管；</w:t>
      </w:r>
    </w:p>
    <w:p>
      <w:pPr>
        <w:keepNext w:val="0"/>
        <w:keepLines w:val="0"/>
        <w:pageBreakBefore w:val="0"/>
        <w:widowControl w:val="0"/>
        <w:numPr>
          <w:ilvl w:val="0"/>
          <w:numId w:val="24"/>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涉及危害国家主权和领土完整、危害国家安全、破坏国家统一和民族团结、破坏国家宗教政策，如对国家宗教、民族政策等基本制度的起诉；</w:t>
      </w:r>
    </w:p>
    <w:p>
      <w:pPr>
        <w:keepNext w:val="0"/>
        <w:keepLines w:val="0"/>
        <w:pageBreakBefore w:val="0"/>
        <w:widowControl w:val="0"/>
        <w:numPr>
          <w:ilvl w:val="0"/>
          <w:numId w:val="24"/>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政治敏感类的案件，如针对国家领导人等政治人物的起诉、具有特殊政治目的的起诉；</w:t>
      </w:r>
    </w:p>
    <w:p>
      <w:pPr>
        <w:keepNext w:val="0"/>
        <w:keepLines w:val="0"/>
        <w:pageBreakBefore w:val="0"/>
        <w:widowControl w:val="0"/>
        <w:numPr>
          <w:ilvl w:val="0"/>
          <w:numId w:val="24"/>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涉及国防、外交、意识形态等领域的起诉；</w:t>
      </w:r>
    </w:p>
    <w:p>
      <w:pPr>
        <w:keepNext w:val="0"/>
        <w:keepLines w:val="0"/>
        <w:pageBreakBefore w:val="0"/>
        <w:widowControl w:val="0"/>
        <w:numPr>
          <w:ilvl w:val="0"/>
          <w:numId w:val="24"/>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涉及突发敏感类的案件，如涉及国家网络监管的行为；</w:t>
      </w:r>
    </w:p>
    <w:p>
      <w:pPr>
        <w:keepNext w:val="0"/>
        <w:keepLines w:val="0"/>
        <w:pageBreakBefore w:val="0"/>
        <w:widowControl w:val="0"/>
        <w:numPr>
          <w:ilvl w:val="0"/>
          <w:numId w:val="24"/>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涉及国家政策调整或者历史遗留问题，如企业改制、军人安置、民办教师等由党委、政府统筹解决的事项。</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二、管辖权及异议</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（一）级别管辖</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1.基层人民法院的管辖</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除了《行政诉讼法》规定的特殊情况外，一般行政案件都由基层人民法院管辖。</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2.中级人民法院的管辖</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（1）被告为县级以上人民政府的案件，主要集中在土地、林地、矿产等所有权和使用权争议案件、征用土地以及安置补偿案件、城镇拆迁及安置补偿案件。</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（2）法院不再判断基层人民法院是否适宜审理，也不再将以县级人民政府名义办理不动产物权登记的案件排除在中院管辖之外。</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（3）县级以上人民政府经行政复议作出的维持决定，原则上视为县级以上人民政府所作的行政行为，一般应当以原行政行为机关所在地法院管辖为宜。</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（4）海事法院审理第一审海事行政案件，海事法院所在地的高级人民法院审理海事行政上诉案件，由行政审判庭负责审理。</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5）下列第一审行政案件由北京知识产权法院管辖：国务院部门作出的有关专利、商标、植物新品种、集成电路布图设计等知识产权的授权确权裁定或者决定的；不服国务院部门作出的有关专利、植物新品种、集成电路布图设计的强制许可决定以及强制许可使用费或者报酬的裁决的；不服国务院部门作出的涉及知识产权授权确权的其他行政行为的。</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b w:val="0"/>
          <w:color w:val="000000"/>
          <w:sz w:val="28"/>
          <w:szCs w:val="28"/>
        </w:rPr>
      </w:pPr>
      <w:r>
        <w:rPr>
          <w:rFonts w:hint="eastAsia" w:ascii="仿宋_GB2312" w:hAnsi="仿宋" w:eastAsia="仿宋_GB2312" w:cs="仿宋"/>
          <w:color w:val="000000"/>
          <w:sz w:val="28"/>
          <w:szCs w:val="28"/>
        </w:rPr>
        <w:t>（二）地域管辖</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1.一般地域管辖</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行政案件由最初作出行政行为的行政机关所在地人民法院管辖。经复议的案件，也可以由复议机关所在地人民法院管辖。</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2.特殊地域管辖</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（1）专属管辖。第一，不动产所有权、使用权而提起的诉讼，如因土地权属引起的诉讼。第二，因违章建筑的房屋和其他建筑物的拆除提起的诉讼。第三，因污染不动产，如污染鱼塘、水流等提起的诉讼。</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2）共同管辖。第一，经过复议的案件，由最初作出行政行为的行政机关所在地，或者由复议机关所在地人民法院管辖。第二，对限制人身自由的行政强制措施不服提起的诉讼，由被告所在地或者原告所在地人民法院管辖。第三，因不动产提起的诉讼由不动产所在地人民法院管辖，如果不动产所在地跨连两个以上人民法院，这些人民法院对案件都有管辖权。</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（三）管辖权异议的处理</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1.人民法院对管辖权异议进行审查以后，如果异议成立的，应当按照《行政诉讼法》第21条的规定裁定将案件移送有管辖权的人民法院管辖。如果认为管辖异议不成立的，裁定驳回当事人的管辖异议申请。申请管辖异议的当事人对驳回管辖异议的裁定不服，可以在法定期限内提出上诉。当事人在接到该最终裁定后，必须按上述裁定书指定的管辖人民法院参加诉讼，否则即视为自动撤诉或不应诉。逾期不提出上诉和二审人民法院裁定驳回上诉维持原裁定的，原审人民法院应当继续本案的审理。当事人就原审人民法院有无管辖权问题提出再审的，不影响原审人民法院对案件的继续审理。</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2.对指定管辖裁定有异议的，不适用管辖异议的规定。</w:t>
      </w:r>
    </w:p>
    <w:p>
      <w:pPr>
        <w:pStyle w:val="3"/>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仿宋" w:eastAsia="仿宋_GB2312" w:cs="仿宋"/>
          <w:bCs w:val="0"/>
          <w:color w:val="000000"/>
          <w:sz w:val="28"/>
          <w:szCs w:val="28"/>
        </w:rPr>
      </w:pPr>
      <w:r>
        <w:rPr>
          <w:rFonts w:hint="eastAsia" w:ascii="楷体" w:hAnsi="楷体" w:eastAsia="楷体" w:cs="仿宋"/>
          <w:bCs w:val="0"/>
          <w:color w:val="000000"/>
          <w:sz w:val="28"/>
          <w:szCs w:val="28"/>
        </w:rPr>
        <w:t>第二节  一审、二审、审判监督与执行</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一、一审</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Style w:val="22"/>
          <w:rFonts w:hint="eastAsia" w:ascii="仿宋_GB2312" w:hAnsi="仿宋" w:eastAsia="仿宋_GB2312" w:cs="仿宋"/>
          <w:color w:val="000000"/>
          <w:sz w:val="28"/>
          <w:szCs w:val="28"/>
        </w:rPr>
        <w:t>（一）调解</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行政诉讼原则上不适用调解。《行政诉讼法》第60条规定，“人民法院审理行政案件不适用调解，但是行政赔偿、补偿以及行政机关行使法律法规规定的自由裁量权的案件可以调解。调解应当遵循自愿、合法原则，不得损害国家利益、社会公共利益和他人合法权益。”</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调解结案和调解工作有区别。《行政诉讼法》虽然明确规定了行政案件不适用调解，但是对人民法院做调解工作还是允许的。不适用调解的原则指的是人民法院审理行政案件时不着重调解，也不能以调解为结案方式，并不排斥人民法院可以在裁判之前对双方当事人就客观事实与行政机关的执法情况做思想工作，这种工作的结果是使原有错误的一方认识错误。如果是相对人认识错误就要有相对人主动撤诉，如果是被告认识错误，就可由被告主动撤销行政处理决定。</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有自由裁量权案件的调解。对于自由裁量权的监督，主要通过《行政诉讼法》规定的“滥用职权”“明显不当”等事由进行。在这种情况下，如果行政相对人对行政机关滥用职权或者明显不当等为由提起诉讼，且行政机关具有在一定幅度内作出行政行为的行政酌处权，即行政机关享有“裁量余地”或者享有“自由裁量权”的情形下，存在一定的调解余地。</w:t>
      </w:r>
    </w:p>
    <w:p>
      <w:pPr>
        <w:keepNext w:val="0"/>
        <w:keepLines w:val="0"/>
        <w:pageBreakBefore w:val="0"/>
        <w:widowControl w:val="0"/>
        <w:wordWrap/>
        <w:bidi w:val="0"/>
        <w:adjustRightInd/>
        <w:snapToGrid/>
        <w:spacing w:after="0" w:line="500" w:lineRule="exact"/>
        <w:ind w:firstLine="522" w:firstLineChars="200"/>
        <w:jc w:val="both"/>
        <w:rPr>
          <w:rStyle w:val="22"/>
          <w:rFonts w:hint="eastAsia" w:ascii="仿宋_GB2312" w:hAnsi="仿宋" w:eastAsia="仿宋_GB2312" w:cs="仿宋"/>
          <w:color w:val="000000"/>
          <w:sz w:val="28"/>
          <w:szCs w:val="28"/>
        </w:rPr>
      </w:pPr>
      <w:r>
        <w:rPr>
          <w:rStyle w:val="22"/>
          <w:rFonts w:hint="eastAsia" w:ascii="仿宋_GB2312" w:hAnsi="仿宋" w:eastAsia="仿宋_GB2312" w:cs="仿宋"/>
          <w:color w:val="000000"/>
          <w:sz w:val="28"/>
          <w:szCs w:val="28"/>
        </w:rPr>
        <w:t>（二）撤诉</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1.人民法院裁定不准许原告撤诉，如果原告仍拒不到庭的，可以比照《行政诉讼法》第48条的规定缺席判决。</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2.人民法院裁定准许原告撤诉，原告以同一事实和理由再起诉的，人民法院不予受理。</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3.被告行政机关在第一审程序中改变其所做的行政行为，如果原告申请撤诉未获准许，或者原告不申请撤诉的，人民法院应继续审理被诉的原行政行为。</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4.被告在一审判决前同原告达成赔偿协议，原告申请撤诉的，人民法院应当依法予以审查并裁定是否准许。</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5.上诉人经合法传唤无正当理由拒不到庭，或者未经法庭许可中途退庭的，可以按撤诉处理。</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6.上诉人申请撤诉，人民法院裁定不予准许的，原告或上诉人经合法传唤无正当理由拒不到庭，或者未经法庭许可而中途退庭的，人民法院可以缺席判决。</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二、二审</w:t>
      </w:r>
    </w:p>
    <w:p>
      <w:pPr>
        <w:pStyle w:val="4"/>
        <w:keepNext w:val="0"/>
        <w:keepLines w:val="0"/>
        <w:pageBreakBefore w:val="0"/>
        <w:widowControl w:val="0"/>
        <w:wordWrap/>
        <w:bidi w:val="0"/>
        <w:adjustRightInd/>
        <w:snapToGrid/>
        <w:spacing w:before="0" w:after="0" w:line="500" w:lineRule="exact"/>
        <w:ind w:firstLine="522" w:firstLineChars="200"/>
        <w:jc w:val="both"/>
        <w:rPr>
          <w:rStyle w:val="22"/>
          <w:rFonts w:hint="eastAsia" w:ascii="仿宋_GB2312" w:hAnsi="仿宋" w:eastAsia="仿宋_GB2312" w:cs="仿宋"/>
          <w:b/>
          <w:bCs w:val="0"/>
          <w:color w:val="000000"/>
          <w:sz w:val="28"/>
          <w:szCs w:val="24"/>
        </w:rPr>
      </w:pPr>
      <w:r>
        <w:rPr>
          <w:rStyle w:val="22"/>
          <w:rFonts w:hint="eastAsia" w:ascii="仿宋_GB2312" w:hAnsi="仿宋" w:eastAsia="仿宋_GB2312" w:cs="仿宋"/>
          <w:b/>
          <w:bCs w:val="0"/>
          <w:color w:val="000000"/>
          <w:sz w:val="28"/>
          <w:szCs w:val="24"/>
        </w:rPr>
        <w:t>（一）上诉和上诉的受理</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1.一审人民法院作出判决和裁定后，当事人均提起上诉的，上诉各方均为上诉人。</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2.普通共同诉讼无论是共同原告还是共同被告，任何一人的上诉对其他当事人没有约束力。</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3.必要共同诉讼必须合并审理。如果上诉后当事人的诉讼请求或者请求目的呈现同一性（例如甲乙共同殴打丙，甲乙均提起撤销之诉或均提起变更诉讼），即所谓不可分请求，其中一个人上诉的亦视为其他共同诉讼人上诉；反之，如果当事人的诉讼请求未呈现同一性的（例如甲乙共同殴打丙，甲提起撤销诉讼，乙却提起变更诉讼），即所谓可分请求，适用普通共同诉讼的规则。</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4.在第二审程序中，作为当事人的法人或者其他组织分立的，人民法院可以直接将分立后的法人或者其他组织列为共同诉讼人；合并的，将合并后的法人或者其他组织列为当事人。不必将案件发回原审人民法院重审。</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5.在上诉期间当事人因不可抗力事由或者其他正当事由耽误上诉期限的，在障碍消除的10日内可以申请顺延期限，是否准许由人民法院决定。对于必要共同诉讼的上诉期限，应当自最后收到判决书、裁定书的当事人收到判决书、裁定书之日起计算。</w:t>
      </w:r>
    </w:p>
    <w:p>
      <w:pPr>
        <w:keepNext w:val="0"/>
        <w:keepLines w:val="0"/>
        <w:pageBreakBefore w:val="0"/>
        <w:widowControl w:val="0"/>
        <w:wordWrap/>
        <w:bidi w:val="0"/>
        <w:adjustRightInd/>
        <w:snapToGrid/>
        <w:spacing w:after="0" w:line="500" w:lineRule="exact"/>
        <w:ind w:firstLine="522" w:firstLineChars="200"/>
        <w:jc w:val="both"/>
        <w:rPr>
          <w:rStyle w:val="22"/>
          <w:rFonts w:hint="eastAsia" w:ascii="仿宋_GB2312" w:hAnsi="仿宋" w:eastAsia="仿宋_GB2312" w:cs="仿宋"/>
          <w:color w:val="000000"/>
          <w:sz w:val="28"/>
          <w:szCs w:val="28"/>
        </w:rPr>
      </w:pPr>
      <w:r>
        <w:rPr>
          <w:rStyle w:val="22"/>
          <w:rFonts w:hint="eastAsia" w:ascii="仿宋_GB2312" w:hAnsi="仿宋" w:eastAsia="仿宋_GB2312" w:cs="仿宋"/>
          <w:color w:val="000000"/>
          <w:sz w:val="28"/>
          <w:szCs w:val="28"/>
        </w:rPr>
        <w:t>（二）上诉的审理</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1.二审法院应当对案件进行全面审查，不受上诉人提起上诉范围的限制。</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2.行政机关在二审程序中可以通过改变行政行为换得行政相对人谅解从而结案，法院越来越注重从解决行政纠纷的角度，保障上诉程序中当事人的诉讼权利。对于某些属于当事人可以处分的事项，在二审程序中应当尊重上诉人的意愿。但当事人即使处分了其他权利，也不能以危害行政行为合法性的方式实现。</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3.二审案件以开庭审理为原则，以书面审理为例外。书面审理应当满足两个条件：</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（1）经过阅卷、调查和询问当事人；</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（2）当事人没有提出新的事实、证据或者理由。例如，对于一审裁定不服的案件、上诉请求明显不能成立的案件、事实清楚但是法律适用错误以及违反法定程序可能影响案件正确判决，需要发回重审的案件等。</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4.无论是第一审、第二审还是再审期间，如果被告改变被诉行政行为，原告同意并申请撤诉，只要符合条件，人民法院均应准许。在行政机关改变行政行为后，上诉人撤诉的情形下，允许撤回上诉的裁定中载明的行政机关改变行政行为的主要内容和履行情况，上诉人基于此撤回上诉，实际上是一种变通的和解协议。</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5.如果出现被告在一审程序中不依法提供相关证据材料，原审法院判决撤销，该被告在上诉时提交了全部的证据材料，二审法院应当维持原审的判决。</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6.《行政诉讼法》对发回重审的情形作了限制，只有原判决遗漏当事人或者违法缺席判决等严重违反法定程序的，第二审法院才能裁定撤销原判决，发回原审人民法院重审。其他严重违反法定程序的情形，包括对于审理本案的审判人员、书记员应当回避而未回避的、依法应当开庭审理而未经开庭即作出判决的、对于本案有关的诉讼请求未予裁判等，第二审法院亦可以裁定撤销原判决，发回原审人民法院重审。</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三、审判监督</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1.审判监督程序与再审程序是一个问题的两个方面。前者主要是从监督人民法院生效裁判或者其他法律文书的角度而言，再审程序则是从包括人民法院在内的诉讼主体参与诉讼的角度而言。</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2.一般来说，只有涉及社会公共利益以及他人重大的合法权益的行政案件，人民检察院才有发起再审程序的权力。</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3.再审程序的诉讼标的只有一个，即当事人之间的权利义务关系。</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4.不予受理的抗诉案件：</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（1）同一检察院提出过抗诉的案件和最高人民法院司法解释中明确不使用抗诉程序处理的案件；</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（2）人民检察院对人民法院就诉讼费负担的裁定提出抗诉；</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（3）对于人民法院已经裁定再审的案件，人民检察院提出抗诉；</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（4）人民检察院对于涉及解除婚姻关系或者其他人身关系的判决提出抗诉；</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（5）对于未决案件中的先予执行裁定提出抗诉；</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（6）人民检察院对执行程序中的裁定提出抗诉；</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（7）人民检察院对人民法院再审裁定终结诉讼的案件；</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（8）人民检察院对于中止诉讼的裁定提出抗诉；</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（9）人民检察院对于诉前保全裁定提出抗诉；</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10）上级人民检察院对下级人民法院已经发生法律效力的民事、经济、刑事案件提出抗诉的，无论是同级人民法院再审，还是指令下级人民法院再审，作出维持原裁判的判决裁定后，原提出抗诉的人民检察院再次提出抗诉的。但原提出抗诉的人民检察院的上级人民检察院提出抗诉的，人民法院应当受理。</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5.申诉与申请再审有区别。申诉是一种反映意见提供线索的权利，当事人提出的申诉并不直接引起再审程序。只是要求原审或者上级人民法院对生效裁判进行复查，实际上它只给法院对已经生效的裁判进行审查提供线索。一是两者的定位不同。当事人申请再审是一项诉讼权利，必须依照法定的程序进行。申诉是当事人依照《宪法》享有的民主权利在行政诉讼中的体现。二是当事人申请再审的时间有一定的限制，当事人申诉则没有时间的限制。三是当事人申请再审有严格的法定条件和次数，申诉者申诉则无任何条件和次数等。《行政诉讼法》规定的申诉制度的存在，实际上形成了申诉制度和申请再审制度并存的局面。</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6.对于权利义务的继受人，是否具有提起再审申请的资格。参照刑事诉讼和民事诉讼的司法解释对继受人申请再审资格的规定，近亲属不服再审的第一审判决，可以向原审法院或其上一级法院提出申诉。原审法院收到近亲属的申诉后，可以直接处理，也可以商请上一级法院审查处理。上一级法院收到近亲属的申诉后，如果发现原判决确有错误，可以按审判监督程序提审，或者指令原审法院再审。如果已死亡当事人的近亲属对指令原审法院再审的判决仍不服，又提出申诉的，应由上一级法院直接处理。</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7.申请再审的对象必须是生效的行政判决（终极裁判有时表现为两个判决，例如，维持原判的判决和原判决、二审判决和未上诉部分的一审判决）、裁定（除了不予受理、驳回起诉、撤回上诉外，还应当包括管辖权异议）以及行政赔偿调解书。</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8.对于不符合再审条件的驳回法律文书，应当采用驳回再审申请的裁定，而不能用通知书驳回申请。</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9.“一次再审、一次抗诉”的原则。人民法院基于抗诉或者检察建议作出再审判决裁定后，当事人申请再审的，人民法院不予立案。检察建议不同于抗诉，抗诉必然引起再审，检察建议不能直接引起再审。抗诉是“上抗下”，检察检议是“同级抗”。《行政诉讼法》有关抗诉和检察建议的内容与《民事诉讼法》的内容完全一致。</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四、执行</w:t>
      </w:r>
    </w:p>
    <w:p>
      <w:pPr>
        <w:keepNext w:val="0"/>
        <w:keepLines w:val="0"/>
        <w:pageBreakBefore w:val="0"/>
        <w:widowControl w:val="0"/>
        <w:wordWrap/>
        <w:bidi w:val="0"/>
        <w:adjustRightInd/>
        <w:snapToGrid/>
        <w:spacing w:after="0" w:line="500" w:lineRule="exact"/>
        <w:ind w:firstLine="522" w:firstLineChars="200"/>
        <w:jc w:val="both"/>
        <w:rPr>
          <w:rStyle w:val="22"/>
          <w:rFonts w:hint="eastAsia" w:ascii="仿宋_GB2312" w:hAnsi="仿宋" w:eastAsia="仿宋_GB2312" w:cs="仿宋"/>
          <w:color w:val="000000"/>
          <w:kern w:val="2"/>
          <w:sz w:val="28"/>
          <w:szCs w:val="28"/>
        </w:rPr>
      </w:pPr>
      <w:r>
        <w:rPr>
          <w:rStyle w:val="22"/>
          <w:rFonts w:hint="eastAsia" w:ascii="仿宋_GB2312" w:hAnsi="仿宋" w:eastAsia="仿宋_GB2312" w:cs="仿宋"/>
          <w:color w:val="000000"/>
          <w:kern w:val="2"/>
          <w:sz w:val="28"/>
          <w:szCs w:val="28"/>
        </w:rPr>
        <w:t>（一）行政诉讼执行与行政诉讼生效裁判的执行</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执行依据不仅包括《行政诉讼法》等法律及其司法解释，而且还包括《民事诉讼法》及其司法解释。对于债务人为达成公共任务不可缺少的物或者让与可能导致违反公共利益的物，不得强制执行。对于行政机关的强制执行，必须符合民事关于执行的一般原理，同时也要考虑行政机关执行公务需要。</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2.行政机关在两种情形下，可以作为《行政诉讼法》意义上的执行机关。</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（1）对于行政诉讼裁判的执行权。《行政诉讼法》第95条规定，公民、法人或者其他组织拒绝履行判决裁定的，行政机关可以依法强制执行。</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（2）对于非诉行政行为的执行权。如果法律没有赋予行政机关强制执行权，必须由法院作为执行机关。如果法律赋予行政机关强制执行权，行政机关能否作为执行机关区别四种情况。</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第一，法律规定由行政机关作最终裁决的行政行为，由于此种行为是一种不受司法监督的行政行为，行政机关申请人民法院强制执行的，人民法院不予执行。行政机关有强制执行权的，应当依照法律规定予以执行。</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第二，公民、法人或者其他组织对行政行为在法定期限内不提起诉讼又不履行，法律法规规定应当由行政机关依法强制执行的，行政机关申请人民法院强制执行，行政机关为执行机关，人民法院不予执行。</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第三，公民、法人或者其他组织对行政行为在法定期限内不提起诉讼又不履行，法律法规规定可以由行政机关依法强制执行，也可以申请人民法院强制执行的，行政机关申请人民法院强制执行，人民法院是执行机关。</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第四，公民、法人或者其他组织对行政行为在法定期限内不提起诉讼又不履行，行政机关依法没有强制执行权，申请人民法院强制执行的，人民法院是执行机关。</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3.根据《行政诉讼法》的规定，针对行政机关拒不履行法院裁判的强制措施，主要包括以下五项。</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（1）对应当归还的罚款或者应当给付的款额，通知银行从该行政机关的账户内划拨。</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（2）在规定期限内不履行的，从期满之日起，对被该行政机关负责人按日处50元至100元的罚款。</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（3）将行政机关拒绝履行的情况予以公告。</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（4）向监察机关或者该行政机关的上一级行政机关提出司法建议。接受司法建议的机关根据有关规定进行处理，并将处理情况告知人民法院。</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（5）拒不履行判决、裁定、调解书，社会影响恶劣的，可以对该行政机关直接负责的主管人员和其他直接责任人员予以拘留；情节严重，构成犯罪的，依法追究刑事责任。</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（6）在执行过程中也要注意对行政机关的必须的办公用品等不得强制执行。</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4.对于某些专属于行政机关的强制执行权限（例如人身的强制执行），人民法院不能采取强制措施，只有相应的行政机关才拥有该项职权。对于非诉行政执行案件的强制措施，可以参照准用《民事诉讼法》规定的执行方式。</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5.行政机关选择自身依法强制执行后，出现执行不通的情况，可以再次申请人民法院强制执行。例如，《征收排污费暂行办法》第7条规定，排污单位不论其隶属关系和所有制关系，都应当根据当地环境保护部门的缴费通知单向指定银行缴付排污费，逾期不缴的，每天增收滞纳金1‰。如果排污单位仍然拒不缴纳的，不允许行政机关再次申请人民法院强制执行，则难以保障判决、裁定或者行政行为的执行。</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6.在行政诉讼中允许执行和解的范围：</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（1）行政赔偿调解书；</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（2）自愿放弃行政赔偿权利；</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（3）行政补偿案件；</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（4）行政协议案件；</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（5）行政机关具有较大行政裁量权的案件；</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（6）行政裁决案件。</w:t>
      </w:r>
    </w:p>
    <w:p>
      <w:pPr>
        <w:keepNext w:val="0"/>
        <w:keepLines w:val="0"/>
        <w:pageBreakBefore w:val="0"/>
        <w:widowControl w:val="0"/>
        <w:wordWrap/>
        <w:bidi w:val="0"/>
        <w:adjustRightInd/>
        <w:snapToGrid/>
        <w:spacing w:after="0" w:line="500" w:lineRule="exact"/>
        <w:ind w:firstLine="522" w:firstLineChars="200"/>
        <w:jc w:val="both"/>
        <w:rPr>
          <w:rStyle w:val="22"/>
          <w:rFonts w:hint="eastAsia" w:ascii="仿宋_GB2312" w:hAnsi="仿宋" w:eastAsia="仿宋_GB2312" w:cs="仿宋"/>
          <w:color w:val="000000"/>
          <w:kern w:val="2"/>
          <w:sz w:val="28"/>
          <w:szCs w:val="28"/>
        </w:rPr>
      </w:pPr>
      <w:r>
        <w:rPr>
          <w:rStyle w:val="22"/>
          <w:rFonts w:hint="eastAsia" w:ascii="仿宋_GB2312" w:hAnsi="仿宋" w:eastAsia="仿宋_GB2312" w:cs="仿宋"/>
          <w:color w:val="000000"/>
          <w:kern w:val="2"/>
          <w:sz w:val="28"/>
          <w:szCs w:val="28"/>
        </w:rPr>
        <w:t>（二）非诉行政执行</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1.“在法定期限内不提起诉讼又不履行”的含义</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1）行政复议前置情形。由于提起行政诉讼必须以经过行政复议为前提，此时的法定起诉期限既包括了行政复议期限，也包括了法定起诉期限。对于行政复议机关决定不予受理或者受理后超过行政复议期限不作答复的，行政机关可以在行政相对人收到不予受理决定书之日起或者行政复议期满之日起，经过15天才能向人民法院申请强制执行。行政复议决定未告知行政相对人法定起诉期限的，适用《行诉法解释》第64条规定。</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（2）行政复议和行政诉讼可选择情形</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第一，一般来说，行政诉讼起诉期限要长于行政复议期限。除非法律另有规定，行政起诉期限是知道行政行为作出之后6个月，行政复议期限则是知道该行政行为之后60天。</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第二，但是特殊的行政起诉期限有时短于行政复议期限，例如，《邮政法》《统计法》《环境保护法》中规定的起诉期限为15日。此时行政复议期限长于行政起诉期限，如果行政相对人在起诉期限内没有提起行政诉讼又不履行的，但仍然处在行政复议期限内的，人民法院不能受理行政机关强制执行其行政行为的申请。法定起诉期限既包括行政起诉期限，又包括行政复议期限。全国人民代表大会常务委员会法制工作委员会《关于环保部门就环境行政处罚决定申请人民法院强制执行的期限有关问题的答复》明确规定，“如果当事人自接到环保部门的行政处罚通知之日起超过15天未起诉，超过60日未申请复议又不履行处罚决定的，做出处罚决定的环保部门即可申请人民法院强制执行。”最高人民法院《关于劳动行政部门作出责令用人单位支付劳动者工资报酬、经济补偿和赔偿金的劳动监察指令书是否属于可申请法院强制执行的行政行为》规定，“劳动行政部门作出责令用人单位支付劳动者工资报酬、经济补偿和赔偿金的行政处理决定书，当事人既不履行又不申请复议或者起诉的，劳动行政部门可以依法申请人民法院强制执行。”</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2.行政机关对非诉行政行为的依法执行</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（1）行政机关具有强制执行职权。</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（2）行政相对人具有作出一定行为的义务。</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（3）在紧急情况下，为维护国家利益和公共利益的强制执行。</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（4）在没有法律规定和没有紧急情况下存在的情况下，强制执行作为最后的执行方法。</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（5）行政相对人表示明确拒绝或者存在明显恶意。</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3.人民法院对于非诉行政执行的管辖</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（1）由申请人所在地基层人民法院受理执行。执行对象为不动产的，由不动产所在地的基层人民法院受理。</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2）中级人民法院管辖的案件范围：确认发明专利权的案件、海关处理的；行政行为是由国务院部门或者省、自治区、直辖市人民政府作出的；涉外或者涉及香港、澳门特别行政区、台湾地区的；有重大社会影响的；其他不宜由基层人民法院执行的。</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4.申请执行的条件：申请执行的非诉行政行为符合法律规定，依法可以由人民法院执行，行政行为已经生效并具有可执行内容；申请人符合法律的规定；被申请人符合法律的规定；符合法定的申请期限；属于受理申请执行的人民法院管辖。</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5.非诉行政执行的合法性审查</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（1）事实根据</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第一，审查非诉行政行为的证据是否充分可靠。既要审查非诉行政行为是否已经作出相应的行政行为是否有确凿充分的证据、是否存在证据来源不可靠、证据之间缺乏相应的关联和印证、主要证据不足、取证程序严重违法等情况。</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第二，审查被执行人是否存在不申请行政复议、不提起行政诉讼又不履行的情况，即人民法院应当审查被执行人是否被告知行政行为的内容，以及是否交代行政诉讼权利或者行政复议权利、被执行人是否存在没有履行行政行为确定的义务等情况。</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第三，审查行政相对人在法定期间内不起诉或者不提起行政复议的原因，行政相对人在法定期限不起诉或者不提起行政复议的原因是多方面的：有的是对于行政行为没有异议；有的是行政相对人对于行政行为存有异议，但是不知道起诉；行政相对人对行政行为存有异议，但是不敢告行政机关；行政相对人对行政行为存有异议，但具有客观情况或者其他意外事件不能如期向法院起诉。</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（2）法律依据</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第一，行政机关是否具有行政主体的资格。如果申请执行人不属于行政主体，例如行政机关内部的分支机构、派出机构等非适格的申请执行人，对于行政机关的委托人应当提供相应的委托授权等证明文件。</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第二，行政机关是否具有法律法规授权的强制执行权。主要审查行政机关是否具有法律法规授予的专有的强制执行权。审查行政机关的强制执行权，是否为法律法规所授予。如果属于法律法规以下的规范性文件所授予的，应当审查是否具有上位法的依据。</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第三，行政机关适用法律法规是否正确。在适用法律法规方面可以按照《座谈会纪要》所确定的原则和规则进行审查。</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第四，审查是否存在超越职权或者滥用职权的情形，即审查行政机关的行政行为是否在法律法规授予的职权范围之内、行政机关是否存在着反复无常、同样情况不同对待、不同情况同等对待等情况。</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第五，审查申请强制执行的行政行为，是否属于本院管辖。</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（3）其他涉及被执行人合法权益的事项。</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第一，审查被申请执行的行政行为，是否已经对行政相对人发生效力。</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第二，审查被申请执行人是否为行政行为所确定的行政相对人。</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第三，审查被申请执行人的合法权益是否受到了行政行为的影响。</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第四，审查被申请执行人是否对于行政行为提出过质疑。</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第五，审查被申请执行人在行政程序中是否受到公平对待。</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第六，审查行政相对人不履行政行为确定的行政义务的理由。如果行政相对人有理由，行政机关又未作出必要的答复，或者行政相对人所提理由正当，但是行政机关完全无视行政相对人所提正当理由的，人民法院可以考虑不予执行，但是行政相对人毫无理由，或者虽然有理由，但是不正当，行政机关已经给予明确答复，行政相对人不执行也不起诉，人民法院可以采取强制执行措施。</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6.对于非诉行政执行行为的司法救济</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对于裁定准予执行或者不予执行的具有救济途径。根据最高人民法院有关批复精神，公民、法人或者其他组织认为人民法院强制执行生效的行政行为违法，侵犯其合法权益，向人民法院提出申诉，人民法院可以作出申诉进行审查。</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（1）如果被执行人的申诉是针对行政行为内容的，人民法院不应当受理，应当告知其向行政机关提出申诉。</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（2）如果被执行人的申诉是针对人民法院的执行行为的，例如控告执行人员滥用职权、扩大执行范围、执行对象错误等，人民法院应当受理。</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（3）如果发现执行行为确有错误的，应当通过执行回转等方式予以纠正。</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（4）如果行政相对人对行政机关的强制执行行为本身不服，相对人可以对依据有效的行政行为作出的强制执行提起诉讼，对执行程序是否违法提出异议。</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kern w:val="2"/>
          <w:sz w:val="28"/>
          <w:szCs w:val="28"/>
        </w:rPr>
        <w:t>（5）对于执行错误的国家赔偿问题。执行错误的原因有的是由于行政机关非诉行政行为本身造成的，有的是由于人民法院执行行为造成的。对于执行错误的国家赔偿问题应当根据执行错误的基础原因来确定。《最高人民法院对当事人对人民法院强制执行生效行政行为的案件提出申诉，人民法院应如何受理和处理的请示的答复》规定，公民、法人和其他组织认为人民法院强制执行生效的行政行为违法，侵犯其合法权益，向人民法院提出申诉，人民法院可以作为申诉进行审查。人民法院的全部执行活动合法而生效行政行为违法的，应转送作出行政行为的行政机关依法处理并通知申诉人同该行政机关直接联系。人民法院采取的强制措施等违法造成损害的，应依照《国家赔偿法》的有关规定办理。</w:t>
      </w:r>
    </w:p>
    <w:p>
      <w:pPr>
        <w:pStyle w:val="3"/>
        <w:keepNext w:val="0"/>
        <w:keepLines w:val="0"/>
        <w:pageBreakBefore w:val="0"/>
        <w:widowControl w:val="0"/>
        <w:wordWrap/>
        <w:bidi w:val="0"/>
        <w:adjustRightInd/>
        <w:snapToGrid/>
        <w:spacing w:before="0" w:after="0" w:line="500" w:lineRule="exact"/>
        <w:ind w:firstLine="522" w:firstLineChars="200"/>
        <w:jc w:val="both"/>
        <w:rPr>
          <w:rFonts w:hint="eastAsia" w:ascii="楷体" w:hAnsi="楷体" w:eastAsia="楷体" w:cs="仿宋"/>
          <w:bCs w:val="0"/>
          <w:color w:val="000000"/>
          <w:sz w:val="28"/>
          <w:szCs w:val="28"/>
        </w:rPr>
      </w:pPr>
      <w:r>
        <w:rPr>
          <w:rFonts w:hint="eastAsia" w:ascii="楷体" w:hAnsi="楷体" w:eastAsia="楷体" w:cs="仿宋"/>
          <w:bCs w:val="0"/>
          <w:color w:val="000000"/>
          <w:sz w:val="28"/>
          <w:szCs w:val="28"/>
        </w:rPr>
        <w:t>第三节  中止审理程序与规范性文件附带审查程序</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一、中止审理程序中中止审理的法定情形</w:t>
      </w:r>
    </w:p>
    <w:p>
      <w:pPr>
        <w:keepNext w:val="0"/>
        <w:keepLines w:val="0"/>
        <w:pageBreakBefore w:val="0"/>
        <w:widowControl w:val="0"/>
        <w:numPr>
          <w:ilvl w:val="0"/>
          <w:numId w:val="25"/>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原告死亡需等待其近亲属表明是否参加诉讼。</w:t>
      </w:r>
    </w:p>
    <w:p>
      <w:pPr>
        <w:keepNext w:val="0"/>
        <w:keepLines w:val="0"/>
        <w:pageBreakBefore w:val="0"/>
        <w:widowControl w:val="0"/>
        <w:numPr>
          <w:ilvl w:val="0"/>
          <w:numId w:val="25"/>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原告丧失诉讼行为能力，尚未确定法定代理人。</w:t>
      </w:r>
    </w:p>
    <w:p>
      <w:pPr>
        <w:keepNext w:val="0"/>
        <w:keepLines w:val="0"/>
        <w:pageBreakBefore w:val="0"/>
        <w:widowControl w:val="0"/>
        <w:numPr>
          <w:ilvl w:val="0"/>
          <w:numId w:val="25"/>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作为一方当事人的行政机关、法人或者其他组织终止尚未确定权利义务承受人。</w:t>
      </w:r>
    </w:p>
    <w:p>
      <w:pPr>
        <w:keepNext w:val="0"/>
        <w:keepLines w:val="0"/>
        <w:pageBreakBefore w:val="0"/>
        <w:widowControl w:val="0"/>
        <w:numPr>
          <w:ilvl w:val="0"/>
          <w:numId w:val="25"/>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一方当事人因不可抗力的事由不能参加诉讼。</w:t>
      </w:r>
    </w:p>
    <w:p>
      <w:pPr>
        <w:keepNext w:val="0"/>
        <w:keepLines w:val="0"/>
        <w:pageBreakBefore w:val="0"/>
        <w:widowControl w:val="0"/>
        <w:numPr>
          <w:ilvl w:val="0"/>
          <w:numId w:val="25"/>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案件涉及法律适用问题需要送请有权机关作出解释或者确认。</w:t>
      </w:r>
    </w:p>
    <w:p>
      <w:pPr>
        <w:keepNext w:val="0"/>
        <w:keepLines w:val="0"/>
        <w:pageBreakBefore w:val="0"/>
        <w:widowControl w:val="0"/>
        <w:numPr>
          <w:ilvl w:val="0"/>
          <w:numId w:val="25"/>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案件的审判需以相关民事、刑事或者其他行政案件的审理结果为依据且相关案件尚未审结。</w:t>
      </w:r>
    </w:p>
    <w:p>
      <w:pPr>
        <w:keepNext w:val="0"/>
        <w:keepLines w:val="0"/>
        <w:pageBreakBefore w:val="0"/>
        <w:widowControl w:val="0"/>
        <w:numPr>
          <w:ilvl w:val="0"/>
          <w:numId w:val="25"/>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其他应当中止诉讼的情形。例如，如果发现裁判文书或者裁决文书认定的事实有重大问题的，应当中止诉讼，通过法定程序予以纠正后，恢复诉讼。</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二、规范性文件附带审查程序</w:t>
      </w:r>
    </w:p>
    <w:p>
      <w:pPr>
        <w:pStyle w:val="5"/>
        <w:keepNext w:val="0"/>
        <w:keepLines w:val="0"/>
        <w:pageBreakBefore w:val="0"/>
        <w:widowControl w:val="0"/>
        <w:wordWrap/>
        <w:bidi w:val="0"/>
        <w:spacing w:before="0" w:after="0" w:line="500" w:lineRule="exact"/>
        <w:ind w:firstLine="522" w:firstLineChars="200"/>
        <w:rPr>
          <w:rStyle w:val="22"/>
          <w:rFonts w:hint="eastAsia" w:ascii="仿宋_GB2312" w:hAnsi="仿宋" w:eastAsia="仿宋_GB2312" w:cs="仿宋"/>
          <w:b/>
          <w:bCs w:val="0"/>
          <w:color w:val="000000"/>
          <w:sz w:val="28"/>
          <w:szCs w:val="28"/>
        </w:rPr>
      </w:pPr>
      <w:r>
        <w:rPr>
          <w:rFonts w:hint="eastAsia" w:ascii="仿宋_GB2312" w:hAnsi="仿宋" w:eastAsia="仿宋_GB2312" w:cs="仿宋"/>
          <w:color w:val="000000"/>
          <w:sz w:val="28"/>
          <w:szCs w:val="28"/>
        </w:rPr>
        <w:t>（一）其他规范性文件的范围和涵义</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行政诉讼法》第53条规定，公民、法人或者其他组织认为行政行为所依据的国务院部门和地方人民政府及其部门制定的规范性文件不合法，在对行政行为提起诉讼时，可以一并请求对该规范性文件进行审查。“规范性文件”是指规章以下的其他规范性文件。</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《座谈会纪要》明确规定，“其他规范性文件”是指有关部门为指导法律执行或者实施行政措施而作出的具体应用解释和制定的规范性文件。</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其他规范性文件的范围有三类：</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1.具有普遍约束力的决定、决议、命令和指示。</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（1）国务院各部门根据法律和国务院的行政法规、决定、命令，在本部门的权限内，发布的具有普遍约束力的命令和指示。</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（2）县级以上地方各级人民政府依照法律的规定的权限规定的行政措施、发布的具有普遍约束力的决议和命令。</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（3）县级以上地方各级人民政府工作部门发布的具有普遍约束力的决定和命令。</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（4）乡镇人民政府发布的具有普遍约束力的决定和命令。</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2.行政解释。国务院部门以及省市自治区和较大的市的人民政府或者主管部门，对于具体应用法律法规或规章作出的解释。</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3.其他规范性文件。县级以上人民政府及其主管部门发布的具有普遍约束力的其他规范性文件。</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（二）其他规范性文件的附带审查</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《行政诉讼法》第64条规定，“人民法院在审理行政案件中，经审查认为本法第五十三条规定的规范性文件不合法的，不作为认定行政行为合法的依据，并向制定机关提出处理建议。”</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人民法院应当对规范性文件的合法性进行审查并在裁判理由中予以阐明。人民法院经审查认为被诉行政行为依据的规范性文件合法有效合理适当，在认定行政行为合法时，应当承认其效力，并且在裁判文书中引用，同时人民法院在裁判理由中对规范性文件是否合法、有效、合理、适当等进行评述。评述是指是否存在违法、无效、失效、不合理、不适当的情形。</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裁定驳回起诉的裁定书不需要对规范性文件的合法性表态。人民法院对行政诉讼案件裁定驳回起诉的，由于该案并未进一步实体审查，而且对规范性文件的审查为附带性审查。因此，裁定驳回起诉的裁定书不需要对规范性文件的合法性表态。</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规范性文件审查意见错误的处理。行政诉讼案件进入第二审程序的，上级法院发现下级法院对规范性文件的审查意见错误，可以进行纠正。上级法院应在裁判文书中予以说明，但下级法院对行政行为的处理结果正确，规范性文件审查存在错误的，因其属于附带审查，对行政诉讼案件无需改判。</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4.规范性文件不合法确认的效力。不作为认定被诉行政行为合法的依据。相关条款的合法性、有效性、合理性等得到了确认，在今后类似的案件中具有一定的预决效力。</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5.规范性文件不合法的处理。应当向制定机关提出处理建议，并将处理情况告知人民法院。</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6.一并审查的提出时间。应当在一审程序中提出规范性文件一并审查请求，公民，法人或者其他组织在第二审程序、审判监督程序提出，人民法院不予准许。</w:t>
      </w:r>
    </w:p>
    <w:p>
      <w:pPr>
        <w:pStyle w:val="2"/>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outlineLvl w:val="9"/>
        <w:rPr>
          <w:rFonts w:hint="eastAsia" w:ascii="黑体" w:hAnsi="黑体" w:eastAsia="黑体" w:cs="仿宋"/>
          <w:b w:val="0"/>
          <w:bCs/>
          <w:color w:val="000000"/>
          <w:sz w:val="28"/>
          <w:szCs w:val="28"/>
        </w:rPr>
      </w:pPr>
    </w:p>
    <w:p>
      <w:pPr>
        <w:pStyle w:val="2"/>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黑体" w:hAnsi="黑体" w:eastAsia="黑体" w:cs="仿宋"/>
          <w:b w:val="0"/>
          <w:bCs/>
          <w:color w:val="000000"/>
          <w:sz w:val="28"/>
          <w:szCs w:val="28"/>
        </w:rPr>
      </w:pPr>
      <w:bookmarkStart w:id="61" w:name="_Toc20870"/>
      <w:r>
        <w:rPr>
          <w:rFonts w:hint="eastAsia" w:ascii="黑体" w:hAnsi="黑体" w:eastAsia="黑体" w:cs="仿宋"/>
          <w:b w:val="0"/>
          <w:bCs/>
          <w:color w:val="000000"/>
          <w:sz w:val="28"/>
          <w:szCs w:val="28"/>
        </w:rPr>
        <w:t>第四章  证据的收集、提供与审查</w:t>
      </w:r>
      <w:bookmarkEnd w:id="61"/>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司法实践中由于法律法规与司法解释没有对提供证据提出具体要求，当事人提供的证据往往存在提交证据形式不符、材料不全等问题。实际上，对不同证据种类的基本要求可以概括以下几个方面：对证据形式的要求、对某些特殊证据的特殊要求、提出证据的时间要求和证据的交接要求。</w:t>
      </w:r>
    </w:p>
    <w:p>
      <w:pPr>
        <w:pStyle w:val="3"/>
        <w:keepNext w:val="0"/>
        <w:keepLines w:val="0"/>
        <w:pageBreakBefore w:val="0"/>
        <w:widowControl w:val="0"/>
        <w:wordWrap/>
        <w:bidi w:val="0"/>
        <w:adjustRightInd/>
        <w:snapToGrid/>
        <w:spacing w:before="0" w:after="0" w:line="500" w:lineRule="exact"/>
        <w:ind w:firstLine="522" w:firstLineChars="200"/>
        <w:jc w:val="both"/>
        <w:rPr>
          <w:rFonts w:hint="eastAsia" w:ascii="楷体" w:hAnsi="楷体" w:eastAsia="楷体" w:cs="仿宋"/>
          <w:bCs w:val="0"/>
          <w:color w:val="000000"/>
          <w:sz w:val="28"/>
          <w:szCs w:val="28"/>
        </w:rPr>
      </w:pPr>
      <w:r>
        <w:rPr>
          <w:rFonts w:hint="eastAsia" w:ascii="楷体" w:hAnsi="楷体" w:eastAsia="楷体" w:cs="仿宋"/>
          <w:bCs w:val="0"/>
          <w:color w:val="000000"/>
          <w:sz w:val="28"/>
          <w:szCs w:val="28"/>
        </w:rPr>
        <w:t>第一节  证据的收集与提供</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一、对证据形式的要求</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（一）书证</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1.一般来说，当事人应当提供书证的原件（原本、正本和副本）；</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2.特殊情况下，当事人提供书证的原件有正当理由（书证原件唯一、原件由第三方持有、原件珍贵可能造成损害），可以提供经核对无误或者经核对无异的复制件、复印件、扫描件、照片、节录本、抄录本；</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3.对报表、图纸、会计帐册、专业技术资料、科技文献等涉及专业技术的书证的，当事人应当对该书证进行必要的说明，以排除与案件无关的专业信息，使法官能够更加准确的掌握案件事实；</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4.被告提供的被诉行政行为所依据的询问、陈述、谈话类笔录，应当由行政执法人员、被询问人、陈述人、谈话人签名或者盖章；</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5.如果法律、法规、司法解释和规章，对书证的制作形式另有规定，有明确要求，优先适用该规定。</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（二）物证</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1.原则上应当向法院提供原物；</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2.如果物证物品数量较多，体积较大，保存条件要求特殊的，可以提供原物的复制品或原物的一部分；</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（1）提供大型的运输工具、高度危险的化学物品、固定于特定位置的不动产、动植物等原物存在较大困难，提供原物的照片、录像、仿制品等复制件；</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（2）违法运输的煤炭、违法制造的假化肥假农药等数量较多的种类物，只提供其中的一部分。</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（三）视听资料</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1.一般来讲，对于视听资料应当提供有关资料的原始载体（录音、录像、计算机存储的资料等信息载体的正本）；</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2.存在原始载体已经灭失或者不能通过正常程序取得的客观困难，可以提供复制件；</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3.提供的视听资料必须注明制作方法、制作时间、制作人和证明对象；</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4.仅有声音的视听资料应当作文字说明。如果该声音无须进行文字表述或者无法用文字表述的如哭声、喊叫声等，无需作文字说明。</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（四）证人证言</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1.写明证人的姓名、年龄、性别、职业、住址等基本情况；</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2.证人的签名；</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3.注明出具日期；</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4.附有居民身份证复印件。</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（五）鉴定意见</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1.载明委托人和委托鉴定的事项；</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2.向鉴定部门提交的相关材料；</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3.鉴定的依据和使用的科学技术手段；</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4.鉴定部门和鉴定人鉴定资格的说明，并应有鉴定人的签名和鉴定部门的盖章；</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5.通过分析获得的鉴定意见，应当说明分析过程。</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（六）现场笔录</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1.被告向人民法院提供的现场笔录应当载明时间、地点和事件等内容；</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2.注意现场笔录的程序性。现场笔录必须由执法人员和当事人签名。当事人拒绝签名或者不能签名的应当注明原因。有其他人在现场的，可由其他人签名；</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3.法律法规和规章对现场笔录的制作形式另有规定的，从其规定。</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（七）电子数据</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1.根据《公安机关办理行政案件程序规定》第32条规定，电子数据的收集规则如下：</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（1）扣押原始存储介质。收集电子数据，能够扣押电子数据原始存储介质的，应当扣押。</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提取电子数据。无法扣押原始存储介质的，可以提取电子数据。提取电子数据，应当制作笔录，并附电子数据清单，由办案人民警察、电子数据持有人签名。持有人无法或者拒绝签名的，应当在笔录中注明。</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sz w:val="28"/>
          <w:szCs w:val="28"/>
        </w:rPr>
      </w:pPr>
      <w:r>
        <w:rPr>
          <w:rFonts w:hint="eastAsia" w:ascii="仿宋_GB2312" w:hAnsi="仿宋" w:eastAsia="仿宋_GB2312" w:cs="仿宋"/>
          <w:sz w:val="28"/>
          <w:szCs w:val="28"/>
        </w:rPr>
        <w:t>（3）打印、拍照或者录像等方式固定相关证据。由于客观原因无法或者不宜依照前两款规定收集电子数据的，可以采取打印、拍照或者录像等方式固定相关证据，并附有关原因、过程等情况的文字说明，由办案人民警察、电子数据持有人签名。持有人无法或者拒绝签名的，应当注明情况。</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sz w:val="28"/>
          <w:szCs w:val="28"/>
        </w:rPr>
      </w:pPr>
      <w:r>
        <w:rPr>
          <w:rFonts w:hint="eastAsia" w:ascii="仿宋_GB2312" w:hAnsi="仿宋" w:eastAsia="仿宋_GB2312" w:cs="仿宋"/>
          <w:sz w:val="28"/>
          <w:szCs w:val="28"/>
        </w:rPr>
        <w:t>2.《关于审理证券行政处罚案件证据若干问题的座谈会纪要》</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sz w:val="28"/>
          <w:szCs w:val="28"/>
        </w:rPr>
      </w:pPr>
      <w:r>
        <w:rPr>
          <w:rFonts w:hint="eastAsia" w:ascii="仿宋_GB2312" w:hAnsi="仿宋" w:eastAsia="仿宋_GB2312" w:cs="仿宋"/>
          <w:sz w:val="28"/>
          <w:szCs w:val="28"/>
        </w:rPr>
        <w:t>（1）提取电子数据原始载体或者提取确有困难的，可以提供电子数据复制件，但必须附有不能或者难以提取载体的原因、复制过程以及原始载体存放地点或者电子数据网络地址的说明，并由复制件制作人和原始电子数据持有人签名或者盖章，或者以公证等其他有效形式证明电子数据与原始载体的一致性和完整性。</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sz w:val="28"/>
          <w:szCs w:val="28"/>
        </w:rPr>
      </w:pPr>
      <w:r>
        <w:rPr>
          <w:rFonts w:hint="eastAsia" w:ascii="仿宋_GB2312" w:hAnsi="仿宋" w:eastAsia="仿宋_GB2312" w:cs="仿宋"/>
          <w:sz w:val="28"/>
          <w:szCs w:val="28"/>
        </w:rPr>
        <w:t>（2）收集电子数据应当依法制作笔录，详细记载取证的参与人员、技术方法、步骤和过程，记录收集对象的事项名称、内容、规格、类别以及时间、地点等，或者将收集电子数据的过程拍照或录相。</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sz w:val="28"/>
          <w:szCs w:val="28"/>
        </w:rPr>
      </w:pPr>
      <w:r>
        <w:rPr>
          <w:rFonts w:hint="eastAsia" w:ascii="仿宋_GB2312" w:hAnsi="仿宋" w:eastAsia="仿宋_GB2312" w:cs="仿宋"/>
          <w:sz w:val="28"/>
          <w:szCs w:val="28"/>
        </w:rPr>
        <w:t>（3）收集的电子数据应当使用光盘或者其他数字存储介质备份，监管机构为取证人时，应当妥善保存至少一份封存状态的电子数据备份件，并随案移送，以被法庭质证和认证使用。</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sz w:val="28"/>
          <w:szCs w:val="28"/>
        </w:rPr>
      </w:pPr>
      <w:r>
        <w:rPr>
          <w:rFonts w:hint="eastAsia" w:ascii="仿宋_GB2312" w:hAnsi="仿宋" w:eastAsia="仿宋_GB2312" w:cs="仿宋"/>
          <w:sz w:val="28"/>
          <w:szCs w:val="28"/>
        </w:rPr>
        <w:t>（4）提供通过技术手段恢复或破解的与案件有关的光盘或者其他数字存储介质、电子设备中被删除的数据、隐藏或者加密的电子数据，必须附有恢复或破解对象、过程、方法和结果的专业说明。对方当事人对该专业说明持异议，并且有证据表明上述方式获取的电子数据存在篡改、剪裁、删除和添加等不真实的情况的，可以向人民法院申请鉴定，而人民法院应予准许。</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sz w:val="28"/>
          <w:szCs w:val="28"/>
        </w:rPr>
      </w:pPr>
      <w:r>
        <w:rPr>
          <w:rFonts w:hint="eastAsia" w:ascii="仿宋_GB2312" w:hAnsi="仿宋" w:eastAsia="仿宋_GB2312" w:cs="仿宋"/>
          <w:sz w:val="28"/>
          <w:szCs w:val="28"/>
        </w:rPr>
        <w:t>3.《民事诉讼证据规定》</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sz w:val="28"/>
          <w:szCs w:val="28"/>
        </w:rPr>
      </w:pPr>
      <w:r>
        <w:rPr>
          <w:rFonts w:hint="eastAsia" w:ascii="仿宋_GB2312" w:hAnsi="仿宋" w:eastAsia="仿宋_GB2312" w:cs="仿宋"/>
          <w:sz w:val="28"/>
          <w:szCs w:val="28"/>
        </w:rPr>
        <w:t>（1）电子数据的分类</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sz w:val="28"/>
          <w:szCs w:val="28"/>
        </w:rPr>
      </w:pPr>
      <w:r>
        <w:rPr>
          <w:rFonts w:hint="eastAsia" w:ascii="仿宋_GB2312" w:hAnsi="仿宋" w:eastAsia="仿宋_GB2312" w:cs="仿宋"/>
          <w:sz w:val="28"/>
          <w:szCs w:val="28"/>
        </w:rPr>
        <w:t>内容数据，指与案件有关的文档、图片、图像等电子数据；衍生数据，指对内容数据进行操作时，计算机自动生成的有关操作行为的数据；环境数据，指数据的生成、增加、删除、修改、传输所依赖的软硬件环境；通信数据，是指在利用网络传输数据时生成的关于通信的数据。</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sz w:val="28"/>
          <w:szCs w:val="28"/>
        </w:rPr>
      </w:pPr>
      <w:r>
        <w:rPr>
          <w:rFonts w:hint="eastAsia" w:ascii="仿宋_GB2312" w:hAnsi="仿宋" w:eastAsia="仿宋_GB2312" w:cs="仿宋"/>
          <w:sz w:val="28"/>
          <w:szCs w:val="28"/>
        </w:rPr>
        <w:t>（2）电子数据的范围</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sz w:val="28"/>
          <w:szCs w:val="28"/>
        </w:rPr>
      </w:pPr>
      <w:r>
        <w:rPr>
          <w:rFonts w:hint="eastAsia" w:ascii="仿宋_GB2312" w:hAnsi="仿宋" w:eastAsia="仿宋_GB2312" w:cs="仿宋"/>
          <w:sz w:val="28"/>
          <w:szCs w:val="28"/>
        </w:rPr>
        <w:t>网络平台发布的信息；网络应用服务的通信信息；注册信息、交易记录等痕迹信息；文档、音频、视频等电子文件；其他以数字化形式存储、处理、传输的能够证明案件事实的信息。</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sz w:val="28"/>
          <w:szCs w:val="28"/>
        </w:rPr>
      </w:pPr>
      <w:r>
        <w:rPr>
          <w:rFonts w:hint="eastAsia" w:ascii="仿宋_GB2312" w:hAnsi="仿宋" w:eastAsia="仿宋_GB2312" w:cs="仿宋"/>
          <w:sz w:val="28"/>
          <w:szCs w:val="28"/>
        </w:rPr>
        <w:t>（3）电子数据审查判断规则</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sz w:val="28"/>
          <w:szCs w:val="28"/>
        </w:rPr>
      </w:pPr>
      <w:r>
        <w:rPr>
          <w:rFonts w:hint="eastAsia" w:ascii="仿宋_GB2312" w:hAnsi="仿宋" w:eastAsia="仿宋_GB2312" w:cs="仿宋"/>
          <w:sz w:val="28"/>
          <w:szCs w:val="28"/>
        </w:rPr>
        <w:t>电子数据的完整性、可靠性需要遵循无损性原则、专业性原则和完整性原则；电子数据的生成、存储、传输所依赖的计算机系统的硬件、软件环境是否完整、可靠；是否处于正常运行状态；如处于非正常状态下的影响程度，是否具备有效的防止出错的监测、核查手段；是否被完整地保存、传输、提取；相关搜集的方法是否可靠，相关搜集的主体是否适当等；在有必要时，可以通过鉴定、勘验的方法，辅助法官形成心证；明确了电子数据推定真实的规则。结合电子数据形成、保存、传输、提取的一般方式，以下电子数据，除有足以反驳的相反证据外，人民法院可以推定其为真实：由当事人提交和保管的于己不利的电子数据；由记录和保存电子数据的中立第三方平台提供或者确认的电子数据；在正常业务活动中形成的电子数据；以档案管理方式保管的电子数据；以当事人约定的方式保存、传输、提取的电子数据。</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二、对某些特殊证据的特殊要求</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（一）域外证据</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1.对于中华人民共和国领域外的证据应当满足的要求</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（1）当事人向人民法院提供的在中华人民共和国领域外形成的证据，应当说明来源。即要说明证据来源地、证据是否受到影响、证据形成、收集和提供的基本情况。</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经所在国公证机关证明并经中华人民共和国驻该国使领馆认证或者履行中华人民共和国与证据所在国订立的有关条约中规定的证明手续。对于域外证据，不能认为只要原告一方是外国人或者外国组织就要履行上述认证手续。只有证据是在域外形成的，才履行上述认证手续。</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（3）与我国尚未建立外交关系的国家形成的证据如何提供。参照《民事诉讼法》第59条第3款的规定，由当地爱国华侨团体予以证明。</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2.对于在港澳台地区形成的证据的要求</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对于在香港、澳门地区形成的证据，需要办理的证明手续。驻港澳的机构（包括新华社香港分社、澳门分社等单位）的工作人员，由他们所在机构出具证明；香港港九工会联合会、澳门工会联合会等社会团体的成员，由他们所在团体出具证明；内地驻港澳机构为其工作人员出具的婚姻证明、港澳有关社会团体为其会员出具的婚姻证明，在内地使用时，自该证明签发之日起三个月内有效；我内地驻澳机构的职工由其机构出具证明；澳门工会联合总会、中华教育会、中华总商会街坊会联合总会等四个团体可为本社团工作人员出具有关证明；婚姻状况证明可由澳门司法事务室下属民事登记局出具《结婚登记证明书》；中国法律服务（澳门）有限公司成立后，对于发生在澳门地区的有法律意义的事实和文书的证明，经中国法律（澳门）有限公司和澳门司法事务室下属的四个民事登记局出具公证证明，即具有证明力；香港居民可由我国司法部门委托的香港律师办理证明。</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对于在台湾地区形成的证据需要办理的手续。根据两岸签署的《两岸公证书使用查证协议》和司法部《两岸公证书使用查证协议实施办法》，大陆与台湾公证机构作出的公证书应当同时将副本递送对方，并可就有关事项相互协作查证；联系的主体双方分别是中国公证员协会或有关省、自治区、直辖市公证员协会与台湾海峡交流基金会；应寄送的公证书副本包括涉及继承、收养、婚姻、出生、死亡、委托、学历、定居、抚养亲属及财产权利证明等10项公证书副本。目前《两岸公证书使用查证协议》是两岸关于查证的唯一的协议，通过公证方式查证仍然是唯一的证明途径。</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（二）外文书证和外国语视频资料</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1.对于外文书证和外国语视听资料应当附有翻译资质的机构翻译的或者其他翻译准确的中文译本。由翻译机构盖章或者翻译人员签名。</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2.参照《关于驻外使、领馆中国公民申请人民法院承认外国法院离婚判决时进行公证认证的有关规定》，经证明无误的中文译本可经如下途径证明：</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（1）外国公证机构公证、外交部或外交部授权机构认证及我驻外使领馆认证；</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（2）驻外使领馆直接认证；</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（3）国内公证机关公证。</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（三）涉密证据</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1.涉及国家秘密、商业秘密、个人隐私的证据，提供人应当作出明确标注并向法庭说明。</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2.行政机关对于属于国家秘密的事项，必须提供合理的理由，法院才能认可。</w:t>
      </w:r>
    </w:p>
    <w:p>
      <w:pPr>
        <w:pStyle w:val="4"/>
        <w:keepNext w:val="0"/>
        <w:keepLines w:val="0"/>
        <w:pageBreakBefore w:val="0"/>
        <w:widowControl w:val="0"/>
        <w:wordWrap/>
        <w:bidi w:val="0"/>
        <w:spacing w:before="0" w:after="0" w:line="500" w:lineRule="exact"/>
        <w:ind w:firstLine="522" w:firstLineChars="200"/>
        <w:jc w:val="both"/>
        <w:rPr>
          <w:rFonts w:hint="eastAsia" w:ascii="仿宋_GB2312" w:hAnsi="仿宋" w:eastAsia="仿宋_GB2312" w:cs="仿宋"/>
          <w:sz w:val="28"/>
          <w:szCs w:val="28"/>
        </w:rPr>
      </w:pPr>
      <w:r>
        <w:rPr>
          <w:rFonts w:hint="eastAsia" w:ascii="仿宋_GB2312" w:hAnsi="仿宋" w:eastAsia="仿宋_GB2312" w:cs="仿宋"/>
          <w:sz w:val="28"/>
          <w:szCs w:val="28"/>
        </w:rPr>
        <w:t>三、提交证据的要求和证据的交接要求</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（一）提交证据的要求</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1.分类编号</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当事人应当就其诉讼请求对准备提交的证据材料进行分类，凡属于证明一个诉讼主张的应当归为一类，并且就每一证据材料按照时间顺序或者主次关系进行编号。</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2.简要说明</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当事人应当对证据材料的来源、证明对象和内容作简要说明。证据材料的来源是指证据材料的所在、出处，证据材料属于第一手还是第二手等；证明对象一般是行政行为的合法性、原告受损的事实以及程序性事实等；证据材料的内容应当按照不同证据种类的情况做说明，如书证应当说明书证包含的内容，物证应当说明其外观特征等。</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3.签名盖章</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当事人应当在每一份证据材料上签名或者盖章。行政机关应当在证据材料上加盖单位印章。</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4.注明年月日</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（二）证据的交接要求</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为了避免产生是否收到证据材料、是否完整等争议，要求法院收到提交的证据材料后出具收据，注明证据的名称、份数、页数、件数、种类等以及收到的时间，由经办人员签名或者盖章。</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四、举证责任的范围与分配</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（一）规范性文件</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被告的举证范围不包括规范性文件，但是提供规范性文件是行政机关证明其行政行为合法性的必要手段和诉讼义务。</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（二）行政不作为</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1.拒绝类不作为案件</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对于拒绝的不作为案件实行和作为类案件同样的标准。也就是说对于拒绝行为的合法性应当由行政机关来承担，原告不承担。</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2.不予答复类不作为案件</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（1）依职权</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被告对其不作为的合法性应当由行政机关来承担。</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（2）依申请</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第一，对于提出申请的事项应当由原告承担举证责任。</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第二，由于行政机关受理申请的登记制度不完备等正当事由不能提供相关证据材料，并能够做出合理说明的，由被告承担举证责任。</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第三，对于依申请的不作为行为的合法性，一般应当由行政机关的证明。</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第四，如果行政机关对与已申请的事项未予答复，视为拒绝，行政机关应当承担举证责任，证明其不作为的合法性。此时无论如何行政机关也不能证明其不作为是合法的，因为不予答复本身违反了答复义务或者履行法定职责的义务合法性，举证责任必然不能完成。</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sz w:val="28"/>
          <w:szCs w:val="28"/>
        </w:rPr>
        <w:t>第五，以不同阶段的形成程序而言，如果行政机关在接受申请的过程中，已经经历了若干的作为阶段，则对于申请是否符合法定标准，不作为行为的合法性等均负举证责任。</w:t>
      </w:r>
    </w:p>
    <w:p>
      <w:pPr>
        <w:pStyle w:val="3"/>
        <w:keepNext w:val="0"/>
        <w:keepLines w:val="0"/>
        <w:pageBreakBefore w:val="0"/>
        <w:widowControl w:val="0"/>
        <w:wordWrap/>
        <w:bidi w:val="0"/>
        <w:adjustRightInd/>
        <w:snapToGrid/>
        <w:spacing w:before="0" w:after="0" w:line="500" w:lineRule="exact"/>
        <w:ind w:firstLine="522" w:firstLineChars="200"/>
        <w:jc w:val="both"/>
        <w:rPr>
          <w:rFonts w:hint="eastAsia" w:ascii="楷体" w:hAnsi="楷体" w:eastAsia="楷体" w:cs="仿宋"/>
          <w:bCs w:val="0"/>
          <w:color w:val="000000"/>
          <w:sz w:val="28"/>
          <w:szCs w:val="28"/>
        </w:rPr>
      </w:pPr>
      <w:r>
        <w:rPr>
          <w:rFonts w:hint="eastAsia" w:ascii="楷体" w:hAnsi="楷体" w:eastAsia="楷体" w:cs="仿宋"/>
          <w:bCs w:val="0"/>
          <w:color w:val="000000"/>
          <w:sz w:val="28"/>
          <w:szCs w:val="28"/>
        </w:rPr>
        <w:t>第二节  证据的审查</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庭审中应当从五个角度进行质证来判断证据材料的证明能力和证明力。一是围绕证据的三性，即关联性、合法性、客观性；二是根据证据学理分类；三是根据《行政诉讼法》证据的法定分类；四是根据证明效力的大小；五是根据行政诉讼的证明标准。</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任何事物都有质、量、度，行政诉讼证据也不例外。证据的“三性”属于行政诉讼证据的质。证明效力的大小属于行政诉讼证据的量。行政诉讼的证明标准则是行政诉讼证据的度。在行政诉讼办案过程中，我们要注意把握行政诉讼证据的质、量、度。</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审查关联性、合法性、客观性的顺序。</w:t>
      </w:r>
      <w:r>
        <w:rPr>
          <w:rFonts w:hint="eastAsia" w:ascii="仿宋_GB2312" w:hAnsi="仿宋" w:eastAsia="仿宋_GB2312" w:cs="仿宋"/>
          <w:sz w:val="28"/>
          <w:szCs w:val="28"/>
        </w:rPr>
        <w:t>如果不具有关联性，对合法性和客观性不再考虑；合法性是对证据正当性的判断，即使证据是真实的，也应当予以排除；如果具有合法性，再进一步审查是否具有客观性。</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一、从证据的关联性、合法性、客观性的角度来判断</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（一）区分一般诉讼证据和可定案证据</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证据是指通过法定的诉讼程序，由司法机关基于特定的证明目的使用的，并能够反映案件事实的材料或者手段。就材料而言，是指书证、物证和视听资料等证据形式，手段则是与物证相对应的人证或者言词证据的表现形式。证据的外在表现通常是证据材料，内在表现则是证据事实。证据是形式和内容的统一。证据区分为一般诉讼证据和可定案证据，一般诉讼证据就是指《行政诉讼法》规定的与案件事实有一定联系的各种材料和事实。可定案诉讼证据，这是指能够证明诉讼案件情况的一切事实。证据不一定具有客观真实的属性，那么运用证据的主体，也不必限定为审查判断证据三性，审判主体可以扩展到所有的诉讼主体，甚至是行政程序中的所有主体。</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（二）明确成为可定案证据条件</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证据的真实性、关联性、合法性，三者之间存在着内在的逻辑性和统一性，三者相互区别、相互依存、相互渗透，缺一不可。</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证据的客观性是指证据事实本身是客观真实的，不是主观臆断的。证据的关联性，是指证据事实与待证事实之间具有客观关联性，并且具有证明力。证据的合法性，是指对于该证据的来源、形式、审查判断等是合法的。客观性反映的是证据的实质内容，证据的关联性反映的是证据的本质属性，合法性反映的是法律对于证据的允许度和可得性。一个证据材料，只有三性具备，才能作为定案证据。</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1.客观性</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作为行政诉讼证据，必须是在争议的行政法律关系发生变更终止过程中形成的，必须客观真实的反映记载案件的事实。这些事实必须客观存在，而非主观臆断或凭空想象。对于行政诉讼证据的客观性，最为关键的是保证证据材料来源于案件发生之时，对于案件发生之后的证据材料并不能证实案件发生当时的情况，也就不具有客观性。行政诉讼被告在诉讼中收集的证据已经不能反映案件发生当时的客观事实，因此不具有客观性。</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2.关联性</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不管是何种联系，只要证据反映了一定的事实情节，能够证明行政案件中待证事实的一部分或全部，该证据便有了关联性。证据的关联性，是证明力的基础和根据。</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关联性的内容。关联性必须对案件事实具有实质意义，具有证明性。对于是否存在实质意义，一般从四个方面来判断：第一，证据能够证明何种事实；第二，此事实对于解决案件争议问题有何作用；第三，法律是否存在对关联性的具体要求等；第四，科学技术的发展使证据材料对案件的真实性可能产生关联性。</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关联性的具体形式。第一，体现因果关系、条件上的联系、时间上的联系、程序上的联系、空间上的联系、必然性的联系、偶然性的联系；第二，体现为肯定事实方面的联系、否定事实方面的联系；第三，直接证明的联系、间接证明的联系等各方面的联系。</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3.合法性</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证据的合法性要求通常包括三个方面的内容。</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证据的收集、调查必须符合法律规定的程序，不依法定程序取得的证据，不得作为定案的证据。《行政诉讼法》对法院、当事人、代理人收集或提供证据的权利和义务方法途径等做了明确的规定。在诉讼过程中被告及其代理人不得自行向原告、第三人和证人收集证据。人民法院有权向有关行政机关以及其他组织、公民调取证据。根据上述规定，人民法院可以以当事人的申请或依职权勘验现场。勘验现场时，勘验人必须出示人民法院的证件，并邀请当地基层组织或者当事人所在单位派人参加。当事人或其成年家属应当到场，拒不到场的不影响勘验的进行，但应当在勘验笔录中说明情况。</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某些事实必须具有法律所要求的特定形式，不具有此种特定形式，不能作为可定案证据。当事人向人民法院提供证人证言的，应当符合下列要求：写明证人的姓名、年龄、性别、职业、住址的基本情况，有证人的签名，不能签名的，应当以盖章等方式证明。注明出具日期。附有居民身份证复印件等证明证人身份的文件。</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证据必须经法定程序查证属实，才能作为定案证据。以下证据均不能作为认定被诉行政行为合法的依据：被告及其诉讼代理人在作出行政行为后或者在诉讼程序中自行收集的证据；被告在行政程序中非法剥夺公民、法人或者其他组织依法享有的陈述、申辩或者听证权利所采用的证据；原告或第三人在诉讼程序中提供的，被告在行政程序中未作为行政行为依据的证据。</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二、根据证据的学理分类来判断</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（一）区别原始证据与传来证据</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区别的标准在于是否经过信息传播的中间环节，没有经过信息传播的中间环节就是原始证据，否则的话是传来证据。原始证据由于没有经过中间环节，直接来自证据信息来源，与案件事实所在的信息来源距离最近，证据的可靠性最强。反之，传来证据由于距离证据信息来源较远，其证明力较小，可靠性较弱。一般来说，原始证据的证明价值大于传来证据。在行政诉讼中应当尽量地提供和运用原始证据，对于传来证据，应当注明来源和出处。</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（二）区别直接证据与间接证据</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所谓直接证据是指能够直接、单独证明案件中主要待证事实的证据。所谓间接证据是指不能直接、单独证明案件中的待证事实，必须与其他证据结合起来进行推论，才能证明的证据。直接证据的优点是证明方法简单，无须经过复杂的推理过程，其缺点是由于大多数的直接证据是言词证据，在真实性方面较弱，同时直接证据数量较少，收集比较困难。因此，对直接证据应当把审查的重点放在真实性方面。</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常见的直接证据有：</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当事人陈述。由于当事人一般是事件的参与者、参与者、经历者，其陈述大多能够证明案件的主要待证事实，是最常见的直接证据。当事人的陈述必须能够证明主要的待证事实，才能作为直接证据。例如，行政机关只是陈述了被扣押物品的数量和种类，没有说明其行政行为的合法性，不能作为直接证据。</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2.能够证明案件主要待证事实的证人证言。</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3.能够证明案件主要事实的书证。</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4.能够证明案件主要事实的视听资料。</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常见的间接证据一般包括物证、勘验笔录、鉴定结论等。实践证明，间接证据在诉讼中具有重要的作用。间接证据数量大、范围广；能够证明待证事实的各个环节或者事实要素；间接证据可以鉴别直接证据的真伪；间接证据是发现直接证据的重要途径；若干间接证据的证明力，有时超过直接证据的证明力；间接证据的优点在于证据的真实性较强如物证。缺点在于只能证明主要待证事实的情节或者片段，并且推理过程相对复杂和困难。即使掌握了直接证据，在具体的案件中既离不开直接证据，也离不开间接证据，即使掌握了直接证据，对于间接证据也要尽可能多，尽可能充分的收集。只有充分发挥各自的优势，克服各自的弱势，优势互补，相互印证，才能构成严密的、确实的、充分的证明体系。</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（三）区别主要证据和补强证据</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主要证据是指证明案件主要争议事实存在与否的证据。《行政诉讼法》规定，对于主要证据不足的，法院可以判决撤销。主要证据有两个主要特点。一是主要证据是证明主要待证事实的存在的。在行政诉讼中主要待证事实是行政行为的合法性、行政主体资格、行政职权的管辖和权限等等待证事实，均属于主要的待证事实。如果证据不能就主要的待证事实提供证明，就不是主要证据。二是主要证据需要补强证据予以补充和印证。主要证据大多属于受主观意志影响较大的言词证据，真实性存在不确定，需要其他证据的证明力予以补强。也就是说，主要证据未经补强不能作为认定案件事实的根据。补强证据是指证明案件主要争议事实以外的其他事实的证据。补强证据不能证明案件事实的主要事实，但是可以用来考证主要证据的可靠性，增强或者担保主要证据的证明力。根据补强证据规则进行质证。《行政诉讼证据规定》第71条规定，下列证据不能单独作为定案依据：未成年人所做的与其年龄和智力状况不相适应的证言；与一方当事人有亲属关系或者其他密切关系的证人所作的对该当事人有利的证言，或者与一方当事人有不利关系的证人所作的对该当事人不利的证言；应当出庭作证而无正当理由不出庭作证的证人证言；难以识别是否经过修改的视听资料；无法与原件、原物核对的复制件或者复制品；经一方当事人或者他人改动，对方当事人不予认可的证据材料；其他不能单独作为定案依据的证据材料。</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（四）区分本证与反证</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本证是指一方当事人主张某种事实，并提出该事实存在的证据。在司法实践中，凡是支持一方当事人的事实主张能够成立，证明该主张之事实存在的证据就是本证。在行政诉讼中，被告对于被诉行政行为合法性承担举证责任，被告提出的证明行政行为合法主张的证据就属于本证。原告为证明被告行政行为不合法的事实的主张所提供的证据，则属于反证。对于本证的事实，当事人一方提出的本证必须明显大于另一方的反证，才能完成举证责任。</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反证是指当事人一方否定对方当事人所主张的事实而提出的证据。</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通过对本证和反证的识别，有利于使案件事实在对抗中得到澄清，有利于法官全面了解诉讼当事人的事实主张和证据情况，防止偏听偏信。本证的证明力必须明显大于反证的证明力，才能完成举证责任，否则，应当承担举证不能的后果。在司法实践中，对于本证和反证，都应当引起重视并认真地进行审查核实。</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此外，还应当区分实体证据与程序证据、区分无效证据与可定案证据。</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三、根据《行政诉讼法》证据的法定分类来判断</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b w:val="0"/>
          <w:bCs w:val="0"/>
          <w:color w:val="000000"/>
          <w:kern w:val="44"/>
          <w:sz w:val="28"/>
          <w:szCs w:val="28"/>
        </w:rPr>
      </w:pPr>
      <w:r>
        <w:rPr>
          <w:rFonts w:hint="eastAsia" w:ascii="仿宋_GB2312" w:hAnsi="仿宋" w:eastAsia="仿宋_GB2312" w:cs="仿宋"/>
          <w:color w:val="000000"/>
          <w:sz w:val="28"/>
          <w:szCs w:val="28"/>
        </w:rPr>
        <w:t>（一）书证</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行政诉讼中的书证具有案卷性。此处的案卷是指行政案卷。根据行政法的案卷排他性原则，行政机关应当提供其在行政程序中的案卷材料。行政机关在行政程序之外或者在诉讼中取得的书证，一般不能作为行政诉讼中的书证使用，同样行政相对人在诉讼中提出在行政程序中没有提出的书证，亦不得作为书证使用。</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1.区分公文书证和私文书证</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公文书证是指国家机关或者公共职能部门在其职权范围内制作的文书。私文书证是指公民、法人或者其他组织在司法领域内制作的各种文书。此外国家机关或者公共职能部门制作的非属于其职权范围的文书应属于私文书证。根据我国有关的司法解释，国家机关以及其他职能部门依职权制作的公文文书优于其他书证，如果公文书证构成了被诉行政行为的一部分，则此公文书证的证明力应当由法院通过合法性审查予以确定，不能一概认为公文书证的证明力一概大于私文书证。</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2.区分一般书证和特殊书证</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特殊书证是指法律法规对相关书证的形式、规格、格式、程序等方面作了专门规定的书证，反之，法律法规没有做专门规定的书证作为一般书证。特殊书证必须具备特定形式或者履行特定的法律程序。因此，一般书证的审查要点在于其意思表示是否真实。特殊诉讼的审查要点在于是否具备法律法规规定的形式要件。</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3.处分性书证和事实性书证</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处分性书证是指根据书证所记载或者表述的内容，具有处分法律关系，并可以导致一定的法律后果或者制作目的在于产生、变更、消灭一定的法律关系的书证。处分性书证由于对于涉及的行政法律关系具有直接性，一般来说可以作为确定特定法律行为，证据具有较强的证明力。事实性书证是指根据其所记载或者表述的内容，以记录或者描述已经发生的或者认知的具有法律意义的事实的书证。事实性书证由于对行政法律关系的证明具有间接性和不确定性，其内容是否可信，尚需经过审查判断，在证明力上也弱于处分性书证。一般来说，处分性书证属于直接证据的范畴，事实性书证则属于间接证据的范畴。</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4.区分原本、正本、副本、节录本、影印本、译本</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原本与其他文本相比较，原本的证明力效力最高。正本在内容上与原本完全相同，并且与原本的法律效力等同。副本是依照原本抄录印制，但是不具有正本效力的书证。副本通常应当加盖与正本核对无异的印鉴。副本和正本的证明效力之间没有直接的联系，因为两者制作的目的、收存对象和发与对象均不相同，不能得出正本优于副本的结论。节录本一般是书证制作人根据自己的主观偏好加以摘要形成的，因此，难以全面客观地反映原本的真实内容。如果在诉讼中对其内容提出质疑，节录本提供人应当提供原本书证，否则将影响其证明效力。</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（二）物证</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大多数的物证需要同其他证据相结合，才能证明主要的待证事实。物证一般需要经过科学的判断和推理，并和其他证据结合起来，才能正确认定。</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1.区分实体物证、痕迹物证和微量物证。实体物证一般可以通过辨认来确定其与案件事实之间的联系。痕迹物证则一般需要采用相应的技术和材料设备鉴定后才能确定。微量物物证一般需要经过检验技术的确认，类似于痕迹物证。</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2.区分外表特征物证、内部成分物证、习性特征物证和味觉特征物证。</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（三）视听资料</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要注意视听资料是否已经被复制、篡改、伪造，是否已经遗失重要相关信息等，在对视听资料的真实性进行判断时，必须注意其可能存在的缺陷。在行政诉讼过程中，如果对视听资料提出异议并有合理理由的，应当进行鉴定。</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（四）电子数据</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电子数据具有易删改性，在储存、传输、复制过程中容易遭到删改破坏，从而损害电子数据的完整性和可靠性，而删改、损坏电子数据的行为具有隐蔽性和技术性，不易被察觉，需要补强证据，对其证明力予以补强。</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下列电子证据可以视为具有可采性：通过质证双方当事人均认可的电子证据；有证据证明计算机系统在关键时刻处于正常状态时产生的证据；附有电子签名的电子书证或者有其他安全保障的电子数据；有适格证人通过具结证明等方式证明电子数据难以篡改或者具有真实性；适格鉴定机构经鉴定认为未遭篡改的电子证据等。</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kern w:val="44"/>
          <w:sz w:val="28"/>
          <w:szCs w:val="28"/>
        </w:rPr>
        <w:t>经过公证机关公证的电子数据的证明力，具有较高的证明力；有专家出具的鉴定意见的电子数据具有较高的证明力；有官方的核证认证程序产生的电子数据，具有较高的证明力；使用适格的认证机构证书进行电</w:t>
      </w:r>
      <w:r>
        <w:rPr>
          <w:rFonts w:hint="eastAsia" w:ascii="仿宋_GB2312" w:hAnsi="仿宋" w:eastAsia="仿宋_GB2312" w:cs="仿宋"/>
          <w:color w:val="000000"/>
          <w:sz w:val="28"/>
          <w:szCs w:val="28"/>
        </w:rPr>
        <w:t>子签名的电子证据，具有较高的证明力；不利方保存的电子数据的证明力大于中立第三方保存的电子数据。</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（五）区分证人证言、当事人陈述、鉴定意见、勘验笔录、现场笔录</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44"/>
          <w:sz w:val="28"/>
          <w:szCs w:val="28"/>
        </w:rPr>
      </w:pPr>
      <w:r>
        <w:rPr>
          <w:rFonts w:hint="eastAsia" w:ascii="仿宋_GB2312" w:hAnsi="仿宋" w:eastAsia="仿宋_GB2312" w:cs="仿宋"/>
          <w:color w:val="000000"/>
          <w:sz w:val="28"/>
          <w:szCs w:val="28"/>
        </w:rPr>
        <w:t>辨认笔录、审判笔录、计算机或者通过其他高科技方式产生的证据、专家证人证言，均属于证据形式。在行政诉讼中规范性文件不予视为证据。规范性</w:t>
      </w:r>
      <w:r>
        <w:rPr>
          <w:rFonts w:hint="eastAsia" w:ascii="仿宋_GB2312" w:hAnsi="仿宋" w:eastAsia="仿宋_GB2312" w:cs="仿宋"/>
          <w:color w:val="000000"/>
          <w:kern w:val="44"/>
          <w:sz w:val="28"/>
          <w:szCs w:val="28"/>
        </w:rPr>
        <w:t>文件是否有效，不能以证据规则加以判断，也不能因为行政机关不提供有关规范性文件而无视其存在。</w:t>
      </w:r>
    </w:p>
    <w:p>
      <w:pPr>
        <w:pStyle w:val="4"/>
        <w:keepNext w:val="0"/>
        <w:keepLines w:val="0"/>
        <w:pageBreakBefore w:val="0"/>
        <w:widowControl w:val="0"/>
        <w:wordWrap/>
        <w:bidi w:val="0"/>
        <w:spacing w:before="0" w:after="0" w:line="500" w:lineRule="exact"/>
        <w:ind w:firstLine="522" w:firstLineChars="200"/>
        <w:jc w:val="both"/>
        <w:rPr>
          <w:rFonts w:hint="eastAsia" w:ascii="仿宋_GB2312" w:hAnsi="仿宋" w:eastAsia="仿宋_GB2312" w:cs="仿宋"/>
          <w:sz w:val="28"/>
          <w:szCs w:val="28"/>
        </w:rPr>
      </w:pPr>
      <w:r>
        <w:rPr>
          <w:rFonts w:hint="eastAsia" w:ascii="仿宋_GB2312" w:hAnsi="仿宋" w:eastAsia="仿宋_GB2312" w:cs="仿宋"/>
          <w:sz w:val="28"/>
          <w:szCs w:val="28"/>
        </w:rPr>
        <w:t>四、从证明效力大小的角度来判断</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44"/>
          <w:sz w:val="28"/>
          <w:szCs w:val="28"/>
        </w:rPr>
      </w:pPr>
      <w:r>
        <w:rPr>
          <w:rFonts w:hint="eastAsia" w:ascii="仿宋_GB2312" w:hAnsi="仿宋" w:eastAsia="仿宋_GB2312" w:cs="仿宋"/>
          <w:sz w:val="28"/>
          <w:szCs w:val="28"/>
        </w:rPr>
        <w:t>判断证明效力的大小的主要依据是《行政诉讼证据规定》第63条和71条。</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行政诉讼证据规定》第63条规定：证明同一事实的数个证据，其证明效力一般可以按照下列情形分别认定：（一）国家机关以及其他职能部门依职权制作的公文文书优于其他书证；（二）鉴定结论、现场笔录、勘验笔录、档案材料以及经过公证或者登记的书证优于其他书证、视听资料和证人证言；（三）原件、原物优于复制件、复制品；（四）法定鉴定部门的鉴定结论优于其他鉴定部门的鉴定结论；（五）法庭主持勘验所制作的勘验笔录优于其他部门主持勘验所制作的勘验笔录；（六）原始证据优于传来证据；（七）其他证人证言优于与当事人有亲属关系或者其他密切关系的证人提供的对该当事人有利的证言；（八）出庭作证的证人证言优于未出庭作证的证人证言；（九）数个种类不同、内容一致的证据优于一个孤立的证据。</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sz w:val="28"/>
          <w:szCs w:val="28"/>
        </w:rPr>
      </w:pPr>
      <w:r>
        <w:rPr>
          <w:rFonts w:hint="eastAsia" w:ascii="仿宋_GB2312" w:hAnsi="仿宋" w:eastAsia="仿宋_GB2312" w:cs="仿宋"/>
          <w:color w:val="000000"/>
          <w:kern w:val="44"/>
          <w:sz w:val="28"/>
          <w:szCs w:val="28"/>
        </w:rPr>
        <w:t>第71条规定，下列证据不能单独作为定案依据：（一）未成年人所作的与其年龄和智力状况不相适应的证言；（二）与一方当事人有亲属关系或者其他密切关系的证人所作的对该当事人有利的证言，或者与一方当事人有不利关系的证人所作的对该当事人不利的证言；（三）应当出庭作证而无正当理由不出庭作证的证人证言；（四）难以识别是否经过修改的视听资料；（五）无法与原件、原物核对的复制件或者复制品；（六）经一方当事人或者他人改动，对方当事人不予认可的证据材料；（七）其他不能单独作为定案依据的证据材料。</w:t>
      </w:r>
    </w:p>
    <w:p>
      <w:pPr>
        <w:pStyle w:val="4"/>
        <w:keepNext w:val="0"/>
        <w:keepLines w:val="0"/>
        <w:pageBreakBefore w:val="0"/>
        <w:widowControl w:val="0"/>
        <w:wordWrap/>
        <w:bidi w:val="0"/>
        <w:spacing w:before="0" w:after="0" w:line="500" w:lineRule="exact"/>
        <w:ind w:firstLine="522" w:firstLineChars="200"/>
        <w:jc w:val="both"/>
        <w:rPr>
          <w:rFonts w:hint="eastAsia" w:ascii="仿宋_GB2312" w:hAnsi="仿宋" w:eastAsia="仿宋_GB2312" w:cs="仿宋"/>
          <w:sz w:val="28"/>
          <w:szCs w:val="28"/>
        </w:rPr>
      </w:pPr>
      <w:r>
        <w:rPr>
          <w:rFonts w:hint="eastAsia" w:ascii="仿宋_GB2312" w:hAnsi="仿宋" w:eastAsia="仿宋_GB2312" w:cs="仿宋"/>
          <w:sz w:val="28"/>
          <w:szCs w:val="28"/>
        </w:rPr>
        <w:t>五、从是否达到行政诉讼证明标准来判断</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sz w:val="28"/>
          <w:szCs w:val="28"/>
        </w:rPr>
      </w:pPr>
      <w:r>
        <w:rPr>
          <w:rFonts w:hint="eastAsia" w:ascii="仿宋_GB2312" w:hAnsi="仿宋" w:eastAsia="仿宋_GB2312" w:cs="仿宋"/>
          <w:sz w:val="28"/>
          <w:szCs w:val="28"/>
        </w:rPr>
        <w:t>（一）优势证明标准</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对简易程序案件、轻微的行政处罚、行政裁决、告知等行政行为应采用优势证明标准。</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sz w:val="28"/>
          <w:szCs w:val="28"/>
        </w:rPr>
      </w:pPr>
      <w:r>
        <w:rPr>
          <w:rFonts w:hint="eastAsia" w:ascii="仿宋_GB2312" w:hAnsi="仿宋" w:eastAsia="仿宋_GB2312" w:cs="仿宋"/>
          <w:sz w:val="28"/>
          <w:szCs w:val="28"/>
        </w:rPr>
        <w:t>（二）排除合理怀疑的证明标准</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被限制人身自由的行政处罚或者强制措施、责令停产停业和吊销执照证件等重大影响的行政案件，应采用排除合理怀疑证明标准。</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sz w:val="28"/>
          <w:szCs w:val="28"/>
        </w:rPr>
      </w:pPr>
      <w:r>
        <w:rPr>
          <w:rFonts w:hint="eastAsia" w:ascii="仿宋_GB2312" w:hAnsi="仿宋" w:eastAsia="仿宋_GB2312" w:cs="仿宋"/>
          <w:sz w:val="28"/>
          <w:szCs w:val="28"/>
        </w:rPr>
        <w:t>（三）清楚而有说服力的证明标准</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对其他一般行政行为都应采取采用清楚而有说服力的证明标准。</w:t>
      </w:r>
    </w:p>
    <w:p>
      <w:pPr>
        <w:pStyle w:val="2"/>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outlineLvl w:val="9"/>
        <w:rPr>
          <w:rFonts w:hint="eastAsia" w:ascii="黑体" w:hAnsi="黑体" w:eastAsia="黑体" w:cs="仿宋"/>
          <w:b w:val="0"/>
          <w:bCs/>
          <w:color w:val="000000"/>
          <w:sz w:val="28"/>
          <w:szCs w:val="28"/>
        </w:rPr>
      </w:pPr>
    </w:p>
    <w:p>
      <w:pPr>
        <w:pStyle w:val="2"/>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黑体" w:hAnsi="黑体" w:eastAsia="黑体" w:cs="仿宋"/>
          <w:b w:val="0"/>
          <w:bCs/>
          <w:color w:val="000000"/>
          <w:sz w:val="28"/>
          <w:szCs w:val="28"/>
        </w:rPr>
      </w:pPr>
      <w:bookmarkStart w:id="62" w:name="_Toc7935"/>
      <w:r>
        <w:rPr>
          <w:rFonts w:hint="eastAsia" w:ascii="黑体" w:hAnsi="黑体" w:eastAsia="黑体" w:cs="仿宋"/>
          <w:b w:val="0"/>
          <w:bCs/>
          <w:color w:val="000000"/>
          <w:sz w:val="28"/>
          <w:szCs w:val="28"/>
        </w:rPr>
        <w:t>第五章   法律的适用</w:t>
      </w:r>
      <w:bookmarkEnd w:id="62"/>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如何适用法律的问题，基本上是被诉行政行为的法律依据审查的问题。</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根据《行政诉讼法》，只有行政行为证据确凿，适用法律法规正确，符合法定程序，无超越职权、滥用职权等情形全部齐备时，才可以认为合法。行政行为在作出之时依据的规范性文件是否正确，关系到被诉行政行为的合法性。这是行政诉讼中的核心和关键问题。</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要审查行政机关在行政行为中适用的行政实体法律和行政程序法律的合法性状况。要审查证据等实体问题。要审查被告在作出行政行为时应当作为依据而没有作为依据的规范性文件。要审查行政诉讼程序问题。</w:t>
      </w:r>
    </w:p>
    <w:p>
      <w:pPr>
        <w:pStyle w:val="3"/>
        <w:keepNext w:val="0"/>
        <w:keepLines w:val="0"/>
        <w:pageBreakBefore w:val="0"/>
        <w:widowControl w:val="0"/>
        <w:wordWrap/>
        <w:bidi w:val="0"/>
        <w:adjustRightInd/>
        <w:snapToGrid/>
        <w:spacing w:before="0" w:after="0" w:line="500" w:lineRule="exact"/>
        <w:ind w:firstLine="522" w:firstLineChars="200"/>
        <w:jc w:val="both"/>
        <w:rPr>
          <w:rFonts w:hint="eastAsia" w:ascii="楷体" w:hAnsi="楷体" w:eastAsia="楷体" w:cs="仿宋"/>
          <w:bCs w:val="0"/>
          <w:color w:val="000000"/>
          <w:sz w:val="28"/>
          <w:szCs w:val="28"/>
        </w:rPr>
      </w:pPr>
      <w:r>
        <w:rPr>
          <w:rFonts w:hint="eastAsia" w:ascii="楷体" w:hAnsi="楷体" w:eastAsia="楷体" w:cs="仿宋"/>
          <w:bCs w:val="0"/>
          <w:color w:val="000000"/>
          <w:sz w:val="28"/>
          <w:szCs w:val="28"/>
        </w:rPr>
        <w:t>第一节  行政诉讼的法律渊源</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行政诉讼法》第52条规定，人民法院审理行政案件以法律和行政法规、地方性法规为依据。地方性法规适用于本行政区域内发生的行政案件，人民法院审理民族自治地方的行政案件，并以该民族自治地方的自治条例和单行条例为依据。人民法院审理行政案件参照规章。</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行政诉讼的法律渊源包括宪法、法律、行政法规、地方性法规、自治条例和单行条例、规章以及国际条约、协定与司法解释。</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一、宪法</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般说来，《宪法》的规定都应当通过法律法规等规范形式予以具体化，只有法律和法规才是直接适用的依据，但是这并不排除《宪法》对行政审判工作的指导作用和在没有法律法规规定的情况下，可以直接适用《宪法》的具体内容，特别是在对保护公民合法权益时，对于人身权、财产权以外的其他宪法权利，可以根据案件实际情况引用。</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二、法律</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根据《立法法》规定，全国人民代表大会常务委员会的法律解释，同法律具有同等效力。法律在位阶上仅次于宪法，法律根据《宪法》的规定就行政机关的法律地位、权限、行政程序、行政义务以及法律责任等作出规定。法律在效力上高于其他规范性文件，是其他规范性文件的基础和依据。并非全国人大通过的文件都是法律，根据《宪法》的规定，全国人大还行使一些审查权和决议权，上述通常以决议的形式作出的文件不属于法律的范畴。</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三、行政法规</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行政法规在位阶上低于宪法和法律，但高于地方性法规和规章。属于国务院行政管理职权范围的事项，无需先有法律。行政法规有如下三种类型：</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1.国务院制定并公布的行政法规；</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2.《立法法》实行以前，按照当时有效的行政法规制定程序，经国务院批准，由国务院部门公布的行政法规，但在《立法法》施行以后，经国务院批准，由国务院部门公布的规范性文件不再属于行政法规；</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3.在清理行政法规时，由国务院确认的其他行政法规。</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四、地方性法规、自治条例和单行条例</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1.审查是否违背法律或者行政法规的基本原则。</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2.审查是否对《宪法》和《民族区域自治法》的规定以及其他有关法律行政法规专门就民族自治地方所作的规定做出了变通规定。</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3.审查涉国际贸易行政行为是否适用地方性法规。</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五、规章</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规章是行政规章的简称，是指国务院各部门以及省、自治区、直辖市人民政府和较大的市人民政府，根据法律法规制定的有关行政管理的规定、办法、规则等规范性文件的总称。规章包括国务院部门制定的规章和地方政府制定的规章，简称部门规章和地方规章。</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（一）部门规章</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1.《立法法》规定具有行政管理职能的直属机构（如国家工商行政管理总局、国家质量技术监督局、国家知识产权局、国家新闻出版署、国家税务总局、海关总署等）享有规章制定权。</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立法法》第80条第2项规定，部门规章规定的事项应当属于执行法律或者国务院的行政法规、决定、命令的事项。没有法律或者国务院的行政法规、决定、命令的依据，部门规章不得减损公民、法人和其他组织权利或者增加其义务，不得增加本部门的权利或者减少本部门的法定职责。部门规章规定的事项必须局限于执行法律或者国务院的行政法规、决定、命令的事项。国务院部门如果没有法律和行政法规的授权，不能自行制定部门规章。规章不能创制规则，只能将法律和行政法规具体化。</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（二）地方政府规章</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1.法律依据</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根据《地方各级人民代表大会》和《地方各级人民政府组织法》第82条第1款的规定，省、自治区、直辖市的人民政府可以根据法律、行政法规和本省、自治区、直辖市的地方性法规制定规章，报国务院和本级人民代表大会常务委员会备案。省、自治区人民政府所在地的市和经国务院批准的较大的市的人民政府，可以根据法律、行政法规和本省、自治区的地方性法规制定规章，报国务院和省、自治区的人民代表大会常务委员会、人民政府以及本级人民代表大会常务委员会备案。1992年后，全国人大及其常委会通过特别授权的方式授予深圳、厦门、汕头、珠海4个经济特区市的规章制定权。《立法法》将地方规章的制定主体扩大了，经济特区纳入到了较大的市的范围，享有规章制定权。</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2.制定地方规章的权限限制</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必须是为执行法律、行政法规、地方性法规的规定需要制定规章的事项。制定规章必须由法律，行政法规地方性法规的明确规定，这类规章具有执行性。对于没有法律、行政法规、地方性法规的明确规定的，可以根据本地方的实际情况制定相应的配套措施和具体规定。应当制定地方性法规，但条件尚不成熟的，因行政管理迫切需要可以先制定地方政府规章，规章实施满两年需要继续实施规章所规定的行政措施的，应当提请本级人民代表大会或者常务委员会制定地方性法规。没有法律、行政法规、地方性法规的依据，地方政府不得制定减损公民、法人和其他组织权利或者增加其义务的规范。</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必须属于本行政区域的具体行政管理事项。“属于本行政区域的具体行政管理事项”的依据主要是来源于《宪法》和《地方各级人民代表大会和地方各级人民政府组织法》的规定。《宪法》第107条规定，县级以上地方各级人民政府依照法律规定的权限，管理本行政区域内的经济、教育、科学、文化、卫生、体育事业、城乡建设事业和财政、民政、公安、民族事务、司法行政、监察、计划生育等行政工作。《地方各级人民代表大会和地方各级人民政府组织法》第59条第5项规定，执行国民经济和社会发展计划、预算，管理本行政区域内的经济、教育、科学、文化、卫生、体育事业、环境和资源保护、城乡建设事业和财政、民政、公安、民族事务、司法行政、监察、计划生育等行政工作。为履行上述行政管理职能，《立法法》对此进行了明确，只有在满足上述条件的情况下，才能制定地方规章。同时规定，设区的市、自治州的人民政府根据本条第1款第2款制定地方政府规章，限于城乡建设与管理、环境保护、历史文化保护等方面的事项。已经制定的地方政府规章，涉及上述事项范围以外的继续有效。除省、自治区的人民政府所在地的市，经济特区所在地的市和国务院已经批准的较大的市以外，其他设区的市、自治州的人民政府开始制定规章的时间，与本省、自治区人民代表大会常务委员会确定的本市、自治州开始制定地方性法规的时间同步。</w:t>
      </w:r>
    </w:p>
    <w:p>
      <w:pPr>
        <w:pStyle w:val="3"/>
        <w:keepNext w:val="0"/>
        <w:keepLines w:val="0"/>
        <w:pageBreakBefore w:val="0"/>
        <w:widowControl w:val="0"/>
        <w:wordWrap/>
        <w:bidi w:val="0"/>
        <w:adjustRightInd/>
        <w:snapToGrid/>
        <w:spacing w:before="0" w:after="0" w:line="500" w:lineRule="exact"/>
        <w:ind w:firstLine="522" w:firstLineChars="200"/>
        <w:jc w:val="both"/>
        <w:rPr>
          <w:rFonts w:hint="eastAsia" w:ascii="楷体" w:hAnsi="楷体" w:eastAsia="楷体" w:cs="仿宋"/>
          <w:bCs w:val="0"/>
          <w:color w:val="000000"/>
          <w:sz w:val="28"/>
          <w:szCs w:val="28"/>
        </w:rPr>
      </w:pPr>
      <w:r>
        <w:rPr>
          <w:rFonts w:hint="eastAsia" w:ascii="楷体" w:hAnsi="楷体" w:eastAsia="楷体" w:cs="仿宋"/>
          <w:bCs w:val="0"/>
          <w:color w:val="000000"/>
          <w:sz w:val="28"/>
          <w:szCs w:val="28"/>
        </w:rPr>
        <w:t>第二节   法律规范冲突时的选择适用</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一、下位法与上位法相抵触情形下的选择适用</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下位法的规定不符合上位法的，原则上应当适用上位法。当前许多行政行为是依据下位法作出的，并未援引和适用上位法。在这种情况下，为维护法制统一，审查行政行为的合法性时，应当对下位法是否符合上位法一并进行判断。经判断下位法与上位法相抵触的，应当依据上位法认定被诉行政行为的合法性。</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2.从司法实践看，下位法不符合上位法的常见情形有：</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（1）下位法缩小上位法规定的权利主体范围，或者违反上位法立法目的扩大上位法规定的权利主体范围；</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（2）下位法限制或者剥夺上位法规定的权利，或者违反上位法立法目的扩大上位法规定的权利范围；</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（3）下位法扩大行政主体或其职权范围；下位法延长上位法规定的履行法定职责期限；</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（4）下位法以参照、准用等方式扩大或者限缩上位法规定的义务或者义务主体的范围、性质或者条件；</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（5）下位法增设或者限缩违反上位法规定的适用条件；</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（6）下位法扩大或者限缩上位法规定的给予行政处罚的行为、种类和幅度的范围；</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（7）下位法改变上位法已规定的违法行为的性质；</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（8）下位法超出上位法规定的强制措施的适用范围、种类和方式，以及增设或者限缩其适用条件；</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（9）法规、规章或者其他规范文件设定不符合行政许可法规定的行政许可，或者增设违反上位法的行政许可条件；</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（10）其他相抵触的情形。</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3.法律、行政法规或者地方性法规修改后，其实施性规定未被明文废止的，人民法院在适用时应当区分下列情形：</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（1）实施性规定与修改后的法律、行政法规或者地方性法规相抵触的，不予适用；</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（2）因法律、行政法规或者地方性法规的修改，相应的实施性规定丧失依据而不能单独施行的，不予适用；</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（3）实施性规定与修改后的法律、行政法规或者地方性法规不相抵触的，可以适用。</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二、特别规定与一般规定的选择适用</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（一）一般情况</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特别法优于一般法。一般来说，特别法和一般法的适用主要针对的是同一个位阶的法律规范。除非上位法的一般法授权下位法以特别法修改其确立的法律规范，人民法院不承认任何与上位法相冲突的下位法为特别法，一般视为下位法与上位法相冲突或者为无法律效力的越权规定。全国人大常委会和全国人大制定的法律规范之间发生冲突，属于特别法和一般法的冲突，不是上位法和下位法的冲突。</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（二）特殊情况</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1.一般规定和特别规定存在于不同法律规范之中。根据法定程序，辨明特别规定和一般规定，并根据特别法优于一般法的规则加以适用。</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同一机关制定的新的一般规定和旧的特别规定不一致。（1）新的一般规定允许旧的特别规定继续适用的，适用旧的特别规定。（2）新的一般规定废止旧的特别规定的，适用新的一般规定。（3）如果不能确定新的一般规定是否允许旧的特别规定继续适用的，应当按照《立法法》的规定由制定机关裁决。</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三、新旧法律规范的选择适用</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（一）实体从旧，程序从新</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就行政诉讼而言，所谓的“实体从旧，程序从新”原则，主要是指判断行政行为合法性的标准应当“从旧”，须按照行政行为作出时的法律规范来判断；对于行政行为合法性的评判程序和裁判方式的选择，一般说来并不直接影响合法性评价标准问题，可以“从新”适用审理和裁判的规则。</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（二）实体从旧，程序从新的例外</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特定的法律规范另有明确规定。如果法律法规和规章明确规定实体问题从新，程序问题从旧的，依其规定。例如《矿产资源法》。2.同一规范有变化，应当适用“从新从优”原则。3.根据行政行为性质应当适用新法。</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（三）行政法规规范的溯及力</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1.对于限制或者剥夺利害关系人权利的行政行为，应当采取从旧兼有利于利害关系人的原则。</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行政机关在行政活动中只能依据现行有效的法律，即原则上只能适用旧法，但是，如果新法不认为行政相对人或者相关人的行为违反法律规定，认为应当免除、减轻或者取消该项违法事项的规定，行政机关应当按照新法予以处理。</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2.对于赋予行政相对人或者行政相关人权利的行政行为（赋权类行政行为），应当适用从新原则。</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3.对于为行政相对人或者行政相关人的科以义务的行政行为，应当按照行政相对人或者行政相关人履行该项行政义务的时间界域来确定。</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4.对于涉及行政相对人或者行政相关人救济程序上的权利的事项，应当适用从新兼有利于利害关系人原则。</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（四）司法解释的溯及力</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1.一般情况</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绝大多数司法解释一般都明确适用于该解释生效后发生的案件或者正在审理的案件。</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2.特殊情况</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最高人民法院有的请示答复明确了，对于旧法未规定公民、组织诉权的，为保护公民、组织诉权，人民法院应当予以受理。</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四、地方性法规与部门规章、规章之间冲突的选择适用</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（一）地方性法规与部门规章冲突的选择适用</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法律或者行政法规授权部门规章作出实施性规定的，其规定优先适用。《污《水污染防治法》规定，国务院环境保护部门根据本法制定实施细则。《航道管理条例》规定，交通部可以根据本条例制定实施细则。《计量法实施细则》规定，本细则有关的管理办法、管理范围和各种印、证标志，由国务院计量行政部门制定。《商标法实施细则》规定，商标注册用商品和服务分类表由国务院工商行政管理部门制定并公布。</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尚未制定法律、行政法规的部门规章，对于国务院决定、命令授权的事项，或者对于中央宏观调控的事项，需要全国统一的市场活动规则及对外贸易和外商投资等需要全国统一规定的事项作出的规定，应当优先使用。按照《国家行政机关公文处理办法》的规定，国务院发布的决定和命令，通常是指国务院对重大事项或重大行动作出安排而形成的文件。《反倾销条例》《反补贴条例》《保障措施条例》等均规定，商务部根据条例制定具体实施办法。《外商外资企业法》规定，国务院对外经济贸易主管部门根据本法制定实施细则，报国务院批准后实行。</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地方性法规根据法律或者行政法规的授权，根据本行政区域的实际情况作出的具体规定，应当优先适用。根据《水土保持法》的规定，省、自治区、直辖市人民代表大会常务委员会可以根据本法和本地区的实际情况制定实施办法。《农村土地承包法》规定，各省、自治区、直辖市人民代表大会常务委员会可以根据本法，结合本行政区域的实际情况，制定实施办法。《城市供水条例》规定，对于违反本条例的事项的罚款数额，由省、自治区、直辖市人民政府规定。</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4.地方性法规对属于地方性事务的事项如本行政区域内的名胜古迹作出保护等作出的规定，应当优先适用。</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5.尚未制定法律、行政法规的，地方性法规根据本行政区域的具体情况，对需要全国统一规定以外的事情作出的规定，应当优先适用。《最高人民法院关于道路运输市场管理的地方性法规与部门规章规定不一致的法律适用问题的答复》指出，在国家制定道路运输管理的法律或者行政法规之前，人民法院在审理有关道路运输市场管理的行政案件时，可以优先选择适用本省根据本地具体情况和实际需要制定的有关道路运输市场管理的地方性法规。《最高人民法院行政审判庭对&lt;关于个体诊所是否应向工商行政部门办理营业执照的请示&gt;的答复》指出，法律行政法规未作明确规定，人民法院在审理这类案件时，如地方性法规有明确规定，可参照地方性法规的具体规定办理。</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6.如果根据上述适用规则仍然不能确定如何适用的，法院应当中止行政案件的审理，逐级上报最高人民法院，按照《立法法》第86条第1款第（2）项的规定送请有权机关处理。</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（二）规章冲突若干情形下的选择适用</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1.部门规章和地方政府规章冲突时的选择适用</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（1）对于授权国务院部门制定规章的主要涉及国家集中统一管理和监督，以及中央进行宏观调控方面的内容，部门规章的效力应当高于地方政府规章。</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法律和法规只授权地方政府制定的事项，多数是涉及多个部门的综合性的行政事项，或者结合地方实际情况作出具体化规定的情形，地方政府的规章优先于部门规章适用。如果地方政府规章是根据地方性法规授权制定的，则不具有优先于部门规章的效力。</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根据《宪法》和地方组织法规定行使地方对本行政区域行政事项管理权的，地方政府规章优先使用。此种规章一般就国家行政管理体制的操作和运转方面的具体措施办法和补充规定、实施本地经济发展目标的具体规定、本行政区域内经济管理的具体措施和办法、本行政区域内行政机关内部的工作制度和工作程序方面的事项等等作出规定。由于涉及区域性较强或规定的事项属于地方政府职权范围的规章，地方政府规章的效力应当高于部门规章。</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（4）对于根据法律或者行政法规授权作出实施性规定的部门规章，部门规章优先于地方政府规章适用。</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2.国务院部门之间规章发生冲突时的选择适用</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适用与上位法不相抵触的部门规章规定。《最高人民法院行政审判庭关于对苹果苗木的检疫职权应由何部门行使的答复》指出，苹果苗木的检疫应当由农业部行使，应当适用农业部的规章。因为林业部规章规定的苹果苗木的检疫职权与上位法相抵触，农业部规章规定的检疫职权并未与上位法相抵触。</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与上位法均不抵触的，优先适用根据专属职权制定的规章规定。《最高人民法院关于对审理农用运输车行政管理纠纷案件应当如何适用法律问题的答复》指出，公安机关对于农用运输的管理属于专属职权，人民法院审理农用运输车行政管理纠纷，涉及相关行政管理职权的，应当适用《道路交通管理条例》和《国务院关于改革道路交通管理体制的通知》的有关规定。对于产品质量监督管理领域，涉及国家质量监督检验检疫总局和国家工商行政管理总局的职权交叉问题，最高人民法院认为国办发[2001 ]56号文和57号文根据《产品质量法》第70条授权明确规定，国家质量监督检验检疫总局负责生产领域的产品质量监督管理，国家工商行政管理总局负责流通领域产品质量监督管理。</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两个以上的国务院部门就涉及其职权范围的事项联合制定的规章规定，优先于其中一个部门单独作出的决定。1983年农牧渔业部、林业部等6部联合下发的《关于国内邮寄、托运植物和植物产品实施检疫的联合通知》的附件规定了农业植物类和森林植物类，苹果苗木被划归到农业植物类。上述联合通知在法律性质上属于联合规章，联合规章亦具有优先于其中一个部门单独作出规定的效力。</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（4）如果不能确定如何使用的，应当终止行政案件的审理，逐级上报最高人民法院送请国务院裁决。</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3.地方政府规章之间发生冲突时的选择适用</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（1）不同省份之间政府制定的规章之间发生的冲突。应当按照行政行为发生地来确定，即适用行政行为发生的所在省份政府制定的规章。</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本省份内部省、自治区政府制定的规章和较大的市政府制定的规章之间发生的冲突。省级政府制定的规章效力高于较大的市政府制定的规章。理由是省级政府管辖的范围、行政级别都大于或者高于较大的市政府制定的规章。</w:t>
      </w:r>
    </w:p>
    <w:p>
      <w:pPr>
        <w:pStyle w:val="3"/>
        <w:keepNext w:val="0"/>
        <w:keepLines w:val="0"/>
        <w:pageBreakBefore w:val="0"/>
        <w:widowControl w:val="0"/>
        <w:wordWrap/>
        <w:bidi w:val="0"/>
        <w:adjustRightInd/>
        <w:snapToGrid/>
        <w:spacing w:before="0" w:after="0" w:line="500" w:lineRule="exact"/>
        <w:ind w:firstLine="522" w:firstLineChars="200"/>
        <w:jc w:val="both"/>
        <w:rPr>
          <w:rFonts w:hint="eastAsia" w:ascii="楷体" w:hAnsi="楷体" w:eastAsia="楷体" w:cs="仿宋"/>
          <w:bCs w:val="0"/>
          <w:color w:val="000000"/>
          <w:sz w:val="28"/>
          <w:szCs w:val="28"/>
        </w:rPr>
      </w:pPr>
      <w:r>
        <w:rPr>
          <w:rFonts w:hint="eastAsia" w:ascii="楷体" w:hAnsi="楷体" w:eastAsia="楷体" w:cs="仿宋"/>
          <w:bCs w:val="0"/>
          <w:color w:val="000000"/>
          <w:sz w:val="28"/>
          <w:szCs w:val="28"/>
        </w:rPr>
        <w:t>第三节   行政诉讼中的法律解释</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立法法》重申了法的解释权限属于全国人大常委会，至于具体应用的解释，《立法法》没有规定。1981年全国人大常委会通过了《关于加强法律解释工作的决议》，关于具体应用法律、法令的司法解释权仍然有效。《立法法》生效后，全国人大常委会的立法解释和司法机关的具体应用解释，没有发生任何变化。最高人民法院作出的司法解释，尤其是对于请示案件的答复，亦为审理案件时的具体解释。</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一、文义解释</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（一）专业术语的优先性</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在文义解释中，一般情况下应当按照通常的语义进行解释，如果有专业的特殊语义的，应当按照专业术语的语义进行解释。对于专业术语，通常不能按照一般人的理解进行解释，应当符合专业术语在特定语境下的特定含义。例如，关于工业氧的性质问题就是一个专业术语的问题。工业氧既是工业产品，又是药品。工业氧如果用作药品，就必须符合药品的标准。《最高人民法院关于工商行政管理部门对医疗机构购买工业氧代替医用氧用于临床的行为是否具有处罚权问题的答复》认为，医疗机构购买工业氧代替医用氧用于临床的行为违反了《药品管理法》的有关规定，应当依照《药品管理法》的规定，由药品监督管理部门予以处罚。</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专业术语的解释一般来源于行政机关的解释。如果行政解释没有进入司法程序，行政解释通常会被认同为有效解释；如果行政解释进入司法程序，行政解释应当服从于法院的法律解释。一般来说，行政机关是专业知识上的专家，如果行政解释涉及较高的行政技术性和专业性问题，一般尊重行政机关的解释。</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（二）同一术语的解释</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般情况下，在法律规范体系之内，对于统一术语的法律解释，应当做同样的理解，但是有时会遇到同一术语在一部法律或者多部法律中的内涵并不相同。在行政诉讼中比较常见的同一术语含义不同的典型例子包括授权、裁决、仲裁、审批、复核等。</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1.授权</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一般含义。根据《行政诉讼法》的规定，授权是指非行政机关的组织通过法律法规的特别授权获得行政主体的资格。例如，《铁路法》第3条第2款规定，国家铁路运输企业行使法律行政法规授予的行政管理职能。再比如，全国人大常委会1983年通过的《关于授权国务院对退休退职办法进行部分修改和补充的决定》，1984年通过的《关于授权国务院改革工商税制和发布试行有关税收条例（草案）的决定》，1985年通过的《关于授权国务院对有关经济体制和对外开放方面的问题制定暂行规定或条例的决定》等三个决定即是授予国务院在《宪法》第89条列举权力之外的授权性职权。</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特殊含义。授权还有非《行政诉讼法》规定的含义即行政委托。例如《公民出境入境管理法》第40条规定，因公务出境的中国公民所使用的护照，由外交部或者外交部授权的地方外事部门颁发，海关证由港务监督局或者港务监督局授权的港务监督颁发，因私事出境的中国公民所使用的护照，由公安部和公安部授权的地方公安机关颁发。《公路管理条例实施细则》第9条规定，各级公路主管部门可根据实际情况设置公路管理机构，公路管理机构依据公路主管部门的授权负责公路管理工作。</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2.裁决</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（1）一般含义。一般是指行政机关解决民事行政争议的活动。行政裁决与行政立法、行政执法构成了行政行为。</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特殊含义。《立法法》中裁决指决定。《行政诉讼法》以及司法解释中裁决指最终裁决、行政复议决定、行政处理决定、行政处罚等。例如，《立法法》第95条、《土地管理法实施条例》第25条第3款、《城市房屋拆迁管理条例》第14条。</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3.仲裁</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（1）一般含义。《立法法》规定的仲裁制度，是指专门的仲裁机构对平等主体的公民、法人和其他组织之间发生的经济纠纷以及其他有关利益纠纷进行公正裁决的行为。</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（2）特殊含义。《仲裁法》规定的仲裁、《农村土地承包法》规定的仲裁、劳动仲裁、人事仲裁。</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（三）通常语义的解释</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如果法律规范中的措辞没有特殊含义，就应当按照通常的语义来进行解释。</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二、体系解释</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体系解释通常是从部分与整体、个别与全部的角度来进行解释。</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（一）同一法律规范内部的体系解释</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1.总则和分则</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行政诉讼法》总则规定人民法院审理行政案件对行政行为是否合法进行审查，确定了合法性审查原则。《行政诉讼法》第54条第1款第4项规定，行政处罚显示公正的，可以判决变更。总则和分则似乎存在着矛盾，但根据体系解释，显失公正也是违法的情形，是对违法情形的补充性列举规定，法院进行的审查，仍然属于合法性审查。</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2.条文与条文</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行政复议法》第30条第1款应当结合该法第6条第4项和第30条第2款的规定进行体系解释。根据《行政复议法》第30条第1款的规定，公民、法人或者其他组织认为行政机关确认土地、矿藏、水流、森林、山岭、草原、荒地、滩涂、海域等自然资源的所有权或者使用权的行政行为，侵犯其已经依法取得的自然资源所有权或者使用权的，经行政复议后才可以向人民法院提起行政诉讼，但法律另有规定的除外。对涉及自然资源所有权或使用权的行政处罚、行政强制措施等其他行政行为提起行政诉讼的，不适用《行政复议法》第30条第1款的规定。</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（二）不同位阶的法律规范外部的体系解释（合宪性解释）</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土地管理法实施条例》第3条、国家土地管理局《确定土地所有权和使用权的若干规定》第18条与《宪法》第10条第2款和《土地管理法》第6条第2款相冲突。运用宪性解释的方法，按照《宪法》和《土地管理法》的规定，应当理解为农村和城市郊区的土地，如果属于国家所有的，应当由法律作出明确的规定，如果法律没有规定的，则属集体所有的土地。</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三、历史解释、目的解释、例示解释</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（一）历史解释</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历史解释又称为沿革解释，是指通过研究法律规范制定时的历史背景，当时立法机关对于该文件的审议情况、草案说明以及将该文件和已经废止的同类法律规范进行比较，来阐述法律规范的内容和含义。（1）立法机关法律规范起草说明稿。依据和参照的含义不能明确时，考察王汉斌《关于&lt;中华人民共和国行政诉讼法（草案）&gt;的说明》。（2）立法机关有关人员撰写的释义。</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（二）目的解释</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通过考察立法过程、法律制度的发展状况、立法机关的意图、不断发展的社会政策的立法动因，明确法律对于利益的权衡，是目的解释的基本方法。如果条文中可能存在漏洞和不足，必须通过目的解释来使相应的法条得到修正或者弥补，使法律的意义更加清晰，更加符合法律规定的目的。如果语义已经有所扩大，并且有害于立法目的的解释，法院一般倾向于限缩解释。（1）扩张解释。《拍卖法》第22条规定的拍卖人及其工作人员不得以竞买人的身份参与自己组织的拍卖活动，包括拍卖人及其工作人员，不得在自己组织的拍卖活动中接受他人委托，以自己的行为代为竞买的情形。（2）限缩解释。</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（三）例示解释</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sz w:val="28"/>
          <w:szCs w:val="28"/>
        </w:rPr>
        <w:t>例示解释是指对于法律规范不完全列举的例示性规定的解释。法律规范的不完全列举，一般通过法律规范条文中的“等”、“其他”等术语方式表</w:t>
      </w:r>
      <w:r>
        <w:rPr>
          <w:rFonts w:hint="eastAsia" w:ascii="仿宋_GB2312" w:hAnsi="仿宋" w:eastAsia="仿宋_GB2312" w:cs="仿宋"/>
          <w:color w:val="000000"/>
          <w:kern w:val="2"/>
          <w:sz w:val="28"/>
          <w:szCs w:val="28"/>
        </w:rPr>
        <w:t>现出来。</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1.等内</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等内是指法律规范条文中列举的事项已经全尽，列举事项等于法律规范条文表达的文字本身。等内基本上可以视为没有等，等仅仅具有语义停顿的含义。例如《立法法》第9条。</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2.等外</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等外是指法律规范条文中列举的事项尚未全尽，列举事项只是法律规范条文中的部分内容。等外一般与法律规范条文中的其他的规定大致相同。对于等外的解释，一般遵循的是有利于相对人的原则。一般来说，对于保护行政相对人有利的解释，通常应作等外的解释。例如，《行政处罚法》第42条。</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座谈会纪要》明确法律规范在列举其适用的典型事项后，又以“等”、“其他”等词语进行表述的，属于不完全列举的历史性规定，以“等”、“其他”等概括性用语表示的事项均为明文列举的事项以外的事项，且其所概括的情形应为与列举事项类似的事项。</w:t>
      </w:r>
    </w:p>
    <w:p>
      <w:pPr>
        <w:pStyle w:val="2"/>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outlineLvl w:val="9"/>
        <w:rPr>
          <w:rFonts w:hint="eastAsia" w:ascii="黑体" w:hAnsi="黑体" w:eastAsia="黑体" w:cs="仿宋"/>
          <w:b w:val="0"/>
          <w:bCs/>
          <w:color w:val="000000"/>
          <w:sz w:val="28"/>
          <w:szCs w:val="28"/>
        </w:rPr>
      </w:pPr>
    </w:p>
    <w:p>
      <w:pPr>
        <w:pStyle w:val="2"/>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黑体" w:hAnsi="黑体" w:eastAsia="黑体" w:cs="仿宋"/>
          <w:b w:val="0"/>
          <w:bCs/>
          <w:color w:val="000000"/>
          <w:sz w:val="36"/>
          <w:szCs w:val="36"/>
        </w:rPr>
      </w:pPr>
      <w:bookmarkStart w:id="63" w:name="_Toc18882"/>
      <w:r>
        <w:rPr>
          <w:rFonts w:hint="eastAsia" w:ascii="黑体" w:hAnsi="黑体" w:eastAsia="黑体" w:cs="仿宋"/>
          <w:b w:val="0"/>
          <w:bCs/>
          <w:color w:val="000000"/>
          <w:sz w:val="28"/>
          <w:szCs w:val="28"/>
        </w:rPr>
        <w:t>第六章  被诉行政行为法律依据的审查</w:t>
      </w:r>
      <w:bookmarkEnd w:id="63"/>
    </w:p>
    <w:p>
      <w:pPr>
        <w:pStyle w:val="3"/>
        <w:keepNext w:val="0"/>
        <w:keepLines w:val="0"/>
        <w:pageBreakBefore w:val="0"/>
        <w:widowControl w:val="0"/>
        <w:wordWrap/>
        <w:bidi w:val="0"/>
        <w:adjustRightInd/>
        <w:snapToGrid/>
        <w:spacing w:before="0" w:after="0" w:line="500" w:lineRule="exact"/>
        <w:ind w:firstLine="522" w:firstLineChars="200"/>
        <w:jc w:val="both"/>
        <w:rPr>
          <w:rFonts w:hint="eastAsia" w:ascii="楷体" w:hAnsi="楷体" w:eastAsia="楷体" w:cs="仿宋"/>
          <w:bCs w:val="0"/>
          <w:color w:val="000000"/>
          <w:sz w:val="28"/>
          <w:szCs w:val="28"/>
        </w:rPr>
      </w:pPr>
      <w:r>
        <w:rPr>
          <w:rFonts w:hint="eastAsia" w:ascii="楷体" w:hAnsi="楷体" w:eastAsia="楷体" w:cs="仿宋"/>
          <w:bCs w:val="0"/>
          <w:color w:val="000000"/>
          <w:sz w:val="28"/>
          <w:szCs w:val="28"/>
        </w:rPr>
        <w:t>第一节   法律法规依据的审查</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一、法律作为依据</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（一）法律之间存在冲突</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中止案件的审理请示最高人民法院作出答复。最高人民法院在《最高人民法院关于对地下热水的属性及适用法律问题的答复》认为，对于法律之间的冲突应当按照各自的规范范围来执行，地下热水属于地热资源，具有矿产资源和水资源的双重属性，应当分别按照水资源法律和矿产资源法律的有关规定执行。</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（二）法律与法规存在的冲突</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根据《立法法》的有关规定，应当适用上位法及法律的规定。全国人大法工委1989年11月17日在答复最高人民法院关于地方性法规与国家法律相抵触应如何执行中指出，人民法院在审理行政案件的过程中，如果发现地方性法规与国家最高权力机关制定的法律相抵触，应当执行国家最高权力机关的法律。这个答复实际上明确了人民法院在地方性法规和法律相抵触情况下，直接适用法律的权力。</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（三）行政审判中可以适用民事法律规范的条件</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1.与本案行政行为的合法性相关；</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2.与本案的利害关系人的财产利益、人身利益、劳动权益等相关；</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3.涉及行政民事交叉的案件；</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4.涉及经济法的法律。</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二、法规作为依据</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（一）行政法规作为依据</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法律、行政法规和地方性法规之间存在冲突，应当按照上位法优于下位法的原则适用。行政法规和法律之间发生冲突的，应当执行法律。地方性法规和行政法规发生冲突，应当执行行政法规。不能确定如何适用的情形，根据《立法法》规定的程序逐级送请有权机关裁决。</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44"/>
          <w:sz w:val="28"/>
          <w:szCs w:val="28"/>
        </w:rPr>
      </w:pPr>
      <w:r>
        <w:rPr>
          <w:rFonts w:hint="eastAsia" w:ascii="仿宋_GB2312" w:hAnsi="仿宋" w:eastAsia="仿宋_GB2312" w:cs="仿宋"/>
          <w:color w:val="000000"/>
          <w:sz w:val="28"/>
          <w:szCs w:val="28"/>
        </w:rPr>
        <w:t>地方性法规如果与行政法规抵触的，属于无效情形，人民法院可以选择适用。</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（二）地方性法规作为依据</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地方性法规与法律、行政法规之间存在不一致，甚至冲突时，直接适用上位法，即应当执行法律和行政法规的规定。</w:t>
      </w:r>
    </w:p>
    <w:p>
      <w:pPr>
        <w:pStyle w:val="3"/>
        <w:keepNext w:val="0"/>
        <w:keepLines w:val="0"/>
        <w:pageBreakBefore w:val="0"/>
        <w:widowControl w:val="0"/>
        <w:wordWrap/>
        <w:bidi w:val="0"/>
        <w:adjustRightInd/>
        <w:snapToGrid/>
        <w:spacing w:before="0" w:after="0" w:line="500" w:lineRule="exact"/>
        <w:ind w:firstLine="522" w:firstLineChars="200"/>
        <w:jc w:val="both"/>
        <w:rPr>
          <w:rFonts w:hint="eastAsia" w:ascii="楷体" w:hAnsi="楷体" w:eastAsia="楷体" w:cs="仿宋"/>
          <w:bCs w:val="0"/>
          <w:color w:val="000000"/>
          <w:sz w:val="28"/>
          <w:szCs w:val="28"/>
        </w:rPr>
      </w:pPr>
      <w:r>
        <w:rPr>
          <w:rFonts w:hint="eastAsia" w:ascii="楷体" w:hAnsi="楷体" w:eastAsia="楷体" w:cs="仿宋"/>
          <w:bCs w:val="0"/>
          <w:color w:val="000000"/>
          <w:sz w:val="28"/>
          <w:szCs w:val="28"/>
        </w:rPr>
        <w:t>第二节  规章依据的审查</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一、规章合法有效的条件</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1.规章涉及的内容在法律法规规定的权限范围之内。</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2.规章的内容符合社会主义法治国家原则，是否与宪法、法律和法规相抵触。</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3.规章制定的程序符合法定程序。</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44"/>
          <w:sz w:val="28"/>
          <w:szCs w:val="28"/>
        </w:rPr>
      </w:pPr>
      <w:r>
        <w:rPr>
          <w:rFonts w:hint="eastAsia" w:ascii="仿宋_GB2312" w:hAnsi="仿宋" w:eastAsia="仿宋_GB2312" w:cs="仿宋"/>
          <w:color w:val="000000"/>
          <w:sz w:val="28"/>
          <w:szCs w:val="28"/>
        </w:rPr>
        <w:t>4.规章不存在重大且明显的瑕疵。</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二、如何判断规章是否合法有效</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行政机关制定的规章是否超出权限范围。包括是否存在超越其他法律规范或者无权制定规章的情况，主要审查规章制定机关的职权范围，看规章制定机关是否行使了应当由立法机关、司法机关，或者其他有权机关应当行使的权利。主要包括两种情形：一是超越权限制定规章；二是无权限制定规章。</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行政规章是否与所依据的法律、行政法规和决定、命令相抵触或者不一致。部门规章除了不得与法律和行政法规相抵触或者不一致，还不得与国务院的决定命令相抵触或者不一致。对于地方政府规章，仅仅审查是否与法律、行政法规和地方性法规相抵触。</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规章是否违背了制定规章的基本原则和精神。根据《规章制定程序条例》第4条的规定，制定规章应当切实保障公民、法人和其他组织的合法权益，在规定其应当履行的义务的同时，应当规定其相应的权利和保障权利实现的途径。制定规章应当体现行政机关的职权与责任相统一的原则，在赋予有关行政机关必要的职权的同时，应当规定其行使职权的条件、程序和应承担的责任。如果制定规则的目的不在于规范相应的行政管理事项，而主要在为相应的行政机关创设行政处罚权，保护部门利益等，即可判断为违背了制定规章的基本原则和精神。</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4.规章是否遵循《规章制定程序条例》的规定。《规章制定程序条例》就行政规章的立项、起草、审查、决定和公布、解释与备案进行了规定。一般而言，对于公民权益影响较大的程序，主要包括：通知利害关系人程序、听取利害关系人意见程序、依法获得听证程序、规章公布程序、对规章制定有异议的救济途径等。违反这些重要程序，可判断为无效。</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44"/>
          <w:sz w:val="28"/>
          <w:szCs w:val="28"/>
        </w:rPr>
      </w:pPr>
      <w:r>
        <w:rPr>
          <w:rFonts w:hint="eastAsia" w:ascii="仿宋_GB2312" w:hAnsi="仿宋" w:eastAsia="仿宋_GB2312" w:cs="仿宋"/>
          <w:color w:val="000000"/>
          <w:sz w:val="28"/>
          <w:szCs w:val="28"/>
        </w:rPr>
        <w:t>5.规章是否生效或者已经失效。规章失效或者终止效力有4种情况。一是颁布新规章，原有同等行政事项的规章的效力自行废止；二是新规章中明确规定旧规章部分有效而不予废止；三是规章与法律、行政法规、国务院决定、命令抵触被上级行政机关撤销，或者被规章制定机关废止；四是规章超过了规章实施期限，因期限届满而自行终止。规章实施之后无论行为发生在何时，在程序上均适用新规章，在实体上应当适用从旧兼从轻（从优）原则，除非规章明确规定对于实体问题适用新规章。</w:t>
      </w:r>
    </w:p>
    <w:p>
      <w:pPr>
        <w:pStyle w:val="3"/>
        <w:keepNext w:val="0"/>
        <w:keepLines w:val="0"/>
        <w:pageBreakBefore w:val="0"/>
        <w:widowControl w:val="0"/>
        <w:wordWrap/>
        <w:bidi w:val="0"/>
        <w:adjustRightInd/>
        <w:snapToGrid/>
        <w:spacing w:before="0" w:after="0" w:line="500" w:lineRule="exact"/>
        <w:ind w:firstLine="522" w:firstLineChars="200"/>
        <w:jc w:val="both"/>
        <w:rPr>
          <w:rFonts w:hint="eastAsia" w:ascii="楷体" w:hAnsi="楷体" w:eastAsia="楷体" w:cs="仿宋"/>
          <w:bCs w:val="0"/>
          <w:color w:val="000000"/>
          <w:sz w:val="28"/>
          <w:szCs w:val="28"/>
        </w:rPr>
      </w:pPr>
      <w:r>
        <w:rPr>
          <w:rFonts w:hint="eastAsia" w:ascii="楷体" w:hAnsi="楷体" w:eastAsia="楷体" w:cs="仿宋"/>
          <w:bCs w:val="0"/>
          <w:color w:val="000000"/>
          <w:sz w:val="28"/>
          <w:szCs w:val="28"/>
        </w:rPr>
        <w:t>第三节  规范性文件依据的审查</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一、总的原则</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规章的合法性审查标准是“合法有效”标准，而其他规范性文件的标准则是“合法有效合理适当”标准。</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《行政诉讼法》第64条规定，人民法院在审理行政案件中经审查规范性文件不合法的，不作为认定行政行为合法的依据，并向制定机关提出处理建议。</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对于经过合法性审查认为行政行为的违法是由于所依据的规范性文件违法造成的，并且造成了行政相对人损失的，目前行政赔偿义务机关一般是作出行政行为的行政机关，不包括规范性文件的制定机关。</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对于法院在进行合法性审查之后不予适用的规范性文件，应当在裁判文书中对其合法性、合理性进行评述，明确阐明理由。在案件结束后，法院应当就该规范性文件中存在的问题，提出具有详细内容的司法建议。上级行政机关或者其他有权机关，在接到司法建议之后，在一定期限内需就是否进行修改或者废止该规范性文件作出书面答复。如果相关机关不予答复的，法院应当就相关情况，请求人民代表大会启动质询等法律监督程序。</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二、行政法规解释</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行政法规解释可以分为“行政法规条文本身需要进一步明确界限或者作补充规定”的创制性解释和“具体应用行政法规问题，贯彻实施法律、行政法规的规范性文件的解释问题”的实施性解释。</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两种行政法规解释在法律效力上等同于行政法规，人民法院在审理案件上应当作为直接依据，但是行政法规解释对法院没有绝对的约束力。如果行政法规的规定涉及对上位法规定的理解，无论是行政法规制定机关，还是执行机关的解释，都不应约束法院。只有上位法制定机关的解释和最高人民法院司法解释才对法院具有约束力，也就是说法院对于行政法规的解释，应当根据法律适用规则进行法律判断，只有在不违反上位法规定等情况下才具有法律依据的地位。</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三、规章解释</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规章解释与行政法规解释不同之点是《规章制定程序条例》没有对规章的实施性解释作出明确的规定。不论是规章制定机关的解释，还是规章执行机关的解释，法院也可以进行审查，如果认为该解释不合法，同样可以不予适用。对个案进行解释的行政解释，对于此种解释不具有行政解释的法律地位。但是行政机关可以将此作为其作出行政行为合法性的证明。对于个案进行的解释或者答复，对于法院而言，只是作为辅助资料或者参考资料，如果认为该解释与被解释的法律规范的宗旨精神相符，可以参考并进而认定行政行为的合法性。</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四、其他规范性文件的解释</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其他规范性文件的解释的法律地位与其他规范性文件相同。对于行政解释，《行政诉讼法》及有关司法解释未作明确规定，因而不能作为法院审理的依据或为法院参照使用，只能作为一种法律事实和证据加以援引。</w:t>
      </w:r>
    </w:p>
    <w:p>
      <w:pPr>
        <w:pStyle w:val="4"/>
        <w:keepNext w:val="0"/>
        <w:keepLines w:val="0"/>
        <w:pageBreakBefore w:val="0"/>
        <w:widowControl w:val="0"/>
        <w:wordWrap/>
        <w:bidi w:val="0"/>
        <w:adjustRightInd/>
        <w:snapToGrid/>
        <w:spacing w:before="0"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五、行政规则</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（一）内涵与外延</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行政规则是指行政机关制定的内部的行政规范。行政规则的主要特征：一是行政规则制定依据是根据行政隶属关系。只有上级行政机关才能制定针对下级行政机关的内部抽象性规定。二是行政规则是一个抽象性的规定，并非针对具体行政事项的处分，不具有处分的法律效果。三是行政规则是一个内部性的规定，并非对外发生法律效力。</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行政规则可以分为4种：</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（1）内部职能分工的行政规则。这类行政规则主要是调整内部行政组织的规范，大多涉及行政机关、行政机构的设置、职能分配、人员组织情况等一般性的规定。</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（2）行政行为行政规则。这类行政规则主要涉及行政行为的职权划分、法定程序、裁量幅度等一般性规定。</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（3）解释性行政规则。这类行政规则主要涉及上级行政机关对于下级行政机关请示的疑难问题或者不确定的法律概念作出一般性解释。</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（4）补缺性行政规则。这类行政规章主要是就法律规范没有作出细化规定的事项进行补缺性的规定。</w:t>
      </w:r>
    </w:p>
    <w:p>
      <w:pPr>
        <w:pStyle w:val="5"/>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（二）行政规则外部化的处理</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一般而言，行政规则只具有内部效果，不能直接对外发生对外效果。但是由于行政机关尤其是下级行政机关对于上级行政机关的抽象指令不能拒绝，必然要通过具体的行政行为反映出来，这样就可能产生行政规则实际上发生外部效果的情况。</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1.行政规则有的外化体现为行政承诺，经常悬挂于行政机关的对外办公场所，行政相对人可能依据行政规则所承诺的事项要求履行行政义务，此时行政机关负担的行政义务不是来源于法律规范，而是来源于自身的承诺，该行政规则对外发生法律效力。</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2.在内部职能分工的行政规则中，主要体现在关于行政机关是否负有相关的行政义务行政职能上，如果行政机关应当履行公法上的义务，而不履行将产生效力外部化的效果。</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3.在行政行为行政规章中，主要体现在行政机关是否遵循了相关的行政程序和行政裁量标准，是否对申请事项进行了认定，是否根据行政承诺的内容履行等产生外部化的效果。</w:t>
      </w:r>
    </w:p>
    <w:p>
      <w:pPr>
        <w:keepNext w:val="0"/>
        <w:keepLines w:val="0"/>
        <w:pageBreakBefore w:val="0"/>
        <w:widowControl w:val="0"/>
        <w:kinsoku/>
        <w:wordWrap/>
        <w:overflowPunct/>
        <w:topLinePunct w:val="0"/>
        <w:autoSpaceDE/>
        <w:autoSpaceDN/>
        <w:bidi w:val="0"/>
        <w:adjustRightInd/>
        <w:snapToGrid/>
        <w:spacing w:after="0" w:line="480" w:lineRule="exact"/>
        <w:ind w:firstLine="522" w:firstLineChars="200"/>
        <w:jc w:val="both"/>
        <w:textAlignment w:val="auto"/>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4.在解释性行政规则中，主要体现为行政相对人对于行政机关的解释，如解释对案件事实产生间接的认定，对于不确定法律概念的解释等也产生对外的法律效果。</w:t>
      </w:r>
    </w:p>
    <w:p>
      <w:pPr>
        <w:keepNext w:val="0"/>
        <w:keepLines w:val="0"/>
        <w:pageBreakBefore w:val="0"/>
        <w:widowControl w:val="0"/>
        <w:kinsoku/>
        <w:wordWrap/>
        <w:overflowPunct/>
        <w:topLinePunct w:val="0"/>
        <w:autoSpaceDE/>
        <w:autoSpaceDN/>
        <w:bidi w:val="0"/>
        <w:adjustRightInd/>
        <w:snapToGrid/>
        <w:spacing w:after="0" w:line="480" w:lineRule="exact"/>
        <w:ind w:firstLine="522" w:firstLineChars="200"/>
        <w:jc w:val="both"/>
        <w:textAlignment w:val="auto"/>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5.在补缺性行政规则中，因其补充事项大多为法律规范所没有规定，因此，易经常发生对外的法律效果。</w:t>
      </w:r>
    </w:p>
    <w:p>
      <w:pPr>
        <w:keepNext w:val="0"/>
        <w:keepLines w:val="0"/>
        <w:pageBreakBefore w:val="0"/>
        <w:widowControl w:val="0"/>
        <w:kinsoku/>
        <w:wordWrap/>
        <w:overflowPunct/>
        <w:topLinePunct w:val="0"/>
        <w:autoSpaceDE/>
        <w:autoSpaceDN/>
        <w:bidi w:val="0"/>
        <w:adjustRightInd/>
        <w:snapToGrid/>
        <w:spacing w:after="0" w:line="480" w:lineRule="exact"/>
        <w:ind w:firstLine="522" w:firstLineChars="200"/>
        <w:jc w:val="both"/>
        <w:textAlignment w:val="auto"/>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6.行政规则不属于规范性文件。对于行政规则不适用法律适用规则，而是对其进行类似于对行政行为的合法性审查。如果行政规则在形式上是抽象的规范，其实质属于行政行为，法院可以根据《行政诉讼法》第54条和《行政诉讼法》解释中的规定作出判决。</w:t>
      </w:r>
    </w:p>
    <w:p>
      <w:pPr>
        <w:pStyle w:val="5"/>
        <w:keepNext w:val="0"/>
        <w:keepLines w:val="0"/>
        <w:pageBreakBefore w:val="0"/>
        <w:widowControl w:val="0"/>
        <w:kinsoku/>
        <w:wordWrap/>
        <w:overflowPunct/>
        <w:topLinePunct w:val="0"/>
        <w:autoSpaceDE/>
        <w:autoSpaceDN/>
        <w:bidi w:val="0"/>
        <w:adjustRightInd/>
        <w:snapToGrid/>
        <w:spacing w:before="0" w:after="0" w:line="480" w:lineRule="exact"/>
        <w:ind w:firstLine="522" w:firstLineChars="200"/>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（三）裁量基准的审查</w:t>
      </w:r>
    </w:p>
    <w:p>
      <w:pPr>
        <w:keepNext w:val="0"/>
        <w:keepLines w:val="0"/>
        <w:pageBreakBefore w:val="0"/>
        <w:widowControl w:val="0"/>
        <w:kinsoku/>
        <w:wordWrap/>
        <w:overflowPunct/>
        <w:topLinePunct w:val="0"/>
        <w:autoSpaceDE/>
        <w:autoSpaceDN/>
        <w:bidi w:val="0"/>
        <w:adjustRightInd/>
        <w:snapToGrid/>
        <w:spacing w:after="0" w:line="480" w:lineRule="exact"/>
        <w:ind w:firstLine="52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在行政法实践中，近年来我国各地各级行政机关纷纷推出各种裁量基准。目的在于通过设定一种规则细化的裁量权行使标准，以加强对裁量权的规范和控制。裁量基准与个案中的利益衡量并无实质区别，其实质就是将个案中的利益衡量加以规则化和制度化，从而更加有效地建构裁量权的行使。裁量基准既是审查依据，又是审查对象。</w:t>
      </w:r>
    </w:p>
    <w:p>
      <w:pPr>
        <w:keepNext w:val="0"/>
        <w:keepLines w:val="0"/>
        <w:pageBreakBefore w:val="0"/>
        <w:widowControl w:val="0"/>
        <w:kinsoku/>
        <w:wordWrap/>
        <w:overflowPunct/>
        <w:topLinePunct w:val="0"/>
        <w:autoSpaceDE/>
        <w:autoSpaceDN/>
        <w:bidi w:val="0"/>
        <w:adjustRightInd/>
        <w:snapToGrid/>
        <w:spacing w:after="0" w:line="480" w:lineRule="exact"/>
        <w:ind w:firstLine="522" w:firstLineChars="200"/>
        <w:jc w:val="both"/>
        <w:textAlignment w:val="auto"/>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1.裁量基准的制定权限</w:t>
      </w:r>
    </w:p>
    <w:p>
      <w:pPr>
        <w:keepNext w:val="0"/>
        <w:keepLines w:val="0"/>
        <w:pageBreakBefore w:val="0"/>
        <w:widowControl w:val="0"/>
        <w:kinsoku/>
        <w:wordWrap/>
        <w:overflowPunct/>
        <w:topLinePunct w:val="0"/>
        <w:autoSpaceDE/>
        <w:autoSpaceDN/>
        <w:bidi w:val="0"/>
        <w:adjustRightInd/>
        <w:snapToGrid/>
        <w:spacing w:after="0" w:line="480" w:lineRule="exact"/>
        <w:ind w:firstLine="522" w:firstLineChars="200"/>
        <w:jc w:val="both"/>
        <w:textAlignment w:val="auto"/>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制定权限确定在省部级行政机关以下县级行政机关以上区间内的行政机关均有裁量基准的制定权限。</w:t>
      </w:r>
    </w:p>
    <w:p>
      <w:pPr>
        <w:keepNext w:val="0"/>
        <w:keepLines w:val="0"/>
        <w:pageBreakBefore w:val="0"/>
        <w:widowControl w:val="0"/>
        <w:kinsoku/>
        <w:wordWrap/>
        <w:overflowPunct/>
        <w:topLinePunct w:val="0"/>
        <w:autoSpaceDE/>
        <w:autoSpaceDN/>
        <w:bidi w:val="0"/>
        <w:adjustRightInd/>
        <w:snapToGrid/>
        <w:spacing w:after="0" w:line="480" w:lineRule="exact"/>
        <w:ind w:firstLine="522" w:firstLineChars="200"/>
        <w:jc w:val="both"/>
        <w:textAlignment w:val="auto"/>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2.裁量基准的公众参与</w:t>
      </w:r>
    </w:p>
    <w:p>
      <w:pPr>
        <w:keepNext w:val="0"/>
        <w:keepLines w:val="0"/>
        <w:pageBreakBefore w:val="0"/>
        <w:widowControl w:val="0"/>
        <w:kinsoku/>
        <w:wordWrap/>
        <w:overflowPunct/>
        <w:topLinePunct w:val="0"/>
        <w:autoSpaceDE/>
        <w:autoSpaceDN/>
        <w:bidi w:val="0"/>
        <w:adjustRightInd/>
        <w:snapToGrid/>
        <w:spacing w:after="0" w:line="480" w:lineRule="exact"/>
        <w:ind w:firstLine="522" w:firstLineChars="200"/>
        <w:jc w:val="both"/>
        <w:textAlignment w:val="auto"/>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裁量基准的正当性需求可以从采取不同强弱程度的公众参与中取得。</w:t>
      </w:r>
    </w:p>
    <w:p>
      <w:pPr>
        <w:keepNext w:val="0"/>
        <w:keepLines w:val="0"/>
        <w:pageBreakBefore w:val="0"/>
        <w:widowControl w:val="0"/>
        <w:kinsoku/>
        <w:wordWrap/>
        <w:overflowPunct/>
        <w:topLinePunct w:val="0"/>
        <w:autoSpaceDE/>
        <w:autoSpaceDN/>
        <w:bidi w:val="0"/>
        <w:adjustRightInd/>
        <w:snapToGrid/>
        <w:spacing w:after="0" w:line="480" w:lineRule="exact"/>
        <w:ind w:firstLine="522" w:firstLineChars="200"/>
        <w:jc w:val="both"/>
        <w:textAlignment w:val="auto"/>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3.裁量基准的公开</w:t>
      </w:r>
    </w:p>
    <w:p>
      <w:pPr>
        <w:keepNext w:val="0"/>
        <w:keepLines w:val="0"/>
        <w:pageBreakBefore w:val="0"/>
        <w:widowControl w:val="0"/>
        <w:kinsoku/>
        <w:wordWrap/>
        <w:overflowPunct/>
        <w:topLinePunct w:val="0"/>
        <w:autoSpaceDE/>
        <w:autoSpaceDN/>
        <w:bidi w:val="0"/>
        <w:adjustRightInd/>
        <w:snapToGrid/>
        <w:spacing w:after="0" w:line="480" w:lineRule="exact"/>
        <w:ind w:firstLine="522" w:firstLineChars="200"/>
        <w:jc w:val="both"/>
        <w:textAlignment w:val="auto"/>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裁量基准具有“自律”的属性，在公开性的问题上，应当坚持裁量基准“相对公开”原则。《湖南省行政程序规定》第91条第2款规定，“裁量权基准应当向社会公开。”</w:t>
      </w:r>
    </w:p>
    <w:p>
      <w:pPr>
        <w:keepNext w:val="0"/>
        <w:keepLines w:val="0"/>
        <w:pageBreakBefore w:val="0"/>
        <w:widowControl w:val="0"/>
        <w:kinsoku/>
        <w:wordWrap/>
        <w:overflowPunct/>
        <w:topLinePunct w:val="0"/>
        <w:autoSpaceDE/>
        <w:autoSpaceDN/>
        <w:bidi w:val="0"/>
        <w:adjustRightInd/>
        <w:snapToGrid/>
        <w:spacing w:after="0" w:line="480" w:lineRule="exact"/>
        <w:ind w:firstLine="522" w:firstLineChars="200"/>
        <w:jc w:val="both"/>
        <w:textAlignment w:val="auto"/>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4.裁量基准对行政相对人的效力</w:t>
      </w:r>
    </w:p>
    <w:p>
      <w:pPr>
        <w:keepNext w:val="0"/>
        <w:keepLines w:val="0"/>
        <w:pageBreakBefore w:val="0"/>
        <w:widowControl w:val="0"/>
        <w:kinsoku/>
        <w:wordWrap/>
        <w:overflowPunct/>
        <w:topLinePunct w:val="0"/>
        <w:autoSpaceDE/>
        <w:autoSpaceDN/>
        <w:bidi w:val="0"/>
        <w:adjustRightInd/>
        <w:snapToGrid/>
        <w:spacing w:after="0" w:line="480" w:lineRule="exact"/>
        <w:ind w:firstLine="522" w:firstLineChars="200"/>
        <w:jc w:val="both"/>
        <w:textAlignment w:val="auto"/>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裁量基准对相对人的适用效力需要借助法院的司法审查才能最终得以确定，实际上是一种事实上的、可能的约束力，而并非类似法律那样具有当然的、必然的约束力。</w:t>
      </w:r>
    </w:p>
    <w:p>
      <w:pPr>
        <w:keepNext w:val="0"/>
        <w:keepLines w:val="0"/>
        <w:pageBreakBefore w:val="0"/>
        <w:widowControl w:val="0"/>
        <w:kinsoku/>
        <w:wordWrap/>
        <w:overflowPunct/>
        <w:topLinePunct w:val="0"/>
        <w:autoSpaceDE/>
        <w:autoSpaceDN/>
        <w:bidi w:val="0"/>
        <w:adjustRightInd/>
        <w:snapToGrid/>
        <w:spacing w:after="0" w:line="480" w:lineRule="exact"/>
        <w:ind w:firstLine="522" w:firstLineChars="200"/>
        <w:jc w:val="both"/>
        <w:textAlignment w:val="auto"/>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一般而言，裁量基准要获得对行政相对人实质的适用效力，需要具备如下条件。首先，裁量基准不得越出法律规范本身的范围，不能规定法律规范本身没有规范的事项，不能设立法律规范本身没有的权利与义务。其次，行政机关享有一定的执法权限，具有事务管辖权。最后，裁量基准应遵守法定程序，如经过一定的会议讨论、审议或经过一定机关批准、备案等。只有经过正当的法律程序，符合程序正义，才具有实质意义上的法律效力。</w:t>
      </w:r>
    </w:p>
    <w:p>
      <w:pPr>
        <w:keepNext w:val="0"/>
        <w:keepLines w:val="0"/>
        <w:pageBreakBefore w:val="0"/>
        <w:widowControl w:val="0"/>
        <w:kinsoku/>
        <w:wordWrap/>
        <w:overflowPunct/>
        <w:topLinePunct w:val="0"/>
        <w:autoSpaceDE/>
        <w:autoSpaceDN/>
        <w:bidi w:val="0"/>
        <w:adjustRightInd/>
        <w:snapToGrid/>
        <w:spacing w:after="0" w:line="480" w:lineRule="exact"/>
        <w:ind w:firstLine="522" w:firstLineChars="200"/>
        <w:jc w:val="both"/>
        <w:textAlignment w:val="auto"/>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5.裁量基准的司法审查</w:t>
      </w:r>
    </w:p>
    <w:p>
      <w:pPr>
        <w:keepNext w:val="0"/>
        <w:keepLines w:val="0"/>
        <w:pageBreakBefore w:val="0"/>
        <w:widowControl w:val="0"/>
        <w:kinsoku/>
        <w:wordWrap/>
        <w:overflowPunct/>
        <w:topLinePunct w:val="0"/>
        <w:autoSpaceDE/>
        <w:autoSpaceDN/>
        <w:bidi w:val="0"/>
        <w:adjustRightInd/>
        <w:snapToGrid/>
        <w:spacing w:after="0" w:line="480" w:lineRule="exact"/>
        <w:ind w:firstLine="522" w:firstLineChars="200"/>
        <w:jc w:val="both"/>
        <w:textAlignment w:val="auto"/>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（1）裁量基准是论证的依据，而不是《行政诉讼法》所说的法定依据。</w:t>
      </w:r>
    </w:p>
    <w:p>
      <w:pPr>
        <w:keepNext w:val="0"/>
        <w:keepLines w:val="0"/>
        <w:pageBreakBefore w:val="0"/>
        <w:widowControl w:val="0"/>
        <w:kinsoku/>
        <w:wordWrap/>
        <w:overflowPunct/>
        <w:topLinePunct w:val="0"/>
        <w:autoSpaceDE/>
        <w:autoSpaceDN/>
        <w:bidi w:val="0"/>
        <w:adjustRightInd/>
        <w:snapToGrid/>
        <w:spacing w:after="0" w:line="480" w:lineRule="exact"/>
        <w:ind w:firstLine="522" w:firstLineChars="200"/>
        <w:jc w:val="both"/>
        <w:textAlignment w:val="auto"/>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（2）裁量基准应一并援引而不能单独援引。</w:t>
      </w:r>
    </w:p>
    <w:p>
      <w:pPr>
        <w:keepNext w:val="0"/>
        <w:keepLines w:val="0"/>
        <w:pageBreakBefore w:val="0"/>
        <w:widowControl w:val="0"/>
        <w:kinsoku/>
        <w:wordWrap/>
        <w:overflowPunct/>
        <w:topLinePunct w:val="0"/>
        <w:autoSpaceDE/>
        <w:autoSpaceDN/>
        <w:bidi w:val="0"/>
        <w:adjustRightInd/>
        <w:snapToGrid/>
        <w:spacing w:after="0" w:line="480" w:lineRule="exact"/>
        <w:ind w:firstLine="522" w:firstLineChars="200"/>
        <w:jc w:val="both"/>
        <w:textAlignment w:val="auto"/>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（3）法院对违反裁量基准的行为不应全盘否定，当其存在合理的理由时，允许行政机关不适用某项基准。</w:t>
      </w:r>
    </w:p>
    <w:p>
      <w:pPr>
        <w:keepNext w:val="0"/>
        <w:keepLines w:val="0"/>
        <w:pageBreakBefore w:val="0"/>
        <w:widowControl w:val="0"/>
        <w:kinsoku/>
        <w:wordWrap/>
        <w:overflowPunct/>
        <w:topLinePunct w:val="0"/>
        <w:autoSpaceDE/>
        <w:autoSpaceDN/>
        <w:bidi w:val="0"/>
        <w:adjustRightInd/>
        <w:snapToGrid/>
        <w:spacing w:after="0" w:line="480" w:lineRule="exact"/>
        <w:ind w:firstLine="522" w:firstLineChars="200"/>
        <w:jc w:val="both"/>
        <w:textAlignment w:val="auto"/>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（4）裁量基准作为审查对象时，只做形式审查。</w:t>
      </w:r>
    </w:p>
    <w:p>
      <w:pPr>
        <w:keepNext w:val="0"/>
        <w:keepLines w:val="0"/>
        <w:pageBreakBefore w:val="0"/>
        <w:widowControl w:val="0"/>
        <w:kinsoku/>
        <w:wordWrap/>
        <w:overflowPunct/>
        <w:topLinePunct w:val="0"/>
        <w:autoSpaceDE/>
        <w:autoSpaceDN/>
        <w:bidi w:val="0"/>
        <w:adjustRightInd/>
        <w:snapToGrid/>
        <w:spacing w:after="0" w:line="480" w:lineRule="exact"/>
        <w:ind w:firstLine="522" w:firstLineChars="200"/>
        <w:jc w:val="both"/>
        <w:textAlignment w:val="auto"/>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（5）对“不确定概念”奉行“严格审查”的立场，对“行政裁量”实行“宽松审查”立场。当裁量基准以格次划分形式涉足法律效果时，法院对基准的司法审查应当是消极的、间接的。</w:t>
      </w:r>
    </w:p>
    <w:p>
      <w:pPr>
        <w:keepNext w:val="0"/>
        <w:keepLines w:val="0"/>
        <w:pageBreakBefore w:val="0"/>
        <w:widowControl w:val="0"/>
        <w:kinsoku/>
        <w:wordWrap/>
        <w:overflowPunct/>
        <w:topLinePunct w:val="0"/>
        <w:autoSpaceDE/>
        <w:autoSpaceDN/>
        <w:bidi w:val="0"/>
        <w:adjustRightInd/>
        <w:snapToGrid/>
        <w:spacing w:after="0" w:line="480" w:lineRule="exact"/>
        <w:ind w:firstLine="522" w:firstLineChars="200"/>
        <w:jc w:val="both"/>
        <w:textAlignment w:val="auto"/>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具体来说，裁量基准涉及不确定法律概念解释时的审查标准：</w:t>
      </w:r>
    </w:p>
    <w:p>
      <w:pPr>
        <w:keepNext w:val="0"/>
        <w:keepLines w:val="0"/>
        <w:pageBreakBefore w:val="0"/>
        <w:widowControl w:val="0"/>
        <w:kinsoku/>
        <w:wordWrap/>
        <w:overflowPunct/>
        <w:topLinePunct w:val="0"/>
        <w:autoSpaceDE/>
        <w:autoSpaceDN/>
        <w:bidi w:val="0"/>
        <w:adjustRightInd/>
        <w:snapToGrid/>
        <w:spacing w:after="0" w:line="480" w:lineRule="exact"/>
        <w:ind w:firstLine="522" w:firstLineChars="200"/>
        <w:jc w:val="both"/>
        <w:textAlignment w:val="auto"/>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（1）一般来说，解释对事物和事实进行描述的法律概念（如《治安管理处罚法》中的“家庭成员”）的裁量基准要进行全面审查；</w:t>
      </w:r>
    </w:p>
    <w:p>
      <w:pPr>
        <w:keepNext w:val="0"/>
        <w:keepLines w:val="0"/>
        <w:pageBreakBefore w:val="0"/>
        <w:widowControl w:val="0"/>
        <w:kinsoku/>
        <w:wordWrap/>
        <w:overflowPunct/>
        <w:topLinePunct w:val="0"/>
        <w:autoSpaceDE/>
        <w:autoSpaceDN/>
        <w:bidi w:val="0"/>
        <w:adjustRightInd/>
        <w:snapToGrid/>
        <w:spacing w:after="0" w:line="480" w:lineRule="exact"/>
        <w:ind w:firstLine="522" w:firstLineChars="200"/>
        <w:jc w:val="both"/>
        <w:textAlignment w:val="auto"/>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（2）解释充满价值的概念（如《行政强制法》中的“公共利益”）的裁量基准仅需有限审查。</w:t>
      </w:r>
    </w:p>
    <w:p>
      <w:pPr>
        <w:pStyle w:val="3"/>
        <w:keepNext w:val="0"/>
        <w:keepLines w:val="0"/>
        <w:pageBreakBefore w:val="0"/>
        <w:widowControl w:val="0"/>
        <w:kinsoku/>
        <w:wordWrap/>
        <w:overflowPunct/>
        <w:topLinePunct w:val="0"/>
        <w:autoSpaceDE/>
        <w:autoSpaceDN/>
        <w:bidi w:val="0"/>
        <w:adjustRightInd/>
        <w:snapToGrid/>
        <w:spacing w:before="0" w:after="0" w:line="480" w:lineRule="exact"/>
        <w:ind w:firstLine="522" w:firstLineChars="200"/>
        <w:jc w:val="both"/>
        <w:textAlignment w:val="auto"/>
        <w:rPr>
          <w:rFonts w:hint="eastAsia" w:ascii="楷体" w:hAnsi="楷体" w:eastAsia="楷体" w:cs="仿宋"/>
          <w:color w:val="000000"/>
          <w:sz w:val="28"/>
          <w:szCs w:val="28"/>
        </w:rPr>
      </w:pPr>
      <w:r>
        <w:rPr>
          <w:rFonts w:hint="eastAsia" w:ascii="楷体" w:hAnsi="楷体" w:eastAsia="楷体" w:cs="仿宋"/>
          <w:bCs w:val="0"/>
          <w:color w:val="000000"/>
          <w:sz w:val="28"/>
          <w:szCs w:val="28"/>
        </w:rPr>
        <w:t>第四节  会议纪要作为行政行为与作为依据的审查</w:t>
      </w:r>
    </w:p>
    <w:p>
      <w:pPr>
        <w:keepNext w:val="0"/>
        <w:keepLines w:val="0"/>
        <w:pageBreakBefore w:val="0"/>
        <w:widowControl w:val="0"/>
        <w:kinsoku/>
        <w:wordWrap/>
        <w:overflowPunct/>
        <w:topLinePunct w:val="0"/>
        <w:autoSpaceDE/>
        <w:autoSpaceDN/>
        <w:bidi w:val="0"/>
        <w:adjustRightInd/>
        <w:snapToGrid/>
        <w:spacing w:after="0" w:line="480" w:lineRule="exact"/>
        <w:ind w:firstLine="522" w:firstLineChars="200"/>
        <w:jc w:val="both"/>
        <w:textAlignment w:val="auto"/>
        <w:outlineLvl w:val="2"/>
        <w:rPr>
          <w:rStyle w:val="23"/>
          <w:rFonts w:hint="eastAsia" w:ascii="仿宋_GB2312" w:hAnsi="仿宋" w:eastAsia="仿宋_GB2312" w:cs="仿宋"/>
          <w:color w:val="000000"/>
          <w:sz w:val="28"/>
          <w:szCs w:val="28"/>
        </w:rPr>
      </w:pPr>
      <w:r>
        <w:rPr>
          <w:rStyle w:val="23"/>
          <w:rFonts w:hint="eastAsia" w:ascii="仿宋_GB2312" w:hAnsi="仿宋" w:eastAsia="仿宋_GB2312" w:cs="仿宋"/>
          <w:color w:val="000000"/>
          <w:sz w:val="28"/>
          <w:szCs w:val="28"/>
        </w:rPr>
        <w:t>一、会议纪要的特征</w:t>
      </w:r>
    </w:p>
    <w:p>
      <w:pPr>
        <w:keepNext w:val="0"/>
        <w:keepLines w:val="0"/>
        <w:pageBreakBefore w:val="0"/>
        <w:widowControl w:val="0"/>
        <w:kinsoku/>
        <w:wordWrap/>
        <w:overflowPunct/>
        <w:topLinePunct w:val="0"/>
        <w:autoSpaceDE/>
        <w:autoSpaceDN/>
        <w:bidi w:val="0"/>
        <w:adjustRightInd/>
        <w:snapToGrid/>
        <w:spacing w:after="0" w:line="480" w:lineRule="exact"/>
        <w:ind w:firstLine="522" w:firstLineChars="200"/>
        <w:jc w:val="both"/>
        <w:textAlignment w:val="auto"/>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1.会议纪要是公务活动的产物，其内容与公务有关并体现行政效用；</w:t>
      </w:r>
    </w:p>
    <w:p>
      <w:pPr>
        <w:keepNext w:val="0"/>
        <w:keepLines w:val="0"/>
        <w:pageBreakBefore w:val="0"/>
        <w:widowControl w:val="0"/>
        <w:kinsoku/>
        <w:wordWrap/>
        <w:overflowPunct/>
        <w:topLinePunct w:val="0"/>
        <w:autoSpaceDE/>
        <w:autoSpaceDN/>
        <w:bidi w:val="0"/>
        <w:adjustRightInd/>
        <w:snapToGrid/>
        <w:spacing w:after="0" w:line="480" w:lineRule="exact"/>
        <w:ind w:firstLine="522" w:firstLineChars="200"/>
        <w:jc w:val="both"/>
        <w:textAlignment w:val="auto"/>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2.会议纪要的制作者具有法定性；</w:t>
      </w:r>
    </w:p>
    <w:p>
      <w:pPr>
        <w:keepNext w:val="0"/>
        <w:keepLines w:val="0"/>
        <w:pageBreakBefore w:val="0"/>
        <w:widowControl w:val="0"/>
        <w:kinsoku/>
        <w:wordWrap/>
        <w:overflowPunct/>
        <w:topLinePunct w:val="0"/>
        <w:autoSpaceDE/>
        <w:autoSpaceDN/>
        <w:bidi w:val="0"/>
        <w:adjustRightInd/>
        <w:snapToGrid/>
        <w:spacing w:after="0" w:line="480" w:lineRule="exact"/>
        <w:ind w:firstLine="522" w:firstLineChars="200"/>
        <w:jc w:val="both"/>
        <w:textAlignment w:val="auto"/>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3.会议纪要的体式具有规范性；</w:t>
      </w:r>
    </w:p>
    <w:p>
      <w:pPr>
        <w:keepNext w:val="0"/>
        <w:keepLines w:val="0"/>
        <w:pageBreakBefore w:val="0"/>
        <w:widowControl w:val="0"/>
        <w:kinsoku/>
        <w:wordWrap/>
        <w:overflowPunct/>
        <w:topLinePunct w:val="0"/>
        <w:autoSpaceDE/>
        <w:autoSpaceDN/>
        <w:bidi w:val="0"/>
        <w:adjustRightInd/>
        <w:snapToGrid/>
        <w:spacing w:after="0" w:line="480" w:lineRule="exact"/>
        <w:ind w:firstLine="522" w:firstLineChars="200"/>
        <w:jc w:val="both"/>
        <w:textAlignment w:val="auto"/>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4.会议纪要的制作具有程序性。</w:t>
      </w:r>
    </w:p>
    <w:p>
      <w:pPr>
        <w:pStyle w:val="4"/>
        <w:keepNext w:val="0"/>
        <w:keepLines w:val="0"/>
        <w:pageBreakBefore w:val="0"/>
        <w:widowControl w:val="0"/>
        <w:kinsoku/>
        <w:wordWrap/>
        <w:overflowPunct/>
        <w:topLinePunct w:val="0"/>
        <w:autoSpaceDE/>
        <w:autoSpaceDN/>
        <w:bidi w:val="0"/>
        <w:adjustRightInd/>
        <w:snapToGrid/>
        <w:spacing w:before="0" w:after="0" w:line="480" w:lineRule="exact"/>
        <w:ind w:firstLine="52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二、会议纪要作为行政行为的可诉性</w:t>
      </w:r>
    </w:p>
    <w:p>
      <w:pPr>
        <w:keepNext w:val="0"/>
        <w:keepLines w:val="0"/>
        <w:pageBreakBefore w:val="0"/>
        <w:widowControl w:val="0"/>
        <w:kinsoku/>
        <w:wordWrap/>
        <w:overflowPunct/>
        <w:topLinePunct w:val="0"/>
        <w:autoSpaceDE/>
        <w:autoSpaceDN/>
        <w:bidi w:val="0"/>
        <w:adjustRightInd/>
        <w:snapToGrid/>
        <w:spacing w:after="0" w:line="480" w:lineRule="exact"/>
        <w:ind w:firstLine="522" w:firstLineChars="200"/>
        <w:jc w:val="both"/>
        <w:textAlignment w:val="auto"/>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判断会议纪要行为是否可诉的标准是该行为是否侵犯相对人的合法权益，即对相对人权利义务产生实际影响的行为属于行政诉讼的受案范围，具有可诉性。涉及相对人利益的行政机关会议纪要应当根据《政府信息公开法》公开。</w:t>
      </w:r>
    </w:p>
    <w:p>
      <w:pPr>
        <w:keepNext w:val="0"/>
        <w:keepLines w:val="0"/>
        <w:pageBreakBefore w:val="0"/>
        <w:widowControl w:val="0"/>
        <w:kinsoku/>
        <w:wordWrap/>
        <w:overflowPunct/>
        <w:topLinePunct w:val="0"/>
        <w:autoSpaceDE/>
        <w:autoSpaceDN/>
        <w:bidi w:val="0"/>
        <w:adjustRightInd/>
        <w:snapToGrid/>
        <w:spacing w:after="0" w:line="480" w:lineRule="exact"/>
        <w:ind w:firstLine="522" w:firstLineChars="200"/>
        <w:jc w:val="both"/>
        <w:textAlignment w:val="auto"/>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会议纪要已经议定的事项，具有法定效力，非依法定程序不得否定其效力，无论是行政机关还是相对人均应遵照执行。会议纪要议定的行政机关职责，亦因此而转化为该行政机关的法定职责。</w:t>
      </w:r>
    </w:p>
    <w:p>
      <w:pPr>
        <w:keepNext w:val="0"/>
        <w:keepLines w:val="0"/>
        <w:pageBreakBefore w:val="0"/>
        <w:widowControl w:val="0"/>
        <w:kinsoku/>
        <w:wordWrap/>
        <w:overflowPunct/>
        <w:topLinePunct w:val="0"/>
        <w:autoSpaceDE/>
        <w:autoSpaceDN/>
        <w:bidi w:val="0"/>
        <w:adjustRightInd/>
        <w:snapToGrid/>
        <w:spacing w:after="0" w:line="480" w:lineRule="exact"/>
        <w:ind w:firstLine="52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会议纪要确定的相关部门未能继续按照已经议定的内容履行职责，行政机关存在未兑现先前作出承诺的行为，均构成不履行法定职责。在此情况下，当事人有权通过行政诉讼寻求救济，提起履责之诉。</w:t>
      </w:r>
    </w:p>
    <w:p>
      <w:pPr>
        <w:pStyle w:val="4"/>
        <w:keepNext w:val="0"/>
        <w:keepLines w:val="0"/>
        <w:pageBreakBefore w:val="0"/>
        <w:widowControl w:val="0"/>
        <w:kinsoku/>
        <w:wordWrap/>
        <w:overflowPunct/>
        <w:topLinePunct w:val="0"/>
        <w:autoSpaceDE/>
        <w:autoSpaceDN/>
        <w:bidi w:val="0"/>
        <w:adjustRightInd/>
        <w:snapToGrid/>
        <w:spacing w:before="0" w:after="0" w:line="480" w:lineRule="exact"/>
        <w:ind w:firstLine="52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三、会议纪要作为依据的审查</w:t>
      </w:r>
    </w:p>
    <w:p>
      <w:pPr>
        <w:keepNext w:val="0"/>
        <w:keepLines w:val="0"/>
        <w:pageBreakBefore w:val="0"/>
        <w:widowControl w:val="0"/>
        <w:kinsoku/>
        <w:wordWrap/>
        <w:overflowPunct/>
        <w:topLinePunct w:val="0"/>
        <w:autoSpaceDE/>
        <w:autoSpaceDN/>
        <w:bidi w:val="0"/>
        <w:adjustRightInd/>
        <w:snapToGrid/>
        <w:spacing w:after="0" w:line="480" w:lineRule="exact"/>
        <w:ind w:firstLine="522" w:firstLineChars="200"/>
        <w:jc w:val="both"/>
        <w:textAlignment w:val="auto"/>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1.会议纪要不是具有普遍约束力的规范性文件，亦不是针对不特定人或事作出，不属于行政诉讼中规范性文件附带审查的范畴，对其法律效力不作附带性审查。</w:t>
      </w:r>
    </w:p>
    <w:p>
      <w:pPr>
        <w:keepNext w:val="0"/>
        <w:keepLines w:val="0"/>
        <w:pageBreakBefore w:val="0"/>
        <w:widowControl w:val="0"/>
        <w:kinsoku/>
        <w:wordWrap/>
        <w:overflowPunct/>
        <w:topLinePunct w:val="0"/>
        <w:autoSpaceDE/>
        <w:autoSpaceDN/>
        <w:bidi w:val="0"/>
        <w:adjustRightInd/>
        <w:snapToGrid/>
        <w:spacing w:after="0" w:line="480" w:lineRule="exact"/>
        <w:ind w:firstLine="522" w:firstLineChars="200"/>
        <w:jc w:val="both"/>
        <w:textAlignment w:val="auto"/>
        <w:rPr>
          <w:rFonts w:hint="eastAsia" w:ascii="仿宋_GB2312" w:hAnsi="仿宋" w:eastAsia="仿宋_GB2312" w:cs="仿宋"/>
          <w:color w:val="000000"/>
          <w:kern w:val="44"/>
          <w:sz w:val="28"/>
          <w:szCs w:val="28"/>
        </w:rPr>
      </w:pPr>
      <w:r>
        <w:rPr>
          <w:rFonts w:hint="eastAsia" w:ascii="仿宋_GB2312" w:hAnsi="仿宋" w:eastAsia="仿宋_GB2312" w:cs="仿宋"/>
          <w:color w:val="000000"/>
          <w:kern w:val="44"/>
          <w:sz w:val="28"/>
          <w:szCs w:val="28"/>
        </w:rPr>
        <w:t>2.会议纪要作为行政机关用于记载和传达有关会议情况和议定事项的内部公文，其内容在未经法定程序外化为法律法规或规章、规范性文件前，不对外发生法律效力，不宜作为行政执法的依据。</w:t>
      </w:r>
    </w:p>
    <w:bookmarkEnd w:id="55"/>
    <w:p>
      <w:pPr>
        <w:keepNext w:val="0"/>
        <w:keepLines w:val="0"/>
        <w:pageBreakBefore w:val="0"/>
        <w:widowControl w:val="0"/>
        <w:wordWrap/>
        <w:bidi w:val="0"/>
        <w:spacing w:line="500" w:lineRule="exact"/>
        <w:jc w:val="center"/>
        <w:rPr>
          <w:sz w:val="20"/>
          <w:szCs w:val="21"/>
        </w:rPr>
      </w:pPr>
      <w:r>
        <w:rPr>
          <w:rFonts w:ascii="方正小标宋简体" w:hAnsi="方正黑体简体" w:eastAsia="方正小标宋简体"/>
          <w:bCs/>
          <w:color w:val="000000"/>
          <w:spacing w:val="20"/>
          <w:sz w:val="48"/>
          <w:szCs w:val="48"/>
        </w:rPr>
        <w:br w:type="page"/>
      </w:r>
      <w:r>
        <w:rPr>
          <w:rFonts w:ascii="方正小标宋简体" w:hAnsi="方正黑体简体" w:eastAsia="方正小标宋简体"/>
          <w:bCs/>
          <w:color w:val="000000"/>
          <w:spacing w:val="20"/>
          <w:sz w:val="48"/>
          <w:szCs w:val="48"/>
        </w:rPr>
        <mc:AlternateContent>
          <mc:Choice Requires="wps">
            <w:drawing>
              <wp:anchor distT="0" distB="0" distL="114300" distR="114300" simplePos="0" relativeHeight="251708416" behindDoc="0" locked="0" layoutInCell="1" allowOverlap="1">
                <wp:simplePos x="0" y="0"/>
                <wp:positionH relativeFrom="column">
                  <wp:posOffset>-181610</wp:posOffset>
                </wp:positionH>
                <wp:positionV relativeFrom="paragraph">
                  <wp:posOffset>8317865</wp:posOffset>
                </wp:positionV>
                <wp:extent cx="1206500" cy="579120"/>
                <wp:effectExtent l="5080" t="4445" r="7620" b="6985"/>
                <wp:wrapNone/>
                <wp:docPr id="3" name="文本框 3"/>
                <wp:cNvGraphicFramePr/>
                <a:graphic xmlns:a="http://schemas.openxmlformats.org/drawingml/2006/main">
                  <a:graphicData uri="http://schemas.microsoft.com/office/word/2010/wordprocessingShape">
                    <wps:wsp>
                      <wps:cNvSpPr txBox="1"/>
                      <wps:spPr>
                        <a:xfrm>
                          <a:off x="0" y="0"/>
                          <a:ext cx="1206500" cy="579120"/>
                        </a:xfrm>
                        <a:prstGeom prst="rect">
                          <a:avLst/>
                        </a:prstGeom>
                        <a:solidFill>
                          <a:srgbClr val="FFFFFF"/>
                        </a:solidFill>
                        <a:ln w="9525" cap="flat" cmpd="sng">
                          <a:solidFill>
                            <a:srgbClr val="FFFFFF"/>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202" type="#_x0000_t202" style="position:absolute;left:0pt;margin-left:-14.3pt;margin-top:654.95pt;height:45.6pt;width:95pt;z-index:251708416;mso-width-relative:page;mso-height-relative:page;" fillcolor="#FFFFFF" filled="t" stroked="t" coordsize="21600,21600" o:gfxdata="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83fRn2gAAAA0BAAAPAAAAAAAAAAEAIAAAACIAAABk&#10;cnMvZG93bnJldi54bWxQSwECFAAUAAAACACHTuJAzl//VgQCAAA2BAAADgAAAAAAAAABACAAAAAp&#10;AQAAZHJzL2Uyb0RvYy54bWxQSwUGAAAAAAYABgBZAQAAnwUAAAAA&#10;">
                <v:fill on="t" focussize="0,0"/>
                <v:stroke color="#FFFFFF" joinstyle="miter"/>
                <v:imagedata o:title=""/>
                <o:lock v:ext="edit" aspectratio="f"/>
                <v:textbox>
                  <w:txbxContent>
                    <w:p/>
                  </w:txbxContent>
                </v:textbox>
              </v:shape>
            </w:pict>
          </mc:Fallback>
        </mc:AlternateContent>
      </w:r>
    </w:p>
    <w:p>
      <w:pPr>
        <w:keepNext w:val="0"/>
        <w:keepLines w:val="0"/>
        <w:pageBreakBefore w:val="0"/>
        <w:widowControl w:val="0"/>
        <w:wordWrap/>
        <w:bidi w:val="0"/>
        <w:spacing w:line="500" w:lineRule="exact"/>
        <w:jc w:val="center"/>
        <w:rPr>
          <w:rFonts w:hint="eastAsia"/>
          <w:sz w:val="20"/>
          <w:szCs w:val="21"/>
        </w:rPr>
      </w:pPr>
    </w:p>
    <w:p>
      <w:pPr>
        <w:keepNext w:val="0"/>
        <w:keepLines w:val="0"/>
        <w:pageBreakBefore w:val="0"/>
        <w:widowControl w:val="0"/>
        <w:wordWrap/>
        <w:bidi w:val="0"/>
        <w:spacing w:line="500" w:lineRule="exact"/>
        <w:jc w:val="center"/>
        <w:rPr>
          <w:rFonts w:hint="eastAsia" w:ascii="方正小标宋简体" w:hAnsi="方正小标宋简体" w:eastAsia="方正小标宋简体" w:cs="方正小标宋简体"/>
          <w:color w:val="000000"/>
          <w:sz w:val="48"/>
          <w:szCs w:val="48"/>
          <w:shd w:val="clear" w:color="auto" w:fill="FFFFFF"/>
        </w:rPr>
      </w:pPr>
    </w:p>
    <w:p>
      <w:pPr>
        <w:keepNext w:val="0"/>
        <w:keepLines w:val="0"/>
        <w:pageBreakBefore w:val="0"/>
        <w:widowControl w:val="0"/>
        <w:wordWrap/>
        <w:bidi w:val="0"/>
        <w:spacing w:line="500" w:lineRule="exact"/>
        <w:jc w:val="center"/>
        <w:rPr>
          <w:rFonts w:hint="eastAsia" w:ascii="方正小标宋简体" w:hAnsi="方正小标宋简体" w:eastAsia="方正小标宋简体" w:cs="方正小标宋简体"/>
          <w:color w:val="000000"/>
          <w:sz w:val="48"/>
          <w:szCs w:val="48"/>
          <w:shd w:val="clear" w:color="auto" w:fill="FFFFFF"/>
        </w:rPr>
      </w:pPr>
    </w:p>
    <w:p>
      <w:pPr>
        <w:keepNext w:val="0"/>
        <w:keepLines w:val="0"/>
        <w:pageBreakBefore w:val="0"/>
        <w:widowControl w:val="0"/>
        <w:wordWrap/>
        <w:bidi w:val="0"/>
        <w:spacing w:after="0"/>
        <w:jc w:val="center"/>
        <w:rPr>
          <w:rFonts w:hint="eastAsia" w:ascii="方正小标宋简体" w:hAnsi="方正小标宋简体" w:eastAsia="方正小标宋简体" w:cs="方正小标宋简体"/>
          <w:color w:val="000000"/>
          <w:sz w:val="48"/>
          <w:szCs w:val="48"/>
          <w:shd w:val="clear" w:color="auto" w:fill="FFFFFF"/>
        </w:rPr>
      </w:pPr>
    </w:p>
    <w:p>
      <w:pPr>
        <w:keepNext w:val="0"/>
        <w:keepLines w:val="0"/>
        <w:pageBreakBefore w:val="0"/>
        <w:widowControl w:val="0"/>
        <w:wordWrap/>
        <w:bidi w:val="0"/>
        <w:spacing w:after="0"/>
        <w:jc w:val="center"/>
        <w:outlineLvl w:val="0"/>
        <w:rPr>
          <w:rFonts w:hint="eastAsia" w:ascii="方正小标宋简体" w:hAnsi="方正小标宋简体" w:eastAsia="方正小标宋简体" w:cs="方正小标宋简体"/>
          <w:color w:val="000000"/>
          <w:sz w:val="48"/>
          <w:szCs w:val="48"/>
          <w:shd w:val="clear" w:color="auto" w:fill="FFFFFF"/>
        </w:rPr>
      </w:pPr>
      <w:bookmarkStart w:id="64" w:name="_Toc12385"/>
      <w:r>
        <w:rPr>
          <w:rFonts w:hint="eastAsia" w:ascii="方正小标宋简体" w:hAnsi="方正小标宋简体" w:eastAsia="方正小标宋简体" w:cs="方正小标宋简体"/>
          <w:color w:val="000000"/>
          <w:sz w:val="48"/>
          <w:szCs w:val="48"/>
          <w:shd w:val="clear" w:color="auto" w:fill="FFFFFF"/>
        </w:rPr>
        <w:t>企业劳动用工法律顾问</w:t>
      </w:r>
      <w:bookmarkEnd w:id="64"/>
    </w:p>
    <w:p>
      <w:pPr>
        <w:keepNext w:val="0"/>
        <w:keepLines w:val="0"/>
        <w:pageBreakBefore w:val="0"/>
        <w:widowControl w:val="0"/>
        <w:wordWrap/>
        <w:bidi w:val="0"/>
        <w:spacing w:after="0"/>
        <w:jc w:val="center"/>
        <w:outlineLvl w:val="0"/>
        <w:rPr>
          <w:rFonts w:hint="eastAsia" w:ascii="方正小标宋简体" w:hAnsi="方正小标宋简体" w:eastAsia="方正小标宋简体" w:cs="方正小标宋简体"/>
          <w:color w:val="000000"/>
          <w:sz w:val="48"/>
          <w:szCs w:val="48"/>
          <w:shd w:val="clear" w:color="auto" w:fill="FFFFFF"/>
        </w:rPr>
      </w:pPr>
      <w:bookmarkStart w:id="65" w:name="_Toc9852"/>
      <w:r>
        <w:rPr>
          <w:rFonts w:hint="eastAsia" w:ascii="方正小标宋简体" w:hAnsi="方正小标宋简体" w:eastAsia="方正小标宋简体" w:cs="方正小标宋简体"/>
          <w:color w:val="000000"/>
          <w:sz w:val="48"/>
          <w:szCs w:val="48"/>
          <w:shd w:val="clear" w:color="auto" w:fill="FFFFFF"/>
        </w:rPr>
        <w:t>业务操作指引</w:t>
      </w:r>
      <w:bookmarkEnd w:id="65"/>
    </w:p>
    <w:p>
      <w:pPr>
        <w:keepNext w:val="0"/>
        <w:keepLines w:val="0"/>
        <w:pageBreakBefore w:val="0"/>
        <w:widowControl w:val="0"/>
        <w:kinsoku w:val="0"/>
        <w:wordWrap/>
        <w:overflowPunct w:val="0"/>
        <w:autoSpaceDE w:val="0"/>
        <w:autoSpaceDN w:val="0"/>
        <w:bidi w:val="0"/>
        <w:spacing w:after="0" w:line="500" w:lineRule="exact"/>
        <w:jc w:val="center"/>
        <w:rPr>
          <w:rFonts w:ascii="方正小标宋简体" w:hAnsi="方正黑体简体" w:eastAsia="方正小标宋简体"/>
          <w:bCs/>
          <w:color w:val="000000"/>
          <w:sz w:val="48"/>
          <w:szCs w:val="48"/>
        </w:rPr>
      </w:pPr>
      <w:r>
        <w:rPr>
          <w:rFonts w:hint="eastAsia" w:ascii="方正小标宋简体" w:hAnsi="方正黑体简体" w:eastAsia="方正小标宋简体"/>
          <w:bCs/>
          <w:color w:val="000000"/>
          <w:sz w:val="48"/>
          <w:szCs w:val="48"/>
        </w:rPr>
        <w:br w:type="page"/>
      </w:r>
    </w:p>
    <w:p>
      <w:pPr>
        <w:keepNext w:val="0"/>
        <w:keepLines w:val="0"/>
        <w:pageBreakBefore w:val="0"/>
        <w:widowControl w:val="0"/>
        <w:kinsoku w:val="0"/>
        <w:wordWrap/>
        <w:overflowPunct w:val="0"/>
        <w:autoSpaceDE w:val="0"/>
        <w:autoSpaceDN w:val="0"/>
        <w:bidi w:val="0"/>
        <w:spacing w:before="227" w:beforeLines="50" w:after="227" w:afterLines="50" w:line="500" w:lineRule="exact"/>
        <w:jc w:val="center"/>
        <w:rPr>
          <w:rFonts w:ascii="仿宋_GB2312" w:hAnsi="方正黑体简体" w:eastAsia="仿宋_GB2312"/>
          <w:b/>
          <w:color w:val="000000"/>
          <w:sz w:val="28"/>
          <w:szCs w:val="28"/>
        </w:rPr>
      </w:pPr>
    </w:p>
    <w:p>
      <w:pPr>
        <w:keepNext w:val="0"/>
        <w:keepLines w:val="0"/>
        <w:pageBreakBefore w:val="0"/>
        <w:widowControl w:val="0"/>
        <w:kinsoku w:val="0"/>
        <w:wordWrap/>
        <w:overflowPunct w:val="0"/>
        <w:autoSpaceDE w:val="0"/>
        <w:autoSpaceDN w:val="0"/>
        <w:bidi w:val="0"/>
        <w:spacing w:before="227" w:beforeLines="50" w:after="227" w:afterLines="50" w:line="500" w:lineRule="exact"/>
        <w:rPr>
          <w:rFonts w:ascii="仿宋_GB2312" w:hAnsi="方正黑体简体" w:eastAsia="仿宋_GB2312"/>
          <w:b/>
          <w:color w:val="000000"/>
          <w:sz w:val="28"/>
          <w:szCs w:val="28"/>
        </w:rPr>
      </w:pPr>
    </w:p>
    <w:p>
      <w:pPr>
        <w:keepNext w:val="0"/>
        <w:keepLines w:val="0"/>
        <w:pageBreakBefore w:val="0"/>
        <w:widowControl w:val="0"/>
        <w:kinsoku w:val="0"/>
        <w:wordWrap/>
        <w:overflowPunct w:val="0"/>
        <w:autoSpaceDE w:val="0"/>
        <w:autoSpaceDN w:val="0"/>
        <w:bidi w:val="0"/>
        <w:spacing w:before="227" w:beforeLines="50" w:after="227" w:afterLines="50" w:line="500" w:lineRule="exact"/>
        <w:rPr>
          <w:rFonts w:ascii="仿宋_GB2312" w:hAnsi="楷体" w:eastAsia="仿宋_GB2312"/>
          <w:b/>
          <w:color w:val="000000"/>
          <w:sz w:val="28"/>
          <w:szCs w:val="28"/>
        </w:rPr>
      </w:pPr>
    </w:p>
    <w:p>
      <w:pPr>
        <w:keepNext w:val="0"/>
        <w:keepLines w:val="0"/>
        <w:pageBreakBefore w:val="0"/>
        <w:widowControl w:val="0"/>
        <w:wordWrap/>
        <w:bidi w:val="0"/>
        <w:spacing w:line="500" w:lineRule="exact"/>
        <w:jc w:val="center"/>
        <w:rPr>
          <w:rFonts w:hint="eastAsia" w:ascii="方正小标宋简体" w:hAnsi="方正小标宋简体" w:eastAsia="方正小标宋简体" w:cs="方正小标宋简体"/>
          <w:color w:val="000000"/>
          <w:sz w:val="40"/>
          <w:szCs w:val="40"/>
          <w:shd w:val="clear" w:color="auto" w:fill="FFFFFF"/>
        </w:rPr>
      </w:pPr>
      <w:r>
        <w:rPr>
          <w:sz w:val="48"/>
        </w:rPr>
        <mc:AlternateContent>
          <mc:Choice Requires="wps">
            <w:drawing>
              <wp:anchor distT="0" distB="0" distL="114300" distR="114300" simplePos="0" relativeHeight="251726848" behindDoc="0" locked="0" layoutInCell="1" allowOverlap="1">
                <wp:simplePos x="0" y="0"/>
                <wp:positionH relativeFrom="column">
                  <wp:posOffset>-400685</wp:posOffset>
                </wp:positionH>
                <wp:positionV relativeFrom="paragraph">
                  <wp:posOffset>4618355</wp:posOffset>
                </wp:positionV>
                <wp:extent cx="1560195" cy="988695"/>
                <wp:effectExtent l="0" t="0" r="1905" b="1905"/>
                <wp:wrapNone/>
                <wp:docPr id="6" name="文本框 6"/>
                <wp:cNvGraphicFramePr/>
                <a:graphic xmlns:a="http://schemas.openxmlformats.org/drawingml/2006/main">
                  <a:graphicData uri="http://schemas.microsoft.com/office/word/2010/wordprocessingShape">
                    <wps:wsp>
                      <wps:cNvSpPr txBox="1"/>
                      <wps:spPr>
                        <a:xfrm>
                          <a:off x="0" y="0"/>
                          <a:ext cx="1560195" cy="988695"/>
                        </a:xfrm>
                        <a:prstGeom prst="rect">
                          <a:avLst/>
                        </a:prstGeom>
                        <a:solidFill>
                          <a:srgbClr val="FFFFFF"/>
                        </a:solidFill>
                        <a:ln>
                          <a:noFill/>
                        </a:ln>
                      </wps:spPr>
                      <wps:txbx>
                        <w:txbxContent>
                          <w:p/>
                        </w:txbxContent>
                      </wps:txbx>
                      <wps:bodyPr upright="1"/>
                    </wps:wsp>
                  </a:graphicData>
                </a:graphic>
              </wp:anchor>
            </w:drawing>
          </mc:Choice>
          <mc:Fallback>
            <w:pict>
              <v:shape id="_x0000_s1026" o:spid="_x0000_s1026" o:spt="202" type="#_x0000_t202" style="position:absolute;left:0pt;margin-left:-31.55pt;margin-top:363.65pt;height:77.85pt;width:122.85pt;z-index:251726848;mso-width-relative:page;mso-height-relative:page;" fillcolor="#FFFFFF" filled="t" stroked="f" coordsize="21600,21600" o:gfxdata="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z89Jx2QAAAAsBAAAPAAAAAAAAAAEAIAAAACIAAABkcnMvZG93bnJldi54&#10;bWxQSwECFAAUAAAACACHTuJASwXxZ8ABAAB3AwAADgAAAAAAAAABACAAAAAoAQAAZHJzL2Uyb0Rv&#10;Yy54bWxQSwUGAAAAAAYABgBZAQAAWgUAAAAA&#10;">
                <v:fill on="t" focussize="0,0"/>
                <v:stroke on="f"/>
                <v:imagedata o:title=""/>
                <o:lock v:ext="edit" aspectratio="f"/>
                <v:textbox>
                  <w:txbxContent>
                    <w:p/>
                  </w:txbxContent>
                </v:textbox>
              </v:shape>
            </w:pict>
          </mc:Fallback>
        </mc:AlternateContent>
      </w:r>
      <w:r>
        <w:rPr>
          <w:sz w:val="28"/>
        </w:rPr>
        <mc:AlternateContent>
          <mc:Choice Requires="wps">
            <w:drawing>
              <wp:anchor distT="0" distB="0" distL="114300" distR="114300" simplePos="0" relativeHeight="251709440" behindDoc="0" locked="0" layoutInCell="1" allowOverlap="1">
                <wp:simplePos x="0" y="0"/>
                <wp:positionH relativeFrom="column">
                  <wp:posOffset>-218440</wp:posOffset>
                </wp:positionH>
                <wp:positionV relativeFrom="paragraph">
                  <wp:posOffset>6602095</wp:posOffset>
                </wp:positionV>
                <wp:extent cx="1349375" cy="762000"/>
                <wp:effectExtent l="0" t="0" r="3175" b="0"/>
                <wp:wrapNone/>
                <wp:docPr id="7" name="文本框 7"/>
                <wp:cNvGraphicFramePr/>
                <a:graphic xmlns:a="http://schemas.openxmlformats.org/drawingml/2006/main">
                  <a:graphicData uri="http://schemas.microsoft.com/office/word/2010/wordprocessingShape">
                    <wps:wsp>
                      <wps:cNvSpPr txBox="1"/>
                      <wps:spPr>
                        <a:xfrm>
                          <a:off x="0" y="0"/>
                          <a:ext cx="1349375" cy="762000"/>
                        </a:xfrm>
                        <a:prstGeom prst="rect">
                          <a:avLst/>
                        </a:prstGeom>
                        <a:solidFill>
                          <a:srgbClr val="FFFFFF"/>
                        </a:solidFill>
                        <a:ln>
                          <a:noFill/>
                        </a:ln>
                      </wps:spPr>
                      <wps:txbx>
                        <w:txbxContent>
                          <w:p/>
                        </w:txbxContent>
                      </wps:txbx>
                      <wps:bodyPr upright="1"/>
                    </wps:wsp>
                  </a:graphicData>
                </a:graphic>
              </wp:anchor>
            </w:drawing>
          </mc:Choice>
          <mc:Fallback>
            <w:pict>
              <v:shape id="_x0000_s1026" o:spid="_x0000_s1026" o:spt="202" type="#_x0000_t202" style="position:absolute;left:0pt;margin-left:-17.2pt;margin-top:519.85pt;height:60pt;width:106.25pt;z-index:251709440;mso-width-relative:page;mso-height-relative:page;" fillcolor="#FFFFFF" filled="t" stroked="f" coordsize="21600,21600" o:gfxdata="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qeNCy2gAAAA0BAAAPAAAAAAAAAAEAIAAAACIAAABkcnMvZG93bnJl&#10;di54bWxQSwECFAAUAAAACACHTuJAMzrdd8IBAAB3AwAADgAAAAAAAAABACAAAAApAQAAZHJzL2Uy&#10;b0RvYy54bWxQSwUGAAAAAAYABgBZAQAAXQUAAAAA&#10;">
                <v:fill on="t" focussize="0,0"/>
                <v:stroke on="f"/>
                <v:imagedata o:title=""/>
                <o:lock v:ext="edit" aspectratio="f"/>
                <v:textbox>
                  <w:txbxContent>
                    <w:p/>
                  </w:txbxContent>
                </v:textbox>
              </v:shape>
            </w:pict>
          </mc:Fallback>
        </mc:AlternateContent>
      </w:r>
      <w:r>
        <w:rPr>
          <w:sz w:val="28"/>
          <w:szCs w:val="21"/>
        </w:rPr>
        <mc:AlternateContent>
          <mc:Choice Requires="wps">
            <w:drawing>
              <wp:anchor distT="0" distB="0" distL="114300" distR="114300" simplePos="0" relativeHeight="251705344" behindDoc="0" locked="0" layoutInCell="1" allowOverlap="1">
                <wp:simplePos x="0" y="0"/>
                <wp:positionH relativeFrom="column">
                  <wp:posOffset>-206375</wp:posOffset>
                </wp:positionH>
                <wp:positionV relativeFrom="paragraph">
                  <wp:posOffset>6112510</wp:posOffset>
                </wp:positionV>
                <wp:extent cx="1257300" cy="571500"/>
                <wp:effectExtent l="5080" t="4445" r="13970" b="14605"/>
                <wp:wrapNone/>
                <wp:docPr id="8" name="矩形 8"/>
                <wp:cNvGraphicFramePr/>
                <a:graphic xmlns:a="http://schemas.openxmlformats.org/drawingml/2006/main">
                  <a:graphicData uri="http://schemas.microsoft.com/office/word/2010/wordprocessingShape">
                    <wps:wsp>
                      <wps:cNvSpPr/>
                      <wps:spPr>
                        <a:xfrm>
                          <a:off x="0" y="0"/>
                          <a:ext cx="1257300" cy="571500"/>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6.25pt;margin-top:481.3pt;height:45pt;width:99pt;z-index:251705344;mso-width-relative:page;mso-height-relative:page;" fillcolor="#FFFFFF" filled="t" stroked="t" coordsize="21600,21600" o:gfxdata="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DgA+LYAAAADAEAAA8AAAAAAAAAAQAgAAAAIgAAAGRycy9kb3ducmV2LnhtbFBL&#10;AQIUABQAAAAIAIdO4kDuVQYa9gEAAB4EAAAOAAAAAAAAAAEAIAAAACcBAABkcnMvZTJvRG9jLnht&#10;bFBLBQYAAAAABgAGAFkBAACPBQAAAAA=&#10;">
                <v:fill on="t" focussize="0,0"/>
                <v:stroke color="#FFFFFF" joinstyle="miter"/>
                <v:imagedata o:title=""/>
                <o:lock v:ext="edit" aspectratio="f"/>
              </v:rect>
            </w:pict>
          </mc:Fallback>
        </mc:AlternateContent>
      </w:r>
      <w:r>
        <w:rPr>
          <w:rFonts w:ascii="仿宋_GB2312" w:hAnsi="楷体" w:eastAsia="仿宋_GB2312"/>
          <w:b/>
          <w:color w:val="000000"/>
          <w:sz w:val="28"/>
          <w:szCs w:val="28"/>
        </w:rPr>
        <w:br w:type="page"/>
      </w:r>
      <w:r>
        <w:rPr>
          <w:rFonts w:hint="eastAsia" w:ascii="方正小标宋简体" w:hAnsi="方正小标宋简体" w:eastAsia="方正小标宋简体" w:cs="方正小标宋简体"/>
          <w:color w:val="000000"/>
          <w:sz w:val="40"/>
          <w:szCs w:val="40"/>
          <w:shd w:val="clear" w:color="auto" w:fill="FFFFFF"/>
        </w:rPr>
        <w:t>目    录</w:t>
      </w:r>
    </w:p>
    <w:p>
      <w:pPr>
        <w:keepNext w:val="0"/>
        <w:keepLines w:val="0"/>
        <w:pageBreakBefore w:val="0"/>
        <w:widowControl w:val="0"/>
        <w:wordWrap/>
        <w:bidi w:val="0"/>
        <w:spacing w:after="0" w:line="500" w:lineRule="exact"/>
        <w:jc w:val="center"/>
        <w:rPr>
          <w:rFonts w:hint="eastAsia" w:ascii="方正小标宋简体" w:hAnsi="方正小标宋简体" w:eastAsia="方正小标宋简体" w:cs="方正小标宋简体"/>
          <w:color w:val="000000"/>
          <w:sz w:val="40"/>
          <w:szCs w:val="40"/>
          <w:shd w:val="clear" w:color="auto" w:fill="FFFFFF"/>
        </w:rPr>
      </w:pPr>
    </w:p>
    <w:p>
      <w:pPr>
        <w:pStyle w:val="11"/>
        <w:keepNext w:val="0"/>
        <w:keepLines w:val="0"/>
        <w:pageBreakBefore w:val="0"/>
        <w:widowControl w:val="0"/>
        <w:tabs>
          <w:tab w:val="right" w:leader="dot" w:pos="8290"/>
          <w:tab w:val="clear" w:pos="8720"/>
        </w:tabs>
        <w:wordWrap/>
        <w:bidi w:val="0"/>
        <w:snapToGrid w:val="0"/>
        <w:spacing w:before="0" w:after="0" w:line="500" w:lineRule="exact"/>
        <w:ind w:firstLine="522" w:firstLineChars="200"/>
        <w:jc w:val="left"/>
        <w:outlineLvl w:val="9"/>
        <w:rPr>
          <w:rFonts w:hint="eastAsia" w:ascii="黑体" w:hAnsi="黑体" w:eastAsia="黑体" w:cs="仿宋"/>
          <w:b w:val="0"/>
          <w:bCs w:val="0"/>
          <w:color w:val="000000"/>
          <w:sz w:val="28"/>
          <w:szCs w:val="28"/>
        </w:rPr>
      </w:pPr>
      <w:r>
        <w:rPr>
          <w:rFonts w:hint="eastAsia" w:ascii="仿宋" w:hAnsi="仿宋" w:eastAsia="仿宋" w:cs="仿宋"/>
          <w:color w:val="000000"/>
          <w:sz w:val="28"/>
          <w:szCs w:val="28"/>
        </w:rPr>
        <w:fldChar w:fldCharType="begin"/>
      </w:r>
      <w:r>
        <w:rPr>
          <w:rFonts w:hint="eastAsia" w:ascii="仿宋" w:hAnsi="仿宋" w:eastAsia="仿宋" w:cs="仿宋"/>
          <w:color w:val="000000"/>
          <w:sz w:val="28"/>
          <w:szCs w:val="28"/>
        </w:rPr>
        <w:instrText xml:space="preserve"> TOC \o "1-3" \h \z \u </w:instrText>
      </w:r>
      <w:r>
        <w:rPr>
          <w:rFonts w:hint="eastAsia" w:ascii="仿宋" w:hAnsi="仿宋" w:eastAsia="仿宋" w:cs="仿宋"/>
          <w:color w:val="000000"/>
          <w:sz w:val="28"/>
          <w:szCs w:val="28"/>
        </w:rPr>
        <w:fldChar w:fldCharType="separate"/>
      </w:r>
      <w:r>
        <w:rPr>
          <w:rFonts w:hint="eastAsia" w:ascii="黑体" w:hAnsi="黑体" w:eastAsia="黑体" w:cs="仿宋"/>
          <w:b w:val="0"/>
          <w:bCs w:val="0"/>
          <w:color w:val="000000"/>
          <w:sz w:val="28"/>
          <w:szCs w:val="28"/>
        </w:rPr>
        <w:fldChar w:fldCharType="begin"/>
      </w:r>
      <w:r>
        <w:rPr>
          <w:rFonts w:hint="eastAsia" w:ascii="黑体" w:hAnsi="黑体" w:eastAsia="黑体" w:cs="仿宋"/>
          <w:b w:val="0"/>
          <w:bCs w:val="0"/>
          <w:color w:val="000000"/>
          <w:sz w:val="28"/>
          <w:szCs w:val="28"/>
        </w:rPr>
        <w:instrText xml:space="preserve"> HYPERLINK \l "_Toc75811698" </w:instrText>
      </w:r>
      <w:r>
        <w:rPr>
          <w:rFonts w:hint="eastAsia" w:ascii="黑体" w:hAnsi="黑体" w:eastAsia="黑体" w:cs="仿宋"/>
          <w:b w:val="0"/>
          <w:bCs w:val="0"/>
          <w:color w:val="000000"/>
          <w:sz w:val="28"/>
          <w:szCs w:val="28"/>
        </w:rPr>
        <w:fldChar w:fldCharType="separate"/>
      </w:r>
      <w:r>
        <w:rPr>
          <w:rFonts w:hint="eastAsia" w:ascii="黑体" w:hAnsi="黑体" w:eastAsia="黑体" w:cs="仿宋"/>
          <w:b w:val="0"/>
          <w:bCs w:val="0"/>
          <w:color w:val="000000"/>
          <w:sz w:val="28"/>
          <w:szCs w:val="28"/>
        </w:rPr>
        <w:t>一、企业劳动用工法律顾问</w:t>
      </w:r>
      <w:bookmarkStart w:id="66" w:name="_Hlt87863498"/>
      <w:r>
        <w:rPr>
          <w:rFonts w:hint="eastAsia" w:ascii="黑体" w:hAnsi="黑体" w:eastAsia="黑体" w:cs="仿宋"/>
          <w:b w:val="0"/>
          <w:bCs w:val="0"/>
          <w:color w:val="000000"/>
          <w:sz w:val="28"/>
          <w:szCs w:val="28"/>
        </w:rPr>
        <w:t>概</w:t>
      </w:r>
      <w:bookmarkEnd w:id="66"/>
      <w:r>
        <w:rPr>
          <w:rFonts w:hint="eastAsia" w:ascii="黑体" w:hAnsi="黑体" w:eastAsia="黑体" w:cs="仿宋"/>
          <w:b w:val="0"/>
          <w:bCs w:val="0"/>
          <w:color w:val="000000"/>
          <w:sz w:val="28"/>
          <w:szCs w:val="28"/>
        </w:rPr>
        <w:t>述</w:t>
      </w:r>
      <w:r>
        <w:rPr>
          <w:rFonts w:hint="eastAsia" w:ascii="黑体" w:hAnsi="黑体" w:eastAsia="黑体" w:cs="仿宋"/>
          <w:b w:val="0"/>
          <w:bCs w:val="0"/>
          <w:color w:val="000000"/>
          <w:sz w:val="28"/>
          <w:szCs w:val="28"/>
        </w:rPr>
        <w:fldChar w:fldCharType="end"/>
      </w:r>
    </w:p>
    <w:p>
      <w:pPr>
        <w:pStyle w:val="11"/>
        <w:keepNext w:val="0"/>
        <w:keepLines w:val="0"/>
        <w:pageBreakBefore w:val="0"/>
        <w:widowControl w:val="0"/>
        <w:tabs>
          <w:tab w:val="right" w:leader="dot" w:pos="8290"/>
          <w:tab w:val="clear" w:pos="8720"/>
        </w:tabs>
        <w:wordWrap/>
        <w:bidi w:val="0"/>
        <w:snapToGrid w:val="0"/>
        <w:spacing w:before="0" w:after="0" w:line="500" w:lineRule="exact"/>
        <w:ind w:firstLine="522" w:firstLineChars="200"/>
        <w:jc w:val="left"/>
        <w:outlineLvl w:val="9"/>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fldChar w:fldCharType="begin"/>
      </w:r>
      <w:r>
        <w:rPr>
          <w:rFonts w:hint="eastAsia" w:ascii="仿宋_GB2312" w:hAnsi="仿宋" w:eastAsia="仿宋_GB2312" w:cs="仿宋"/>
          <w:b w:val="0"/>
          <w:bCs w:val="0"/>
          <w:color w:val="000000"/>
          <w:sz w:val="28"/>
          <w:szCs w:val="28"/>
        </w:rPr>
        <w:instrText xml:space="preserve"> HYPERLINK \l "_Toc75811699" </w:instrText>
      </w:r>
      <w:r>
        <w:rPr>
          <w:rFonts w:hint="eastAsia" w:ascii="仿宋_GB2312" w:hAnsi="仿宋" w:eastAsia="仿宋_GB2312" w:cs="仿宋"/>
          <w:b w:val="0"/>
          <w:bCs w:val="0"/>
          <w:color w:val="000000"/>
          <w:sz w:val="28"/>
          <w:szCs w:val="28"/>
        </w:rPr>
        <w:fldChar w:fldCharType="separate"/>
      </w:r>
      <w:r>
        <w:rPr>
          <w:rFonts w:hint="eastAsia" w:ascii="仿宋_GB2312" w:hAnsi="仿宋" w:eastAsia="仿宋_GB2312" w:cs="仿宋"/>
          <w:b w:val="0"/>
          <w:bCs w:val="0"/>
          <w:color w:val="000000"/>
          <w:sz w:val="28"/>
          <w:szCs w:val="28"/>
        </w:rPr>
        <w:t>（一）服务简介</w:t>
      </w:r>
      <w:r>
        <w:rPr>
          <w:rFonts w:hint="eastAsia" w:ascii="仿宋_GB2312" w:hAnsi="仿宋" w:eastAsia="仿宋_GB2312" w:cs="仿宋"/>
          <w:b w:val="0"/>
          <w:bCs w:val="0"/>
          <w:color w:val="000000"/>
          <w:sz w:val="28"/>
          <w:szCs w:val="28"/>
        </w:rPr>
        <w:fldChar w:fldCharType="end"/>
      </w:r>
    </w:p>
    <w:p>
      <w:pPr>
        <w:pStyle w:val="11"/>
        <w:keepNext w:val="0"/>
        <w:keepLines w:val="0"/>
        <w:pageBreakBefore w:val="0"/>
        <w:widowControl w:val="0"/>
        <w:tabs>
          <w:tab w:val="right" w:leader="dot" w:pos="8290"/>
          <w:tab w:val="clear" w:pos="8720"/>
        </w:tabs>
        <w:wordWrap/>
        <w:bidi w:val="0"/>
        <w:snapToGrid w:val="0"/>
        <w:spacing w:before="0" w:after="0" w:line="500" w:lineRule="exact"/>
        <w:ind w:firstLine="522" w:firstLineChars="200"/>
        <w:jc w:val="left"/>
        <w:outlineLvl w:val="9"/>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fldChar w:fldCharType="begin"/>
      </w:r>
      <w:r>
        <w:rPr>
          <w:rFonts w:hint="eastAsia" w:ascii="仿宋_GB2312" w:hAnsi="仿宋" w:eastAsia="仿宋_GB2312" w:cs="仿宋"/>
          <w:b w:val="0"/>
          <w:bCs w:val="0"/>
          <w:color w:val="000000"/>
          <w:sz w:val="28"/>
          <w:szCs w:val="28"/>
        </w:rPr>
        <w:instrText xml:space="preserve"> HYPERLINK \l "_Toc75811700" </w:instrText>
      </w:r>
      <w:r>
        <w:rPr>
          <w:rFonts w:hint="eastAsia" w:ascii="仿宋_GB2312" w:hAnsi="仿宋" w:eastAsia="仿宋_GB2312" w:cs="仿宋"/>
          <w:b w:val="0"/>
          <w:bCs w:val="0"/>
          <w:color w:val="000000"/>
          <w:sz w:val="28"/>
          <w:szCs w:val="28"/>
        </w:rPr>
        <w:fldChar w:fldCharType="separate"/>
      </w:r>
      <w:r>
        <w:rPr>
          <w:rFonts w:hint="eastAsia" w:ascii="仿宋_GB2312" w:hAnsi="仿宋" w:eastAsia="仿宋_GB2312" w:cs="仿宋"/>
          <w:b w:val="0"/>
          <w:bCs w:val="0"/>
          <w:color w:val="000000"/>
          <w:sz w:val="28"/>
          <w:szCs w:val="28"/>
        </w:rPr>
        <w:t>（二）服务内容及工作流程</w:t>
      </w:r>
      <w:r>
        <w:rPr>
          <w:rFonts w:hint="eastAsia" w:ascii="仿宋_GB2312" w:hAnsi="仿宋" w:eastAsia="仿宋_GB2312" w:cs="仿宋"/>
          <w:b w:val="0"/>
          <w:bCs w:val="0"/>
          <w:color w:val="000000"/>
          <w:sz w:val="28"/>
          <w:szCs w:val="28"/>
        </w:rPr>
        <w:fldChar w:fldCharType="end"/>
      </w:r>
      <w:r>
        <w:rPr>
          <w:rFonts w:hint="eastAsia" w:ascii="仿宋_GB2312" w:hAnsi="仿宋" w:eastAsia="仿宋_GB2312" w:cs="仿宋"/>
          <w:b w:val="0"/>
          <w:bCs w:val="0"/>
          <w:color w:val="000000"/>
          <w:sz w:val="28"/>
          <w:szCs w:val="28"/>
        </w:rPr>
        <w:t xml:space="preserve"> </w:t>
      </w:r>
    </w:p>
    <w:p>
      <w:pPr>
        <w:pStyle w:val="11"/>
        <w:keepNext w:val="0"/>
        <w:keepLines w:val="0"/>
        <w:pageBreakBefore w:val="0"/>
        <w:widowControl w:val="0"/>
        <w:tabs>
          <w:tab w:val="right" w:leader="dot" w:pos="8290"/>
          <w:tab w:val="clear" w:pos="8720"/>
        </w:tabs>
        <w:wordWrap/>
        <w:bidi w:val="0"/>
        <w:snapToGrid w:val="0"/>
        <w:spacing w:before="0" w:after="0" w:line="500" w:lineRule="exact"/>
        <w:ind w:firstLine="522" w:firstLineChars="200"/>
        <w:jc w:val="left"/>
        <w:outlineLvl w:val="9"/>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fldChar w:fldCharType="begin"/>
      </w:r>
      <w:r>
        <w:rPr>
          <w:rFonts w:hint="eastAsia" w:ascii="仿宋_GB2312" w:hAnsi="仿宋" w:eastAsia="仿宋_GB2312" w:cs="仿宋"/>
          <w:b w:val="0"/>
          <w:bCs w:val="0"/>
          <w:color w:val="000000"/>
          <w:sz w:val="28"/>
          <w:szCs w:val="28"/>
        </w:rPr>
        <w:instrText xml:space="preserve"> HYPERLINK \l "_Toc75811703" </w:instrText>
      </w:r>
      <w:r>
        <w:rPr>
          <w:rFonts w:hint="eastAsia" w:ascii="仿宋_GB2312" w:hAnsi="仿宋" w:eastAsia="仿宋_GB2312" w:cs="仿宋"/>
          <w:b w:val="0"/>
          <w:bCs w:val="0"/>
          <w:color w:val="000000"/>
          <w:sz w:val="28"/>
          <w:szCs w:val="28"/>
        </w:rPr>
        <w:fldChar w:fldCharType="separate"/>
      </w:r>
      <w:r>
        <w:rPr>
          <w:rFonts w:hint="eastAsia" w:ascii="仿宋_GB2312" w:hAnsi="仿宋" w:eastAsia="仿宋_GB2312" w:cs="仿宋"/>
          <w:b w:val="0"/>
          <w:bCs w:val="0"/>
          <w:color w:val="000000"/>
          <w:sz w:val="28"/>
          <w:szCs w:val="28"/>
        </w:rPr>
        <w:t>（三）业务指引使用说明</w:t>
      </w:r>
      <w:r>
        <w:rPr>
          <w:rFonts w:hint="eastAsia" w:ascii="仿宋_GB2312" w:hAnsi="仿宋" w:eastAsia="仿宋_GB2312" w:cs="仿宋"/>
          <w:b w:val="0"/>
          <w:bCs w:val="0"/>
          <w:color w:val="000000"/>
          <w:sz w:val="28"/>
          <w:szCs w:val="28"/>
        </w:rPr>
        <w:fldChar w:fldCharType="end"/>
      </w:r>
    </w:p>
    <w:p>
      <w:pPr>
        <w:pStyle w:val="11"/>
        <w:keepNext w:val="0"/>
        <w:keepLines w:val="0"/>
        <w:pageBreakBefore w:val="0"/>
        <w:widowControl w:val="0"/>
        <w:tabs>
          <w:tab w:val="right" w:leader="dot" w:pos="8290"/>
          <w:tab w:val="clear" w:pos="8720"/>
        </w:tabs>
        <w:wordWrap/>
        <w:bidi w:val="0"/>
        <w:snapToGrid w:val="0"/>
        <w:spacing w:before="0" w:after="0" w:line="500" w:lineRule="exact"/>
        <w:ind w:firstLine="522" w:firstLineChars="200"/>
        <w:jc w:val="left"/>
        <w:outlineLvl w:val="9"/>
        <w:rPr>
          <w:rFonts w:hint="eastAsia" w:ascii="黑体" w:hAnsi="黑体" w:eastAsia="黑体" w:cs="仿宋"/>
          <w:b w:val="0"/>
          <w:bCs w:val="0"/>
          <w:color w:val="000000"/>
          <w:sz w:val="28"/>
          <w:szCs w:val="28"/>
        </w:rPr>
      </w:pPr>
      <w:r>
        <w:rPr>
          <w:rFonts w:hint="eastAsia" w:ascii="黑体" w:hAnsi="黑体" w:eastAsia="黑体" w:cs="仿宋"/>
          <w:b w:val="0"/>
          <w:bCs w:val="0"/>
          <w:color w:val="000000"/>
          <w:sz w:val="28"/>
          <w:szCs w:val="28"/>
        </w:rPr>
        <w:fldChar w:fldCharType="begin"/>
      </w:r>
      <w:r>
        <w:rPr>
          <w:rFonts w:hint="eastAsia" w:ascii="黑体" w:hAnsi="黑体" w:eastAsia="黑体" w:cs="仿宋"/>
          <w:b w:val="0"/>
          <w:bCs w:val="0"/>
          <w:color w:val="000000"/>
          <w:sz w:val="28"/>
          <w:szCs w:val="28"/>
        </w:rPr>
        <w:instrText xml:space="preserve"> HYPERLINK \l "_Toc75811704" </w:instrText>
      </w:r>
      <w:r>
        <w:rPr>
          <w:rFonts w:hint="eastAsia" w:ascii="黑体" w:hAnsi="黑体" w:eastAsia="黑体" w:cs="仿宋"/>
          <w:b w:val="0"/>
          <w:bCs w:val="0"/>
          <w:color w:val="000000"/>
          <w:sz w:val="28"/>
          <w:szCs w:val="28"/>
        </w:rPr>
        <w:fldChar w:fldCharType="separate"/>
      </w:r>
      <w:r>
        <w:rPr>
          <w:rFonts w:hint="eastAsia" w:ascii="黑体" w:hAnsi="黑体" w:eastAsia="黑体" w:cs="仿宋"/>
          <w:b w:val="0"/>
          <w:bCs w:val="0"/>
          <w:color w:val="000000"/>
          <w:sz w:val="28"/>
          <w:szCs w:val="28"/>
        </w:rPr>
        <w:t>二、企业劳动用工法律顾问服务操作指引</w:t>
      </w:r>
      <w:r>
        <w:rPr>
          <w:rFonts w:hint="eastAsia" w:ascii="黑体" w:hAnsi="黑体" w:eastAsia="黑体" w:cs="仿宋"/>
          <w:b w:val="0"/>
          <w:bCs w:val="0"/>
          <w:color w:val="000000"/>
          <w:sz w:val="28"/>
          <w:szCs w:val="28"/>
        </w:rPr>
        <w:fldChar w:fldCharType="end"/>
      </w:r>
    </w:p>
    <w:p>
      <w:pPr>
        <w:pStyle w:val="11"/>
        <w:keepNext w:val="0"/>
        <w:keepLines w:val="0"/>
        <w:pageBreakBefore w:val="0"/>
        <w:widowControl w:val="0"/>
        <w:tabs>
          <w:tab w:val="right" w:leader="dot" w:pos="8290"/>
          <w:tab w:val="clear" w:pos="8720"/>
        </w:tabs>
        <w:wordWrap/>
        <w:bidi w:val="0"/>
        <w:snapToGrid w:val="0"/>
        <w:spacing w:before="0" w:after="0" w:line="500" w:lineRule="exact"/>
        <w:ind w:firstLine="522" w:firstLineChars="200"/>
        <w:jc w:val="left"/>
        <w:outlineLvl w:val="9"/>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fldChar w:fldCharType="begin"/>
      </w:r>
      <w:r>
        <w:rPr>
          <w:rFonts w:hint="eastAsia" w:ascii="仿宋_GB2312" w:hAnsi="仿宋" w:eastAsia="仿宋_GB2312" w:cs="仿宋"/>
          <w:b w:val="0"/>
          <w:bCs w:val="0"/>
          <w:color w:val="000000"/>
          <w:sz w:val="28"/>
          <w:szCs w:val="28"/>
        </w:rPr>
        <w:instrText xml:space="preserve"> HYPERLINK \l "_Toc75811705" </w:instrText>
      </w:r>
      <w:r>
        <w:rPr>
          <w:rFonts w:hint="eastAsia" w:ascii="仿宋_GB2312" w:hAnsi="仿宋" w:eastAsia="仿宋_GB2312" w:cs="仿宋"/>
          <w:b w:val="0"/>
          <w:bCs w:val="0"/>
          <w:color w:val="000000"/>
          <w:sz w:val="28"/>
          <w:szCs w:val="28"/>
        </w:rPr>
        <w:fldChar w:fldCharType="separate"/>
      </w:r>
      <w:r>
        <w:rPr>
          <w:rFonts w:hint="eastAsia" w:ascii="仿宋_GB2312" w:hAnsi="仿宋" w:eastAsia="仿宋_GB2312" w:cs="仿宋"/>
          <w:b w:val="0"/>
          <w:bCs w:val="0"/>
          <w:color w:val="000000"/>
          <w:sz w:val="28"/>
          <w:szCs w:val="28"/>
        </w:rPr>
        <w:t>（一）劳动人事法治体检</w:t>
      </w:r>
      <w:r>
        <w:rPr>
          <w:rFonts w:hint="eastAsia" w:ascii="仿宋_GB2312" w:hAnsi="仿宋" w:eastAsia="仿宋_GB2312" w:cs="仿宋"/>
          <w:b w:val="0"/>
          <w:bCs w:val="0"/>
          <w:color w:val="000000"/>
          <w:sz w:val="28"/>
          <w:szCs w:val="28"/>
        </w:rPr>
        <w:fldChar w:fldCharType="end"/>
      </w:r>
    </w:p>
    <w:p>
      <w:pPr>
        <w:pStyle w:val="11"/>
        <w:keepNext w:val="0"/>
        <w:keepLines w:val="0"/>
        <w:pageBreakBefore w:val="0"/>
        <w:widowControl w:val="0"/>
        <w:tabs>
          <w:tab w:val="right" w:leader="dot" w:pos="8290"/>
          <w:tab w:val="clear" w:pos="8720"/>
        </w:tabs>
        <w:wordWrap/>
        <w:bidi w:val="0"/>
        <w:snapToGrid w:val="0"/>
        <w:spacing w:before="0" w:after="0" w:line="500" w:lineRule="exact"/>
        <w:ind w:firstLine="522" w:firstLineChars="200"/>
        <w:jc w:val="left"/>
        <w:outlineLvl w:val="9"/>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fldChar w:fldCharType="begin"/>
      </w:r>
      <w:r>
        <w:rPr>
          <w:rFonts w:hint="eastAsia" w:ascii="仿宋_GB2312" w:hAnsi="仿宋" w:eastAsia="仿宋_GB2312" w:cs="仿宋"/>
          <w:b w:val="0"/>
          <w:bCs w:val="0"/>
          <w:color w:val="000000"/>
          <w:sz w:val="28"/>
          <w:szCs w:val="28"/>
        </w:rPr>
        <w:instrText xml:space="preserve"> HYPERLINK \l "_Toc75811706" </w:instrText>
      </w:r>
      <w:r>
        <w:rPr>
          <w:rFonts w:hint="eastAsia" w:ascii="仿宋_GB2312" w:hAnsi="仿宋" w:eastAsia="仿宋_GB2312" w:cs="仿宋"/>
          <w:b w:val="0"/>
          <w:bCs w:val="0"/>
          <w:color w:val="000000"/>
          <w:sz w:val="28"/>
          <w:szCs w:val="28"/>
        </w:rPr>
        <w:fldChar w:fldCharType="separate"/>
      </w:r>
      <w:r>
        <w:rPr>
          <w:rFonts w:hint="eastAsia" w:ascii="仿宋_GB2312" w:hAnsi="仿宋" w:eastAsia="仿宋_GB2312" w:cs="仿宋"/>
          <w:b w:val="0"/>
          <w:bCs w:val="0"/>
          <w:color w:val="000000"/>
          <w:sz w:val="28"/>
          <w:szCs w:val="28"/>
        </w:rPr>
        <w:t>1.访谈及调查</w:t>
      </w:r>
      <w:r>
        <w:rPr>
          <w:rFonts w:hint="eastAsia" w:ascii="仿宋_GB2312" w:hAnsi="仿宋" w:eastAsia="仿宋_GB2312" w:cs="仿宋"/>
          <w:b w:val="0"/>
          <w:bCs w:val="0"/>
          <w:color w:val="000000"/>
          <w:sz w:val="28"/>
          <w:szCs w:val="28"/>
        </w:rPr>
        <w:fldChar w:fldCharType="end"/>
      </w:r>
    </w:p>
    <w:p>
      <w:pPr>
        <w:pStyle w:val="11"/>
        <w:keepNext w:val="0"/>
        <w:keepLines w:val="0"/>
        <w:pageBreakBefore w:val="0"/>
        <w:widowControl w:val="0"/>
        <w:tabs>
          <w:tab w:val="right" w:leader="dot" w:pos="8290"/>
          <w:tab w:val="clear" w:pos="8720"/>
        </w:tabs>
        <w:wordWrap/>
        <w:bidi w:val="0"/>
        <w:snapToGrid w:val="0"/>
        <w:spacing w:before="0" w:after="0" w:line="500" w:lineRule="exact"/>
        <w:ind w:firstLine="522" w:firstLineChars="200"/>
        <w:jc w:val="left"/>
        <w:outlineLvl w:val="9"/>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fldChar w:fldCharType="begin"/>
      </w:r>
      <w:r>
        <w:rPr>
          <w:rFonts w:hint="eastAsia" w:ascii="仿宋_GB2312" w:hAnsi="仿宋" w:eastAsia="仿宋_GB2312" w:cs="仿宋"/>
          <w:b w:val="0"/>
          <w:bCs w:val="0"/>
          <w:color w:val="000000"/>
          <w:sz w:val="28"/>
          <w:szCs w:val="28"/>
        </w:rPr>
        <w:instrText xml:space="preserve"> HYPERLINK \l "_Toc75811707" </w:instrText>
      </w:r>
      <w:r>
        <w:rPr>
          <w:rFonts w:hint="eastAsia" w:ascii="仿宋_GB2312" w:hAnsi="仿宋" w:eastAsia="仿宋_GB2312" w:cs="仿宋"/>
          <w:b w:val="0"/>
          <w:bCs w:val="0"/>
          <w:color w:val="000000"/>
          <w:sz w:val="28"/>
          <w:szCs w:val="28"/>
        </w:rPr>
        <w:fldChar w:fldCharType="separate"/>
      </w:r>
      <w:r>
        <w:rPr>
          <w:rFonts w:hint="eastAsia" w:ascii="仿宋_GB2312" w:hAnsi="仿宋" w:eastAsia="仿宋_GB2312" w:cs="仿宋"/>
          <w:b w:val="0"/>
          <w:bCs w:val="0"/>
          <w:color w:val="000000"/>
          <w:sz w:val="28"/>
          <w:szCs w:val="28"/>
        </w:rPr>
        <w:t>2.资料收集</w:t>
      </w:r>
      <w:r>
        <w:rPr>
          <w:rFonts w:hint="eastAsia" w:ascii="仿宋_GB2312" w:hAnsi="仿宋" w:eastAsia="仿宋_GB2312" w:cs="仿宋"/>
          <w:b w:val="0"/>
          <w:bCs w:val="0"/>
          <w:color w:val="000000"/>
          <w:sz w:val="28"/>
          <w:szCs w:val="28"/>
        </w:rPr>
        <w:fldChar w:fldCharType="end"/>
      </w:r>
    </w:p>
    <w:p>
      <w:pPr>
        <w:pStyle w:val="11"/>
        <w:keepNext w:val="0"/>
        <w:keepLines w:val="0"/>
        <w:pageBreakBefore w:val="0"/>
        <w:widowControl w:val="0"/>
        <w:tabs>
          <w:tab w:val="right" w:leader="dot" w:pos="8290"/>
          <w:tab w:val="clear" w:pos="8720"/>
        </w:tabs>
        <w:wordWrap/>
        <w:bidi w:val="0"/>
        <w:snapToGrid w:val="0"/>
        <w:spacing w:before="0" w:after="0" w:line="500" w:lineRule="exact"/>
        <w:ind w:firstLine="522" w:firstLineChars="200"/>
        <w:jc w:val="left"/>
        <w:outlineLvl w:val="9"/>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fldChar w:fldCharType="begin"/>
      </w:r>
      <w:r>
        <w:rPr>
          <w:rFonts w:hint="eastAsia" w:ascii="仿宋_GB2312" w:hAnsi="仿宋" w:eastAsia="仿宋_GB2312" w:cs="仿宋"/>
          <w:b w:val="0"/>
          <w:bCs w:val="0"/>
          <w:color w:val="000000"/>
          <w:sz w:val="28"/>
          <w:szCs w:val="28"/>
        </w:rPr>
        <w:instrText xml:space="preserve"> HYPERLINK \l "_Toc75811708" </w:instrText>
      </w:r>
      <w:r>
        <w:rPr>
          <w:rFonts w:hint="eastAsia" w:ascii="仿宋_GB2312" w:hAnsi="仿宋" w:eastAsia="仿宋_GB2312" w:cs="仿宋"/>
          <w:b w:val="0"/>
          <w:bCs w:val="0"/>
          <w:color w:val="000000"/>
          <w:sz w:val="28"/>
          <w:szCs w:val="28"/>
        </w:rPr>
        <w:fldChar w:fldCharType="separate"/>
      </w:r>
      <w:r>
        <w:rPr>
          <w:rFonts w:hint="eastAsia" w:ascii="仿宋_GB2312" w:hAnsi="仿宋" w:eastAsia="仿宋_GB2312" w:cs="仿宋"/>
          <w:b w:val="0"/>
          <w:bCs w:val="0"/>
          <w:color w:val="000000"/>
          <w:sz w:val="28"/>
          <w:szCs w:val="28"/>
        </w:rPr>
        <w:t>3.体检报告出具</w:t>
      </w:r>
      <w:r>
        <w:rPr>
          <w:rFonts w:hint="eastAsia" w:ascii="仿宋_GB2312" w:hAnsi="仿宋" w:eastAsia="仿宋_GB2312" w:cs="仿宋"/>
          <w:b w:val="0"/>
          <w:bCs w:val="0"/>
          <w:color w:val="000000"/>
          <w:sz w:val="28"/>
          <w:szCs w:val="28"/>
        </w:rPr>
        <w:fldChar w:fldCharType="end"/>
      </w:r>
    </w:p>
    <w:p>
      <w:pPr>
        <w:pStyle w:val="11"/>
        <w:keepNext w:val="0"/>
        <w:keepLines w:val="0"/>
        <w:pageBreakBefore w:val="0"/>
        <w:widowControl w:val="0"/>
        <w:tabs>
          <w:tab w:val="right" w:leader="dot" w:pos="8290"/>
          <w:tab w:val="clear" w:pos="8720"/>
        </w:tabs>
        <w:wordWrap/>
        <w:bidi w:val="0"/>
        <w:snapToGrid w:val="0"/>
        <w:spacing w:before="0" w:after="0" w:line="500" w:lineRule="exact"/>
        <w:ind w:firstLine="522" w:firstLineChars="200"/>
        <w:jc w:val="left"/>
        <w:outlineLvl w:val="9"/>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fldChar w:fldCharType="begin"/>
      </w:r>
      <w:r>
        <w:rPr>
          <w:rFonts w:hint="eastAsia" w:ascii="仿宋_GB2312" w:hAnsi="仿宋" w:eastAsia="仿宋_GB2312" w:cs="仿宋"/>
          <w:b w:val="0"/>
          <w:bCs w:val="0"/>
          <w:color w:val="000000"/>
          <w:sz w:val="28"/>
          <w:szCs w:val="28"/>
        </w:rPr>
        <w:instrText xml:space="preserve"> HYPERLINK \l "_Toc75811709" </w:instrText>
      </w:r>
      <w:r>
        <w:rPr>
          <w:rFonts w:hint="eastAsia" w:ascii="仿宋_GB2312" w:hAnsi="仿宋" w:eastAsia="仿宋_GB2312" w:cs="仿宋"/>
          <w:b w:val="0"/>
          <w:bCs w:val="0"/>
          <w:color w:val="000000"/>
          <w:sz w:val="28"/>
          <w:szCs w:val="28"/>
        </w:rPr>
        <w:fldChar w:fldCharType="separate"/>
      </w:r>
      <w:r>
        <w:rPr>
          <w:rFonts w:hint="eastAsia" w:ascii="仿宋_GB2312" w:hAnsi="仿宋" w:eastAsia="仿宋_GB2312" w:cs="仿宋"/>
          <w:b w:val="0"/>
          <w:bCs w:val="0"/>
          <w:color w:val="000000"/>
          <w:sz w:val="28"/>
          <w:szCs w:val="28"/>
        </w:rPr>
        <w:t>（二）入职环节合规服务</w:t>
      </w:r>
      <w:r>
        <w:rPr>
          <w:rFonts w:hint="eastAsia" w:ascii="仿宋_GB2312" w:hAnsi="仿宋" w:eastAsia="仿宋_GB2312" w:cs="仿宋"/>
          <w:b w:val="0"/>
          <w:bCs w:val="0"/>
          <w:color w:val="000000"/>
          <w:sz w:val="28"/>
          <w:szCs w:val="28"/>
        </w:rPr>
        <w:fldChar w:fldCharType="end"/>
      </w:r>
    </w:p>
    <w:p>
      <w:pPr>
        <w:pStyle w:val="11"/>
        <w:keepNext w:val="0"/>
        <w:keepLines w:val="0"/>
        <w:pageBreakBefore w:val="0"/>
        <w:widowControl w:val="0"/>
        <w:tabs>
          <w:tab w:val="right" w:leader="dot" w:pos="8290"/>
          <w:tab w:val="clear" w:pos="8720"/>
        </w:tabs>
        <w:wordWrap/>
        <w:bidi w:val="0"/>
        <w:snapToGrid w:val="0"/>
        <w:spacing w:before="0" w:after="0" w:line="500" w:lineRule="exact"/>
        <w:ind w:firstLine="522" w:firstLineChars="200"/>
        <w:jc w:val="left"/>
        <w:outlineLvl w:val="9"/>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fldChar w:fldCharType="begin"/>
      </w:r>
      <w:r>
        <w:rPr>
          <w:rFonts w:hint="eastAsia" w:ascii="仿宋_GB2312" w:hAnsi="仿宋" w:eastAsia="仿宋_GB2312" w:cs="仿宋"/>
          <w:b w:val="0"/>
          <w:bCs w:val="0"/>
          <w:color w:val="000000"/>
          <w:sz w:val="28"/>
          <w:szCs w:val="28"/>
        </w:rPr>
        <w:instrText xml:space="preserve"> HYPERLINK \l "_Toc75811710" </w:instrText>
      </w:r>
      <w:r>
        <w:rPr>
          <w:rFonts w:hint="eastAsia" w:ascii="仿宋_GB2312" w:hAnsi="仿宋" w:eastAsia="仿宋_GB2312" w:cs="仿宋"/>
          <w:b w:val="0"/>
          <w:bCs w:val="0"/>
          <w:color w:val="000000"/>
          <w:sz w:val="28"/>
          <w:szCs w:val="28"/>
        </w:rPr>
        <w:fldChar w:fldCharType="separate"/>
      </w:r>
      <w:r>
        <w:rPr>
          <w:rFonts w:hint="eastAsia" w:ascii="仿宋_GB2312" w:hAnsi="仿宋" w:eastAsia="仿宋_GB2312" w:cs="仿宋"/>
          <w:b w:val="0"/>
          <w:bCs w:val="0"/>
          <w:color w:val="000000"/>
          <w:sz w:val="28"/>
          <w:szCs w:val="28"/>
        </w:rPr>
        <w:t>1.入职审查及信息登记合规</w:t>
      </w:r>
      <w:r>
        <w:rPr>
          <w:rFonts w:hint="eastAsia" w:ascii="仿宋_GB2312" w:hAnsi="仿宋" w:eastAsia="仿宋_GB2312" w:cs="仿宋"/>
          <w:b w:val="0"/>
          <w:bCs w:val="0"/>
          <w:color w:val="000000"/>
          <w:sz w:val="28"/>
          <w:szCs w:val="28"/>
        </w:rPr>
        <w:fldChar w:fldCharType="end"/>
      </w:r>
    </w:p>
    <w:p>
      <w:pPr>
        <w:pStyle w:val="11"/>
        <w:keepNext w:val="0"/>
        <w:keepLines w:val="0"/>
        <w:pageBreakBefore w:val="0"/>
        <w:widowControl w:val="0"/>
        <w:tabs>
          <w:tab w:val="right" w:leader="dot" w:pos="8290"/>
          <w:tab w:val="clear" w:pos="8720"/>
        </w:tabs>
        <w:wordWrap/>
        <w:bidi w:val="0"/>
        <w:snapToGrid w:val="0"/>
        <w:spacing w:before="0" w:after="0" w:line="500" w:lineRule="exact"/>
        <w:ind w:firstLine="522" w:firstLineChars="200"/>
        <w:jc w:val="left"/>
        <w:outlineLvl w:val="9"/>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fldChar w:fldCharType="begin"/>
      </w:r>
      <w:r>
        <w:rPr>
          <w:rFonts w:hint="eastAsia" w:ascii="仿宋_GB2312" w:hAnsi="仿宋" w:eastAsia="仿宋_GB2312" w:cs="仿宋"/>
          <w:b w:val="0"/>
          <w:bCs w:val="0"/>
          <w:color w:val="000000"/>
          <w:sz w:val="28"/>
          <w:szCs w:val="28"/>
        </w:rPr>
        <w:instrText xml:space="preserve"> HYPERLINK \l "_Toc75811711" </w:instrText>
      </w:r>
      <w:r>
        <w:rPr>
          <w:rFonts w:hint="eastAsia" w:ascii="仿宋_GB2312" w:hAnsi="仿宋" w:eastAsia="仿宋_GB2312" w:cs="仿宋"/>
          <w:b w:val="0"/>
          <w:bCs w:val="0"/>
          <w:color w:val="000000"/>
          <w:sz w:val="28"/>
          <w:szCs w:val="28"/>
        </w:rPr>
        <w:fldChar w:fldCharType="separate"/>
      </w:r>
      <w:r>
        <w:rPr>
          <w:rFonts w:hint="eastAsia" w:ascii="仿宋_GB2312" w:hAnsi="仿宋" w:eastAsia="仿宋_GB2312" w:cs="仿宋"/>
          <w:b w:val="0"/>
          <w:bCs w:val="0"/>
          <w:color w:val="000000"/>
          <w:sz w:val="28"/>
          <w:szCs w:val="28"/>
        </w:rPr>
        <w:t>2.劳动合同管理</w:t>
      </w:r>
      <w:r>
        <w:rPr>
          <w:rFonts w:hint="eastAsia" w:ascii="仿宋_GB2312" w:hAnsi="仿宋" w:eastAsia="仿宋_GB2312" w:cs="仿宋"/>
          <w:b w:val="0"/>
          <w:bCs w:val="0"/>
          <w:color w:val="000000"/>
          <w:sz w:val="28"/>
          <w:szCs w:val="28"/>
        </w:rPr>
        <w:fldChar w:fldCharType="end"/>
      </w:r>
    </w:p>
    <w:p>
      <w:pPr>
        <w:pStyle w:val="11"/>
        <w:keepNext w:val="0"/>
        <w:keepLines w:val="0"/>
        <w:pageBreakBefore w:val="0"/>
        <w:widowControl w:val="0"/>
        <w:tabs>
          <w:tab w:val="right" w:leader="dot" w:pos="8290"/>
          <w:tab w:val="clear" w:pos="8720"/>
        </w:tabs>
        <w:wordWrap/>
        <w:bidi w:val="0"/>
        <w:snapToGrid w:val="0"/>
        <w:spacing w:before="0" w:after="0" w:line="500" w:lineRule="exact"/>
        <w:ind w:firstLine="522" w:firstLineChars="200"/>
        <w:jc w:val="left"/>
        <w:outlineLvl w:val="9"/>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fldChar w:fldCharType="begin"/>
      </w:r>
      <w:r>
        <w:rPr>
          <w:rFonts w:hint="eastAsia" w:ascii="仿宋_GB2312" w:hAnsi="仿宋" w:eastAsia="仿宋_GB2312" w:cs="仿宋"/>
          <w:b w:val="0"/>
          <w:bCs w:val="0"/>
          <w:color w:val="000000"/>
          <w:sz w:val="28"/>
          <w:szCs w:val="28"/>
        </w:rPr>
        <w:instrText xml:space="preserve"> HYPERLINK \l "_Toc75811712" </w:instrText>
      </w:r>
      <w:r>
        <w:rPr>
          <w:rFonts w:hint="eastAsia" w:ascii="仿宋_GB2312" w:hAnsi="仿宋" w:eastAsia="仿宋_GB2312" w:cs="仿宋"/>
          <w:b w:val="0"/>
          <w:bCs w:val="0"/>
          <w:color w:val="000000"/>
          <w:sz w:val="28"/>
          <w:szCs w:val="28"/>
        </w:rPr>
        <w:fldChar w:fldCharType="separate"/>
      </w:r>
      <w:r>
        <w:rPr>
          <w:rFonts w:hint="eastAsia" w:ascii="仿宋_GB2312" w:hAnsi="仿宋" w:eastAsia="仿宋_GB2312" w:cs="仿宋"/>
          <w:b w:val="0"/>
          <w:bCs w:val="0"/>
          <w:color w:val="000000"/>
          <w:sz w:val="28"/>
          <w:szCs w:val="28"/>
        </w:rPr>
        <w:t>3.试用期管理</w:t>
      </w:r>
      <w:r>
        <w:rPr>
          <w:rFonts w:hint="eastAsia" w:ascii="仿宋_GB2312" w:hAnsi="仿宋" w:eastAsia="仿宋_GB2312" w:cs="仿宋"/>
          <w:b w:val="0"/>
          <w:bCs w:val="0"/>
          <w:color w:val="000000"/>
          <w:sz w:val="28"/>
          <w:szCs w:val="28"/>
        </w:rPr>
        <w:fldChar w:fldCharType="end"/>
      </w:r>
    </w:p>
    <w:p>
      <w:pPr>
        <w:pStyle w:val="11"/>
        <w:keepNext w:val="0"/>
        <w:keepLines w:val="0"/>
        <w:pageBreakBefore w:val="0"/>
        <w:widowControl w:val="0"/>
        <w:tabs>
          <w:tab w:val="right" w:leader="dot" w:pos="8290"/>
          <w:tab w:val="clear" w:pos="8720"/>
        </w:tabs>
        <w:wordWrap/>
        <w:bidi w:val="0"/>
        <w:snapToGrid w:val="0"/>
        <w:spacing w:before="0" w:after="0" w:line="500" w:lineRule="exact"/>
        <w:ind w:firstLine="522" w:firstLineChars="200"/>
        <w:jc w:val="left"/>
        <w:outlineLvl w:val="9"/>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fldChar w:fldCharType="begin"/>
      </w:r>
      <w:r>
        <w:rPr>
          <w:rFonts w:hint="eastAsia" w:ascii="仿宋_GB2312" w:hAnsi="仿宋" w:eastAsia="仿宋_GB2312" w:cs="仿宋"/>
          <w:b w:val="0"/>
          <w:bCs w:val="0"/>
          <w:color w:val="000000"/>
          <w:sz w:val="28"/>
          <w:szCs w:val="28"/>
        </w:rPr>
        <w:instrText xml:space="preserve"> HYPERLINK \l "_Toc75811713" </w:instrText>
      </w:r>
      <w:r>
        <w:rPr>
          <w:rFonts w:hint="eastAsia" w:ascii="仿宋_GB2312" w:hAnsi="仿宋" w:eastAsia="仿宋_GB2312" w:cs="仿宋"/>
          <w:b w:val="0"/>
          <w:bCs w:val="0"/>
          <w:color w:val="000000"/>
          <w:sz w:val="28"/>
          <w:szCs w:val="28"/>
        </w:rPr>
        <w:fldChar w:fldCharType="separate"/>
      </w:r>
      <w:r>
        <w:rPr>
          <w:rFonts w:hint="eastAsia" w:ascii="仿宋_GB2312" w:hAnsi="仿宋" w:eastAsia="仿宋_GB2312" w:cs="仿宋"/>
          <w:b w:val="0"/>
          <w:bCs w:val="0"/>
          <w:color w:val="000000"/>
          <w:sz w:val="28"/>
          <w:szCs w:val="28"/>
        </w:rPr>
        <w:t>（三）用工环节合规服务</w:t>
      </w:r>
      <w:r>
        <w:rPr>
          <w:rFonts w:hint="eastAsia" w:ascii="仿宋_GB2312" w:hAnsi="仿宋" w:eastAsia="仿宋_GB2312" w:cs="仿宋"/>
          <w:b w:val="0"/>
          <w:bCs w:val="0"/>
          <w:color w:val="000000"/>
          <w:sz w:val="28"/>
          <w:szCs w:val="28"/>
        </w:rPr>
        <w:fldChar w:fldCharType="end"/>
      </w:r>
    </w:p>
    <w:p>
      <w:pPr>
        <w:pStyle w:val="11"/>
        <w:keepNext w:val="0"/>
        <w:keepLines w:val="0"/>
        <w:pageBreakBefore w:val="0"/>
        <w:widowControl w:val="0"/>
        <w:tabs>
          <w:tab w:val="right" w:leader="dot" w:pos="8290"/>
          <w:tab w:val="clear" w:pos="8720"/>
        </w:tabs>
        <w:wordWrap/>
        <w:bidi w:val="0"/>
        <w:snapToGrid w:val="0"/>
        <w:spacing w:before="0" w:after="0" w:line="500" w:lineRule="exact"/>
        <w:ind w:firstLine="522" w:firstLineChars="200"/>
        <w:jc w:val="left"/>
        <w:outlineLvl w:val="9"/>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fldChar w:fldCharType="begin"/>
      </w:r>
      <w:r>
        <w:rPr>
          <w:rFonts w:hint="eastAsia" w:ascii="仿宋_GB2312" w:hAnsi="仿宋" w:eastAsia="仿宋_GB2312" w:cs="仿宋"/>
          <w:b w:val="0"/>
          <w:bCs w:val="0"/>
          <w:color w:val="000000"/>
          <w:sz w:val="28"/>
          <w:szCs w:val="28"/>
        </w:rPr>
        <w:instrText xml:space="preserve"> HYPERLINK \l "_Toc75811714" </w:instrText>
      </w:r>
      <w:r>
        <w:rPr>
          <w:rFonts w:hint="eastAsia" w:ascii="仿宋_GB2312" w:hAnsi="仿宋" w:eastAsia="仿宋_GB2312" w:cs="仿宋"/>
          <w:b w:val="0"/>
          <w:bCs w:val="0"/>
          <w:color w:val="000000"/>
          <w:sz w:val="28"/>
          <w:szCs w:val="28"/>
        </w:rPr>
        <w:fldChar w:fldCharType="separate"/>
      </w:r>
      <w:r>
        <w:rPr>
          <w:rFonts w:hint="eastAsia" w:ascii="仿宋_GB2312" w:hAnsi="仿宋" w:eastAsia="仿宋_GB2312" w:cs="仿宋"/>
          <w:b w:val="0"/>
          <w:bCs w:val="0"/>
          <w:color w:val="000000"/>
          <w:sz w:val="28"/>
          <w:szCs w:val="28"/>
        </w:rPr>
        <w:t>1.工作时间与休息休假</w:t>
      </w:r>
      <w:r>
        <w:rPr>
          <w:rFonts w:hint="eastAsia" w:ascii="仿宋_GB2312" w:hAnsi="仿宋" w:eastAsia="仿宋_GB2312" w:cs="仿宋"/>
          <w:b w:val="0"/>
          <w:bCs w:val="0"/>
          <w:color w:val="000000"/>
          <w:sz w:val="28"/>
          <w:szCs w:val="28"/>
        </w:rPr>
        <w:fldChar w:fldCharType="end"/>
      </w:r>
    </w:p>
    <w:p>
      <w:pPr>
        <w:pStyle w:val="11"/>
        <w:keepNext w:val="0"/>
        <w:keepLines w:val="0"/>
        <w:pageBreakBefore w:val="0"/>
        <w:widowControl w:val="0"/>
        <w:tabs>
          <w:tab w:val="right" w:leader="dot" w:pos="8290"/>
          <w:tab w:val="clear" w:pos="8720"/>
        </w:tabs>
        <w:wordWrap/>
        <w:bidi w:val="0"/>
        <w:snapToGrid w:val="0"/>
        <w:spacing w:before="0" w:after="0" w:line="500" w:lineRule="exact"/>
        <w:ind w:firstLine="522" w:firstLineChars="200"/>
        <w:jc w:val="left"/>
        <w:outlineLvl w:val="9"/>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fldChar w:fldCharType="begin"/>
      </w:r>
      <w:r>
        <w:rPr>
          <w:rFonts w:hint="eastAsia" w:ascii="仿宋_GB2312" w:hAnsi="仿宋" w:eastAsia="仿宋_GB2312" w:cs="仿宋"/>
          <w:b w:val="0"/>
          <w:bCs w:val="0"/>
          <w:color w:val="000000"/>
          <w:sz w:val="28"/>
          <w:szCs w:val="28"/>
        </w:rPr>
        <w:instrText xml:space="preserve"> HYPERLINK \l "_Toc75811715" </w:instrText>
      </w:r>
      <w:r>
        <w:rPr>
          <w:rFonts w:hint="eastAsia" w:ascii="仿宋_GB2312" w:hAnsi="仿宋" w:eastAsia="仿宋_GB2312" w:cs="仿宋"/>
          <w:b w:val="0"/>
          <w:bCs w:val="0"/>
          <w:color w:val="000000"/>
          <w:sz w:val="28"/>
          <w:szCs w:val="28"/>
        </w:rPr>
        <w:fldChar w:fldCharType="separate"/>
      </w:r>
      <w:r>
        <w:rPr>
          <w:rFonts w:hint="eastAsia" w:ascii="仿宋_GB2312" w:hAnsi="仿宋" w:eastAsia="仿宋_GB2312" w:cs="仿宋"/>
          <w:b w:val="0"/>
          <w:bCs w:val="0"/>
          <w:color w:val="000000"/>
          <w:sz w:val="28"/>
          <w:szCs w:val="28"/>
        </w:rPr>
        <w:t>2.薪酬福利</w:t>
      </w:r>
      <w:r>
        <w:rPr>
          <w:rFonts w:hint="eastAsia" w:ascii="仿宋_GB2312" w:hAnsi="仿宋" w:eastAsia="仿宋_GB2312" w:cs="仿宋"/>
          <w:b w:val="0"/>
          <w:bCs w:val="0"/>
          <w:color w:val="000000"/>
          <w:sz w:val="28"/>
          <w:szCs w:val="28"/>
        </w:rPr>
        <w:fldChar w:fldCharType="end"/>
      </w:r>
    </w:p>
    <w:p>
      <w:pPr>
        <w:pStyle w:val="11"/>
        <w:keepNext w:val="0"/>
        <w:keepLines w:val="0"/>
        <w:pageBreakBefore w:val="0"/>
        <w:widowControl w:val="0"/>
        <w:tabs>
          <w:tab w:val="right" w:leader="dot" w:pos="8290"/>
          <w:tab w:val="clear" w:pos="8720"/>
        </w:tabs>
        <w:wordWrap/>
        <w:bidi w:val="0"/>
        <w:snapToGrid w:val="0"/>
        <w:spacing w:before="0" w:after="0" w:line="500" w:lineRule="exact"/>
        <w:ind w:firstLine="522" w:firstLineChars="200"/>
        <w:jc w:val="left"/>
        <w:outlineLvl w:val="9"/>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fldChar w:fldCharType="begin"/>
      </w:r>
      <w:r>
        <w:rPr>
          <w:rFonts w:hint="eastAsia" w:ascii="仿宋_GB2312" w:hAnsi="仿宋" w:eastAsia="仿宋_GB2312" w:cs="仿宋"/>
          <w:b w:val="0"/>
          <w:bCs w:val="0"/>
          <w:color w:val="000000"/>
          <w:sz w:val="28"/>
          <w:szCs w:val="28"/>
        </w:rPr>
        <w:instrText xml:space="preserve"> HYPERLINK \l "_Toc75811716" </w:instrText>
      </w:r>
      <w:r>
        <w:rPr>
          <w:rFonts w:hint="eastAsia" w:ascii="仿宋_GB2312" w:hAnsi="仿宋" w:eastAsia="仿宋_GB2312" w:cs="仿宋"/>
          <w:b w:val="0"/>
          <w:bCs w:val="0"/>
          <w:color w:val="000000"/>
          <w:sz w:val="28"/>
          <w:szCs w:val="28"/>
        </w:rPr>
        <w:fldChar w:fldCharType="separate"/>
      </w:r>
      <w:r>
        <w:rPr>
          <w:rFonts w:hint="eastAsia" w:ascii="仿宋_GB2312" w:hAnsi="仿宋" w:eastAsia="仿宋_GB2312" w:cs="仿宋"/>
          <w:b w:val="0"/>
          <w:bCs w:val="0"/>
          <w:color w:val="000000"/>
          <w:sz w:val="28"/>
          <w:szCs w:val="28"/>
        </w:rPr>
        <w:t>3.五险一金</w:t>
      </w:r>
      <w:r>
        <w:rPr>
          <w:rFonts w:hint="eastAsia" w:ascii="仿宋_GB2312" w:hAnsi="仿宋" w:eastAsia="仿宋_GB2312" w:cs="仿宋"/>
          <w:b w:val="0"/>
          <w:bCs w:val="0"/>
          <w:color w:val="000000"/>
          <w:sz w:val="28"/>
          <w:szCs w:val="28"/>
        </w:rPr>
        <w:fldChar w:fldCharType="end"/>
      </w:r>
    </w:p>
    <w:p>
      <w:pPr>
        <w:pStyle w:val="11"/>
        <w:keepNext w:val="0"/>
        <w:keepLines w:val="0"/>
        <w:pageBreakBefore w:val="0"/>
        <w:widowControl w:val="0"/>
        <w:tabs>
          <w:tab w:val="right" w:leader="dot" w:pos="8290"/>
          <w:tab w:val="clear" w:pos="8720"/>
        </w:tabs>
        <w:wordWrap/>
        <w:bidi w:val="0"/>
        <w:snapToGrid w:val="0"/>
        <w:spacing w:before="0" w:after="0" w:line="500" w:lineRule="exact"/>
        <w:ind w:firstLine="522" w:firstLineChars="200"/>
        <w:jc w:val="left"/>
        <w:outlineLvl w:val="9"/>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fldChar w:fldCharType="begin"/>
      </w:r>
      <w:r>
        <w:rPr>
          <w:rFonts w:hint="eastAsia" w:ascii="仿宋_GB2312" w:hAnsi="仿宋" w:eastAsia="仿宋_GB2312" w:cs="仿宋"/>
          <w:b w:val="0"/>
          <w:bCs w:val="0"/>
          <w:color w:val="000000"/>
          <w:sz w:val="28"/>
          <w:szCs w:val="28"/>
        </w:rPr>
        <w:instrText xml:space="preserve"> HYPERLINK \l "_Toc75811717" </w:instrText>
      </w:r>
      <w:r>
        <w:rPr>
          <w:rFonts w:hint="eastAsia" w:ascii="仿宋_GB2312" w:hAnsi="仿宋" w:eastAsia="仿宋_GB2312" w:cs="仿宋"/>
          <w:b w:val="0"/>
          <w:bCs w:val="0"/>
          <w:color w:val="000000"/>
          <w:sz w:val="28"/>
          <w:szCs w:val="28"/>
        </w:rPr>
        <w:fldChar w:fldCharType="separate"/>
      </w:r>
      <w:r>
        <w:rPr>
          <w:rFonts w:hint="eastAsia" w:ascii="仿宋_GB2312" w:hAnsi="仿宋" w:eastAsia="仿宋_GB2312" w:cs="仿宋"/>
          <w:b w:val="0"/>
          <w:bCs w:val="0"/>
          <w:color w:val="000000"/>
          <w:sz w:val="28"/>
          <w:szCs w:val="28"/>
        </w:rPr>
        <w:t>4.培训与服务期</w:t>
      </w:r>
      <w:r>
        <w:rPr>
          <w:rFonts w:hint="eastAsia" w:ascii="仿宋_GB2312" w:hAnsi="仿宋" w:eastAsia="仿宋_GB2312" w:cs="仿宋"/>
          <w:b w:val="0"/>
          <w:bCs w:val="0"/>
          <w:color w:val="000000"/>
          <w:sz w:val="28"/>
          <w:szCs w:val="28"/>
        </w:rPr>
        <w:fldChar w:fldCharType="end"/>
      </w:r>
    </w:p>
    <w:p>
      <w:pPr>
        <w:pStyle w:val="11"/>
        <w:keepNext w:val="0"/>
        <w:keepLines w:val="0"/>
        <w:pageBreakBefore w:val="0"/>
        <w:widowControl w:val="0"/>
        <w:tabs>
          <w:tab w:val="right" w:leader="dot" w:pos="8290"/>
          <w:tab w:val="clear" w:pos="8720"/>
        </w:tabs>
        <w:wordWrap/>
        <w:bidi w:val="0"/>
        <w:snapToGrid w:val="0"/>
        <w:spacing w:before="0" w:after="0" w:line="500" w:lineRule="exact"/>
        <w:ind w:firstLine="522" w:firstLineChars="200"/>
        <w:jc w:val="left"/>
        <w:outlineLvl w:val="9"/>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fldChar w:fldCharType="begin"/>
      </w:r>
      <w:r>
        <w:rPr>
          <w:rFonts w:hint="eastAsia" w:ascii="仿宋_GB2312" w:hAnsi="仿宋" w:eastAsia="仿宋_GB2312" w:cs="仿宋"/>
          <w:b w:val="0"/>
          <w:bCs w:val="0"/>
          <w:color w:val="000000"/>
          <w:sz w:val="28"/>
          <w:szCs w:val="28"/>
        </w:rPr>
        <w:instrText xml:space="preserve"> HYPERLINK \l "_Toc75811718" </w:instrText>
      </w:r>
      <w:r>
        <w:rPr>
          <w:rFonts w:hint="eastAsia" w:ascii="仿宋_GB2312" w:hAnsi="仿宋" w:eastAsia="仿宋_GB2312" w:cs="仿宋"/>
          <w:b w:val="0"/>
          <w:bCs w:val="0"/>
          <w:color w:val="000000"/>
          <w:sz w:val="28"/>
          <w:szCs w:val="28"/>
        </w:rPr>
        <w:fldChar w:fldCharType="separate"/>
      </w:r>
      <w:r>
        <w:rPr>
          <w:rFonts w:hint="eastAsia" w:ascii="仿宋_GB2312" w:hAnsi="仿宋" w:eastAsia="仿宋_GB2312" w:cs="仿宋"/>
          <w:b w:val="0"/>
          <w:bCs w:val="0"/>
          <w:color w:val="000000"/>
          <w:sz w:val="28"/>
          <w:szCs w:val="28"/>
        </w:rPr>
        <w:t>（四）离职环节合规服务</w:t>
      </w:r>
      <w:r>
        <w:rPr>
          <w:rFonts w:hint="eastAsia" w:ascii="仿宋_GB2312" w:hAnsi="仿宋" w:eastAsia="仿宋_GB2312" w:cs="仿宋"/>
          <w:b w:val="0"/>
          <w:bCs w:val="0"/>
          <w:color w:val="000000"/>
          <w:sz w:val="28"/>
          <w:szCs w:val="28"/>
        </w:rPr>
        <w:fldChar w:fldCharType="end"/>
      </w:r>
    </w:p>
    <w:p>
      <w:pPr>
        <w:pStyle w:val="11"/>
        <w:keepNext w:val="0"/>
        <w:keepLines w:val="0"/>
        <w:pageBreakBefore w:val="0"/>
        <w:widowControl w:val="0"/>
        <w:tabs>
          <w:tab w:val="right" w:leader="dot" w:pos="8290"/>
          <w:tab w:val="clear" w:pos="8720"/>
        </w:tabs>
        <w:wordWrap/>
        <w:bidi w:val="0"/>
        <w:snapToGrid w:val="0"/>
        <w:spacing w:before="0" w:after="0" w:line="500" w:lineRule="exact"/>
        <w:ind w:firstLine="522" w:firstLineChars="200"/>
        <w:jc w:val="left"/>
        <w:outlineLvl w:val="9"/>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fldChar w:fldCharType="begin"/>
      </w:r>
      <w:r>
        <w:rPr>
          <w:rFonts w:hint="eastAsia" w:ascii="仿宋_GB2312" w:hAnsi="仿宋" w:eastAsia="仿宋_GB2312" w:cs="仿宋"/>
          <w:b w:val="0"/>
          <w:bCs w:val="0"/>
          <w:color w:val="000000"/>
          <w:sz w:val="28"/>
          <w:szCs w:val="28"/>
        </w:rPr>
        <w:instrText xml:space="preserve"> HYPERLINK \l "_Toc75811719" </w:instrText>
      </w:r>
      <w:r>
        <w:rPr>
          <w:rFonts w:hint="eastAsia" w:ascii="仿宋_GB2312" w:hAnsi="仿宋" w:eastAsia="仿宋_GB2312" w:cs="仿宋"/>
          <w:b w:val="0"/>
          <w:bCs w:val="0"/>
          <w:color w:val="000000"/>
          <w:sz w:val="28"/>
          <w:szCs w:val="28"/>
        </w:rPr>
        <w:fldChar w:fldCharType="separate"/>
      </w:r>
      <w:r>
        <w:rPr>
          <w:rFonts w:hint="eastAsia" w:ascii="仿宋_GB2312" w:hAnsi="仿宋" w:eastAsia="仿宋_GB2312" w:cs="仿宋"/>
          <w:b w:val="0"/>
          <w:bCs w:val="0"/>
          <w:color w:val="000000"/>
          <w:sz w:val="28"/>
          <w:szCs w:val="28"/>
        </w:rPr>
        <w:t>1.劳动合同的解除与终止</w:t>
      </w:r>
      <w:r>
        <w:rPr>
          <w:rFonts w:hint="eastAsia" w:ascii="仿宋_GB2312" w:hAnsi="仿宋" w:eastAsia="仿宋_GB2312" w:cs="仿宋"/>
          <w:b w:val="0"/>
          <w:bCs w:val="0"/>
          <w:color w:val="000000"/>
          <w:sz w:val="28"/>
          <w:szCs w:val="28"/>
        </w:rPr>
        <w:fldChar w:fldCharType="end"/>
      </w:r>
    </w:p>
    <w:p>
      <w:pPr>
        <w:pStyle w:val="11"/>
        <w:keepNext w:val="0"/>
        <w:keepLines w:val="0"/>
        <w:pageBreakBefore w:val="0"/>
        <w:widowControl w:val="0"/>
        <w:tabs>
          <w:tab w:val="right" w:leader="dot" w:pos="8290"/>
          <w:tab w:val="clear" w:pos="8720"/>
        </w:tabs>
        <w:wordWrap/>
        <w:bidi w:val="0"/>
        <w:snapToGrid w:val="0"/>
        <w:spacing w:before="0" w:after="0" w:line="500" w:lineRule="exact"/>
        <w:ind w:firstLine="522" w:firstLineChars="200"/>
        <w:jc w:val="left"/>
        <w:outlineLvl w:val="9"/>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fldChar w:fldCharType="begin"/>
      </w:r>
      <w:r>
        <w:rPr>
          <w:rFonts w:hint="eastAsia" w:ascii="仿宋_GB2312" w:hAnsi="仿宋" w:eastAsia="仿宋_GB2312" w:cs="仿宋"/>
          <w:b w:val="0"/>
          <w:bCs w:val="0"/>
          <w:color w:val="000000"/>
          <w:sz w:val="28"/>
          <w:szCs w:val="28"/>
        </w:rPr>
        <w:instrText xml:space="preserve"> HYPERLINK \l "_Toc75811720" </w:instrText>
      </w:r>
      <w:r>
        <w:rPr>
          <w:rFonts w:hint="eastAsia" w:ascii="仿宋_GB2312" w:hAnsi="仿宋" w:eastAsia="仿宋_GB2312" w:cs="仿宋"/>
          <w:b w:val="0"/>
          <w:bCs w:val="0"/>
          <w:color w:val="000000"/>
          <w:sz w:val="28"/>
          <w:szCs w:val="28"/>
        </w:rPr>
        <w:fldChar w:fldCharType="separate"/>
      </w:r>
      <w:r>
        <w:rPr>
          <w:rFonts w:hint="eastAsia" w:ascii="仿宋_GB2312" w:hAnsi="仿宋" w:eastAsia="仿宋_GB2312" w:cs="仿宋"/>
          <w:b w:val="0"/>
          <w:bCs w:val="0"/>
          <w:color w:val="000000"/>
          <w:sz w:val="28"/>
          <w:szCs w:val="28"/>
        </w:rPr>
        <w:t>2.经济补偿和赔偿金</w:t>
      </w:r>
      <w:r>
        <w:rPr>
          <w:rFonts w:hint="eastAsia" w:ascii="仿宋_GB2312" w:hAnsi="仿宋" w:eastAsia="仿宋_GB2312" w:cs="仿宋"/>
          <w:b w:val="0"/>
          <w:bCs w:val="0"/>
          <w:color w:val="000000"/>
          <w:sz w:val="28"/>
          <w:szCs w:val="28"/>
        </w:rPr>
        <w:fldChar w:fldCharType="end"/>
      </w:r>
    </w:p>
    <w:p>
      <w:pPr>
        <w:pStyle w:val="11"/>
        <w:keepNext w:val="0"/>
        <w:keepLines w:val="0"/>
        <w:pageBreakBefore w:val="0"/>
        <w:widowControl w:val="0"/>
        <w:tabs>
          <w:tab w:val="right" w:leader="dot" w:pos="8290"/>
          <w:tab w:val="clear" w:pos="8720"/>
        </w:tabs>
        <w:wordWrap/>
        <w:bidi w:val="0"/>
        <w:snapToGrid w:val="0"/>
        <w:spacing w:before="0" w:after="0" w:line="500" w:lineRule="exact"/>
        <w:ind w:firstLine="522" w:firstLineChars="200"/>
        <w:jc w:val="left"/>
        <w:outlineLvl w:val="9"/>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fldChar w:fldCharType="begin"/>
      </w:r>
      <w:r>
        <w:rPr>
          <w:rFonts w:hint="eastAsia" w:ascii="仿宋_GB2312" w:hAnsi="仿宋" w:eastAsia="仿宋_GB2312" w:cs="仿宋"/>
          <w:b w:val="0"/>
          <w:bCs w:val="0"/>
          <w:color w:val="000000"/>
          <w:sz w:val="28"/>
          <w:szCs w:val="28"/>
        </w:rPr>
        <w:instrText xml:space="preserve"> HYPERLINK \l "_Toc75811721" </w:instrText>
      </w:r>
      <w:r>
        <w:rPr>
          <w:rFonts w:hint="eastAsia" w:ascii="仿宋_GB2312" w:hAnsi="仿宋" w:eastAsia="仿宋_GB2312" w:cs="仿宋"/>
          <w:b w:val="0"/>
          <w:bCs w:val="0"/>
          <w:color w:val="000000"/>
          <w:sz w:val="28"/>
          <w:szCs w:val="28"/>
        </w:rPr>
        <w:fldChar w:fldCharType="separate"/>
      </w:r>
      <w:r>
        <w:rPr>
          <w:rFonts w:hint="eastAsia" w:ascii="仿宋_GB2312" w:hAnsi="仿宋" w:eastAsia="仿宋_GB2312" w:cs="仿宋"/>
          <w:b w:val="0"/>
          <w:bCs w:val="0"/>
          <w:color w:val="000000"/>
          <w:sz w:val="28"/>
          <w:szCs w:val="28"/>
        </w:rPr>
        <w:t>3.离职谈判</w:t>
      </w:r>
      <w:r>
        <w:rPr>
          <w:rFonts w:hint="eastAsia" w:ascii="仿宋_GB2312" w:hAnsi="仿宋" w:eastAsia="仿宋_GB2312" w:cs="仿宋"/>
          <w:b w:val="0"/>
          <w:bCs w:val="0"/>
          <w:color w:val="000000"/>
          <w:sz w:val="28"/>
          <w:szCs w:val="28"/>
        </w:rPr>
        <w:fldChar w:fldCharType="end"/>
      </w:r>
    </w:p>
    <w:p>
      <w:pPr>
        <w:pStyle w:val="11"/>
        <w:keepNext w:val="0"/>
        <w:keepLines w:val="0"/>
        <w:pageBreakBefore w:val="0"/>
        <w:widowControl w:val="0"/>
        <w:tabs>
          <w:tab w:val="right" w:leader="dot" w:pos="8290"/>
          <w:tab w:val="clear" w:pos="8720"/>
        </w:tabs>
        <w:wordWrap/>
        <w:bidi w:val="0"/>
        <w:snapToGrid w:val="0"/>
        <w:spacing w:before="0" w:after="0" w:line="500" w:lineRule="exact"/>
        <w:ind w:firstLine="522" w:firstLineChars="200"/>
        <w:jc w:val="left"/>
        <w:outlineLvl w:val="9"/>
        <w:rPr>
          <w:rFonts w:hint="eastAsia" w:ascii="黑体" w:hAnsi="黑体" w:eastAsia="黑体" w:cs="仿宋"/>
          <w:b w:val="0"/>
          <w:bCs w:val="0"/>
          <w:color w:val="000000"/>
          <w:sz w:val="28"/>
          <w:szCs w:val="28"/>
        </w:rPr>
      </w:pPr>
      <w:r>
        <w:rPr>
          <w:rFonts w:hint="eastAsia" w:ascii="黑体" w:hAnsi="黑体" w:eastAsia="黑体" w:cs="仿宋"/>
          <w:b w:val="0"/>
          <w:bCs w:val="0"/>
          <w:color w:val="000000"/>
          <w:sz w:val="28"/>
          <w:szCs w:val="28"/>
        </w:rPr>
        <w:fldChar w:fldCharType="begin"/>
      </w:r>
      <w:r>
        <w:rPr>
          <w:rFonts w:hint="eastAsia" w:ascii="黑体" w:hAnsi="黑体" w:eastAsia="黑体" w:cs="仿宋"/>
          <w:b w:val="0"/>
          <w:bCs w:val="0"/>
          <w:color w:val="000000"/>
          <w:sz w:val="28"/>
          <w:szCs w:val="28"/>
        </w:rPr>
        <w:instrText xml:space="preserve"> HYPERLINK \l "_Toc75811722" </w:instrText>
      </w:r>
      <w:r>
        <w:rPr>
          <w:rFonts w:hint="eastAsia" w:ascii="黑体" w:hAnsi="黑体" w:eastAsia="黑体" w:cs="仿宋"/>
          <w:b w:val="0"/>
          <w:bCs w:val="0"/>
          <w:color w:val="000000"/>
          <w:sz w:val="28"/>
          <w:szCs w:val="28"/>
        </w:rPr>
        <w:fldChar w:fldCharType="separate"/>
      </w:r>
      <w:r>
        <w:rPr>
          <w:rFonts w:hint="eastAsia" w:ascii="黑体" w:hAnsi="黑体" w:eastAsia="黑体" w:cs="仿宋"/>
          <w:b w:val="0"/>
          <w:bCs w:val="0"/>
          <w:color w:val="000000"/>
          <w:sz w:val="28"/>
          <w:szCs w:val="28"/>
        </w:rPr>
        <w:t>三、服务参考范本</w:t>
      </w:r>
      <w:r>
        <w:rPr>
          <w:rFonts w:hint="eastAsia" w:ascii="黑体" w:hAnsi="黑体" w:eastAsia="黑体" w:cs="仿宋"/>
          <w:b w:val="0"/>
          <w:bCs w:val="0"/>
          <w:color w:val="000000"/>
          <w:sz w:val="28"/>
          <w:szCs w:val="28"/>
        </w:rPr>
        <w:fldChar w:fldCharType="end"/>
      </w:r>
    </w:p>
    <w:p>
      <w:pPr>
        <w:pStyle w:val="11"/>
        <w:keepNext w:val="0"/>
        <w:keepLines w:val="0"/>
        <w:pageBreakBefore w:val="0"/>
        <w:widowControl w:val="0"/>
        <w:tabs>
          <w:tab w:val="right" w:leader="dot" w:pos="8290"/>
          <w:tab w:val="clear" w:pos="8720"/>
        </w:tabs>
        <w:wordWrap/>
        <w:bidi w:val="0"/>
        <w:snapToGrid w:val="0"/>
        <w:spacing w:before="0" w:after="0" w:line="500" w:lineRule="exact"/>
        <w:ind w:firstLine="522" w:firstLineChars="200"/>
        <w:jc w:val="left"/>
        <w:outlineLvl w:val="9"/>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fldChar w:fldCharType="begin"/>
      </w:r>
      <w:r>
        <w:rPr>
          <w:rFonts w:hint="eastAsia" w:ascii="仿宋_GB2312" w:hAnsi="仿宋" w:eastAsia="仿宋_GB2312" w:cs="仿宋"/>
          <w:b w:val="0"/>
          <w:bCs w:val="0"/>
          <w:color w:val="000000"/>
          <w:sz w:val="28"/>
          <w:szCs w:val="28"/>
        </w:rPr>
        <w:instrText xml:space="preserve"> HYPERLINK \l "_Toc75811723" </w:instrText>
      </w:r>
      <w:r>
        <w:rPr>
          <w:rFonts w:hint="eastAsia" w:ascii="仿宋_GB2312" w:hAnsi="仿宋" w:eastAsia="仿宋_GB2312" w:cs="仿宋"/>
          <w:b w:val="0"/>
          <w:bCs w:val="0"/>
          <w:color w:val="000000"/>
          <w:sz w:val="28"/>
          <w:szCs w:val="28"/>
        </w:rPr>
        <w:fldChar w:fldCharType="separate"/>
      </w:r>
      <w:r>
        <w:rPr>
          <w:rFonts w:hint="eastAsia" w:ascii="仿宋_GB2312" w:hAnsi="仿宋" w:eastAsia="仿宋_GB2312" w:cs="仿宋"/>
          <w:b w:val="0"/>
          <w:bCs w:val="0"/>
          <w:color w:val="000000"/>
          <w:sz w:val="28"/>
          <w:szCs w:val="28"/>
        </w:rPr>
        <w:t>员工入职信息登记表（范本）</w:t>
      </w:r>
      <w:r>
        <w:rPr>
          <w:rFonts w:hint="eastAsia" w:ascii="仿宋_GB2312" w:hAnsi="仿宋" w:eastAsia="仿宋_GB2312" w:cs="仿宋"/>
          <w:b w:val="0"/>
          <w:bCs w:val="0"/>
          <w:color w:val="000000"/>
          <w:sz w:val="28"/>
          <w:szCs w:val="28"/>
        </w:rPr>
        <w:fldChar w:fldCharType="end"/>
      </w:r>
    </w:p>
    <w:p>
      <w:pPr>
        <w:pStyle w:val="11"/>
        <w:keepNext w:val="0"/>
        <w:keepLines w:val="0"/>
        <w:pageBreakBefore w:val="0"/>
        <w:widowControl w:val="0"/>
        <w:tabs>
          <w:tab w:val="right" w:leader="dot" w:pos="8290"/>
          <w:tab w:val="clear" w:pos="8720"/>
        </w:tabs>
        <w:wordWrap/>
        <w:bidi w:val="0"/>
        <w:snapToGrid w:val="0"/>
        <w:spacing w:before="0" w:after="0" w:line="500" w:lineRule="exact"/>
        <w:ind w:firstLine="522" w:firstLineChars="200"/>
        <w:jc w:val="left"/>
        <w:outlineLvl w:val="9"/>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fldChar w:fldCharType="begin"/>
      </w:r>
      <w:r>
        <w:rPr>
          <w:rFonts w:hint="eastAsia" w:ascii="仿宋_GB2312" w:hAnsi="仿宋" w:eastAsia="仿宋_GB2312" w:cs="仿宋"/>
          <w:b w:val="0"/>
          <w:bCs w:val="0"/>
          <w:color w:val="000000"/>
          <w:sz w:val="28"/>
          <w:szCs w:val="28"/>
        </w:rPr>
        <w:instrText xml:space="preserve"> HYPERLINK \l "_Toc75811724" </w:instrText>
      </w:r>
      <w:r>
        <w:rPr>
          <w:rFonts w:hint="eastAsia" w:ascii="仿宋_GB2312" w:hAnsi="仿宋" w:eastAsia="仿宋_GB2312" w:cs="仿宋"/>
          <w:b w:val="0"/>
          <w:bCs w:val="0"/>
          <w:color w:val="000000"/>
          <w:sz w:val="28"/>
          <w:szCs w:val="28"/>
        </w:rPr>
        <w:fldChar w:fldCharType="separate"/>
      </w:r>
      <w:r>
        <w:rPr>
          <w:rFonts w:hint="eastAsia" w:ascii="仿宋_GB2312" w:hAnsi="仿宋" w:eastAsia="仿宋_GB2312" w:cs="仿宋"/>
          <w:b w:val="0"/>
          <w:bCs w:val="0"/>
          <w:color w:val="000000"/>
          <w:sz w:val="28"/>
          <w:szCs w:val="28"/>
        </w:rPr>
        <w:t>劳动合同书</w:t>
      </w:r>
      <w:r>
        <w:rPr>
          <w:rFonts w:hint="eastAsia" w:ascii="仿宋_GB2312" w:hAnsi="仿宋" w:eastAsia="仿宋_GB2312" w:cs="仿宋"/>
          <w:b w:val="0"/>
          <w:bCs w:val="0"/>
          <w:color w:val="000000"/>
          <w:sz w:val="28"/>
          <w:szCs w:val="28"/>
        </w:rPr>
        <w:fldChar w:fldCharType="end"/>
      </w:r>
    </w:p>
    <w:p>
      <w:pPr>
        <w:pStyle w:val="11"/>
        <w:keepNext w:val="0"/>
        <w:keepLines w:val="0"/>
        <w:pageBreakBefore w:val="0"/>
        <w:widowControl w:val="0"/>
        <w:tabs>
          <w:tab w:val="right" w:leader="dot" w:pos="8290"/>
          <w:tab w:val="clear" w:pos="8720"/>
        </w:tabs>
        <w:wordWrap/>
        <w:bidi w:val="0"/>
        <w:snapToGrid w:val="0"/>
        <w:spacing w:before="0" w:after="0" w:line="500" w:lineRule="exact"/>
        <w:ind w:firstLine="522" w:firstLineChars="200"/>
        <w:jc w:val="left"/>
        <w:outlineLvl w:val="9"/>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fldChar w:fldCharType="begin"/>
      </w:r>
      <w:r>
        <w:rPr>
          <w:rFonts w:hint="eastAsia" w:ascii="仿宋_GB2312" w:hAnsi="仿宋" w:eastAsia="仿宋_GB2312" w:cs="仿宋"/>
          <w:b w:val="0"/>
          <w:bCs w:val="0"/>
          <w:color w:val="000000"/>
          <w:sz w:val="28"/>
          <w:szCs w:val="28"/>
        </w:rPr>
        <w:instrText xml:space="preserve"> HYPERLINK \l "_Toc75811725" </w:instrText>
      </w:r>
      <w:r>
        <w:rPr>
          <w:rFonts w:hint="eastAsia" w:ascii="仿宋_GB2312" w:hAnsi="仿宋" w:eastAsia="仿宋_GB2312" w:cs="仿宋"/>
          <w:b w:val="0"/>
          <w:bCs w:val="0"/>
          <w:color w:val="000000"/>
          <w:sz w:val="28"/>
          <w:szCs w:val="28"/>
        </w:rPr>
        <w:fldChar w:fldCharType="separate"/>
      </w:r>
      <w:r>
        <w:rPr>
          <w:rFonts w:hint="eastAsia" w:ascii="仿宋_GB2312" w:hAnsi="仿宋" w:eastAsia="仿宋_GB2312" w:cs="仿宋"/>
          <w:b w:val="0"/>
          <w:bCs w:val="0"/>
          <w:color w:val="000000"/>
          <w:sz w:val="28"/>
          <w:szCs w:val="28"/>
        </w:rPr>
        <w:t>试用及转正管理制度</w:t>
      </w:r>
      <w:r>
        <w:rPr>
          <w:rFonts w:hint="eastAsia" w:ascii="仿宋_GB2312" w:hAnsi="仿宋" w:eastAsia="仿宋_GB2312" w:cs="仿宋"/>
          <w:b w:val="0"/>
          <w:bCs w:val="0"/>
          <w:color w:val="000000"/>
          <w:sz w:val="28"/>
          <w:szCs w:val="28"/>
        </w:rPr>
        <w:fldChar w:fldCharType="end"/>
      </w:r>
    </w:p>
    <w:p>
      <w:pPr>
        <w:pStyle w:val="11"/>
        <w:keepNext w:val="0"/>
        <w:keepLines w:val="0"/>
        <w:pageBreakBefore w:val="0"/>
        <w:widowControl w:val="0"/>
        <w:tabs>
          <w:tab w:val="right" w:leader="dot" w:pos="8290"/>
          <w:tab w:val="clear" w:pos="8720"/>
        </w:tabs>
        <w:wordWrap/>
        <w:bidi w:val="0"/>
        <w:snapToGrid w:val="0"/>
        <w:spacing w:before="0" w:after="0" w:line="500" w:lineRule="exact"/>
        <w:ind w:firstLine="522" w:firstLineChars="200"/>
        <w:jc w:val="left"/>
        <w:outlineLvl w:val="9"/>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fldChar w:fldCharType="begin"/>
      </w:r>
      <w:r>
        <w:rPr>
          <w:rFonts w:hint="eastAsia" w:ascii="仿宋_GB2312" w:hAnsi="仿宋" w:eastAsia="仿宋_GB2312" w:cs="仿宋"/>
          <w:b w:val="0"/>
          <w:bCs w:val="0"/>
          <w:color w:val="000000"/>
          <w:sz w:val="28"/>
          <w:szCs w:val="28"/>
        </w:rPr>
        <w:instrText xml:space="preserve"> HYPERLINK \l "_Toc75811726" </w:instrText>
      </w:r>
      <w:r>
        <w:rPr>
          <w:rFonts w:hint="eastAsia" w:ascii="仿宋_GB2312" w:hAnsi="仿宋" w:eastAsia="仿宋_GB2312" w:cs="仿宋"/>
          <w:b w:val="0"/>
          <w:bCs w:val="0"/>
          <w:color w:val="000000"/>
          <w:sz w:val="28"/>
          <w:szCs w:val="28"/>
        </w:rPr>
        <w:fldChar w:fldCharType="separate"/>
      </w:r>
      <w:r>
        <w:rPr>
          <w:rFonts w:hint="eastAsia" w:ascii="仿宋_GB2312" w:hAnsi="仿宋" w:eastAsia="仿宋_GB2312" w:cs="仿宋"/>
          <w:b w:val="0"/>
          <w:bCs w:val="0"/>
          <w:color w:val="000000"/>
          <w:sz w:val="28"/>
          <w:szCs w:val="28"/>
        </w:rPr>
        <w:t>考勤管理制度</w:t>
      </w:r>
      <w:r>
        <w:rPr>
          <w:rFonts w:hint="eastAsia" w:ascii="仿宋_GB2312" w:hAnsi="仿宋" w:eastAsia="仿宋_GB2312" w:cs="仿宋"/>
          <w:b w:val="0"/>
          <w:bCs w:val="0"/>
          <w:color w:val="000000"/>
          <w:sz w:val="28"/>
          <w:szCs w:val="28"/>
        </w:rPr>
        <w:fldChar w:fldCharType="end"/>
      </w:r>
    </w:p>
    <w:p>
      <w:pPr>
        <w:pStyle w:val="11"/>
        <w:keepNext w:val="0"/>
        <w:keepLines w:val="0"/>
        <w:pageBreakBefore w:val="0"/>
        <w:widowControl w:val="0"/>
        <w:tabs>
          <w:tab w:val="right" w:leader="dot" w:pos="8290"/>
          <w:tab w:val="clear" w:pos="8720"/>
        </w:tabs>
        <w:wordWrap/>
        <w:bidi w:val="0"/>
        <w:snapToGrid w:val="0"/>
        <w:spacing w:before="0" w:after="0" w:line="500" w:lineRule="exact"/>
        <w:ind w:firstLine="522" w:firstLineChars="200"/>
        <w:jc w:val="left"/>
        <w:outlineLvl w:val="9"/>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fldChar w:fldCharType="begin"/>
      </w:r>
      <w:r>
        <w:rPr>
          <w:rFonts w:hint="eastAsia" w:ascii="仿宋_GB2312" w:hAnsi="仿宋" w:eastAsia="仿宋_GB2312" w:cs="仿宋"/>
          <w:b w:val="0"/>
          <w:bCs w:val="0"/>
          <w:color w:val="000000"/>
          <w:sz w:val="28"/>
          <w:szCs w:val="28"/>
        </w:rPr>
        <w:instrText xml:space="preserve"> HYPERLINK \l "_Toc75811727" </w:instrText>
      </w:r>
      <w:r>
        <w:rPr>
          <w:rFonts w:hint="eastAsia" w:ascii="仿宋_GB2312" w:hAnsi="仿宋" w:eastAsia="仿宋_GB2312" w:cs="仿宋"/>
          <w:b w:val="0"/>
          <w:bCs w:val="0"/>
          <w:color w:val="000000"/>
          <w:sz w:val="28"/>
          <w:szCs w:val="28"/>
        </w:rPr>
        <w:fldChar w:fldCharType="separate"/>
      </w:r>
      <w:r>
        <w:rPr>
          <w:rFonts w:hint="eastAsia" w:ascii="仿宋_GB2312" w:hAnsi="仿宋" w:eastAsia="仿宋_GB2312" w:cs="仿宋"/>
          <w:b w:val="0"/>
          <w:bCs w:val="0"/>
          <w:color w:val="000000"/>
          <w:sz w:val="28"/>
          <w:szCs w:val="28"/>
        </w:rPr>
        <w:t>加班申请单</w:t>
      </w:r>
      <w:r>
        <w:rPr>
          <w:rFonts w:hint="eastAsia" w:ascii="仿宋_GB2312" w:hAnsi="仿宋" w:eastAsia="仿宋_GB2312" w:cs="仿宋"/>
          <w:b w:val="0"/>
          <w:bCs w:val="0"/>
          <w:color w:val="000000"/>
          <w:sz w:val="28"/>
          <w:szCs w:val="28"/>
        </w:rPr>
        <w:fldChar w:fldCharType="end"/>
      </w:r>
    </w:p>
    <w:p>
      <w:pPr>
        <w:pStyle w:val="11"/>
        <w:keepNext w:val="0"/>
        <w:keepLines w:val="0"/>
        <w:pageBreakBefore w:val="0"/>
        <w:widowControl w:val="0"/>
        <w:tabs>
          <w:tab w:val="right" w:leader="dot" w:pos="8290"/>
          <w:tab w:val="clear" w:pos="8720"/>
        </w:tabs>
        <w:wordWrap/>
        <w:bidi w:val="0"/>
        <w:snapToGrid w:val="0"/>
        <w:spacing w:before="0" w:after="0" w:line="500" w:lineRule="exact"/>
        <w:ind w:firstLine="522" w:firstLineChars="200"/>
        <w:jc w:val="left"/>
        <w:outlineLvl w:val="9"/>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fldChar w:fldCharType="begin"/>
      </w:r>
      <w:r>
        <w:rPr>
          <w:rFonts w:hint="eastAsia" w:ascii="仿宋_GB2312" w:hAnsi="仿宋" w:eastAsia="仿宋_GB2312" w:cs="仿宋"/>
          <w:b w:val="0"/>
          <w:bCs w:val="0"/>
          <w:color w:val="000000"/>
          <w:sz w:val="28"/>
          <w:szCs w:val="28"/>
        </w:rPr>
        <w:instrText xml:space="preserve"> HYPERLINK \l "_Toc75811728" </w:instrText>
      </w:r>
      <w:r>
        <w:rPr>
          <w:rFonts w:hint="eastAsia" w:ascii="仿宋_GB2312" w:hAnsi="仿宋" w:eastAsia="仿宋_GB2312" w:cs="仿宋"/>
          <w:b w:val="0"/>
          <w:bCs w:val="0"/>
          <w:color w:val="000000"/>
          <w:sz w:val="28"/>
          <w:szCs w:val="28"/>
        </w:rPr>
        <w:fldChar w:fldCharType="separate"/>
      </w:r>
      <w:r>
        <w:rPr>
          <w:rFonts w:hint="eastAsia" w:ascii="仿宋_GB2312" w:hAnsi="仿宋" w:eastAsia="仿宋_GB2312" w:cs="仿宋"/>
          <w:b w:val="0"/>
          <w:bCs w:val="0"/>
          <w:color w:val="000000"/>
          <w:sz w:val="28"/>
          <w:szCs w:val="28"/>
        </w:rPr>
        <w:t>薪酬管理制度</w:t>
      </w:r>
      <w:r>
        <w:rPr>
          <w:rFonts w:hint="eastAsia" w:ascii="仿宋_GB2312" w:hAnsi="仿宋" w:eastAsia="仿宋_GB2312" w:cs="仿宋"/>
          <w:b w:val="0"/>
          <w:bCs w:val="0"/>
          <w:color w:val="000000"/>
          <w:sz w:val="28"/>
          <w:szCs w:val="28"/>
        </w:rPr>
        <w:fldChar w:fldCharType="end"/>
      </w:r>
    </w:p>
    <w:p>
      <w:pPr>
        <w:pStyle w:val="11"/>
        <w:keepNext w:val="0"/>
        <w:keepLines w:val="0"/>
        <w:pageBreakBefore w:val="0"/>
        <w:widowControl w:val="0"/>
        <w:tabs>
          <w:tab w:val="right" w:leader="dot" w:pos="8290"/>
          <w:tab w:val="clear" w:pos="8720"/>
        </w:tabs>
        <w:wordWrap/>
        <w:bidi w:val="0"/>
        <w:snapToGrid w:val="0"/>
        <w:spacing w:before="0" w:after="0" w:line="500" w:lineRule="exact"/>
        <w:ind w:firstLine="522" w:firstLineChars="200"/>
        <w:jc w:val="left"/>
        <w:outlineLvl w:val="9"/>
        <w:rPr>
          <w:rFonts w:hint="eastAsia" w:ascii="仿宋_GB2312" w:hAnsi="仿宋" w:eastAsia="仿宋_GB2312" w:cs="仿宋"/>
          <w:b w:val="0"/>
          <w:bCs w:val="0"/>
          <w:color w:val="000000"/>
          <w:sz w:val="28"/>
          <w:szCs w:val="28"/>
        </w:rPr>
        <w:sectPr>
          <w:headerReference r:id="rId8" w:type="first"/>
          <w:footerReference r:id="rId11" w:type="first"/>
          <w:footerReference r:id="rId9" w:type="default"/>
          <w:footerReference r:id="rId10" w:type="even"/>
          <w:pgSz w:w="9978" w:h="13946"/>
          <w:pgMar w:top="1871" w:right="1304" w:bottom="1701" w:left="1304" w:header="850" w:footer="1247" w:gutter="0"/>
          <w:pgNumType w:fmt="decimal"/>
          <w:cols w:space="720" w:num="1"/>
          <w:rtlGutter w:val="0"/>
          <w:docGrid w:type="linesAndChars" w:linePitch="455" w:charSpace="-3915"/>
        </w:sectPr>
      </w:pPr>
      <w:r>
        <w:rPr>
          <w:rFonts w:hint="eastAsia" w:ascii="仿宋_GB2312" w:hAnsi="仿宋" w:eastAsia="仿宋_GB2312" w:cs="仿宋"/>
          <w:b w:val="0"/>
          <w:bCs w:val="0"/>
          <w:color w:val="000000"/>
          <w:sz w:val="28"/>
          <w:szCs w:val="28"/>
        </w:rPr>
        <w:fldChar w:fldCharType="begin"/>
      </w:r>
      <w:r>
        <w:rPr>
          <w:rFonts w:hint="eastAsia" w:ascii="仿宋_GB2312" w:hAnsi="仿宋" w:eastAsia="仿宋_GB2312" w:cs="仿宋"/>
          <w:b w:val="0"/>
          <w:bCs w:val="0"/>
          <w:color w:val="000000"/>
          <w:sz w:val="28"/>
          <w:szCs w:val="28"/>
        </w:rPr>
        <w:instrText xml:space="preserve"> HYPERLINK \l "_Toc75811729" </w:instrText>
      </w:r>
      <w:r>
        <w:rPr>
          <w:rFonts w:hint="eastAsia" w:ascii="仿宋_GB2312" w:hAnsi="仿宋" w:eastAsia="仿宋_GB2312" w:cs="仿宋"/>
          <w:b w:val="0"/>
          <w:bCs w:val="0"/>
          <w:color w:val="000000"/>
          <w:sz w:val="28"/>
          <w:szCs w:val="28"/>
        </w:rPr>
        <w:fldChar w:fldCharType="separate"/>
      </w:r>
      <w:r>
        <w:rPr>
          <w:rFonts w:hint="eastAsia" w:ascii="仿宋_GB2312" w:hAnsi="仿宋" w:eastAsia="仿宋_GB2312" w:cs="仿宋"/>
          <w:b w:val="0"/>
          <w:bCs w:val="0"/>
          <w:color w:val="000000"/>
          <w:sz w:val="28"/>
          <w:szCs w:val="28"/>
        </w:rPr>
        <w:t>工资表</w:t>
      </w:r>
      <w:r>
        <w:rPr>
          <w:rFonts w:hint="eastAsia" w:ascii="仿宋_GB2312" w:hAnsi="仿宋" w:eastAsia="仿宋_GB2312" w:cs="仿宋"/>
          <w:b w:val="0"/>
          <w:bCs w:val="0"/>
          <w:color w:val="000000"/>
          <w:sz w:val="28"/>
          <w:szCs w:val="28"/>
        </w:rPr>
        <w:fldChar w:fldCharType="end"/>
      </w:r>
    </w:p>
    <w:p>
      <w:pPr>
        <w:keepNext w:val="0"/>
        <w:keepLines w:val="0"/>
        <w:pageBreakBefore w:val="0"/>
        <w:widowControl w:val="0"/>
        <w:kinsoku w:val="0"/>
        <w:wordWrap/>
        <w:overflowPunct w:val="0"/>
        <w:autoSpaceDE w:val="0"/>
        <w:autoSpaceDN w:val="0"/>
        <w:bidi w:val="0"/>
        <w:spacing w:after="0" w:line="500" w:lineRule="exact"/>
        <w:jc w:val="center"/>
        <w:rPr>
          <w:rFonts w:hint="eastAsia" w:ascii="方正小标宋简体" w:hAnsi="方正小标宋简体" w:eastAsia="方正小标宋简体" w:cs="方正小标宋简体"/>
          <w:bCs/>
          <w:color w:val="000000"/>
          <w:sz w:val="40"/>
          <w:szCs w:val="40"/>
        </w:rPr>
      </w:pPr>
      <w:r>
        <w:rPr>
          <w:rFonts w:hint="eastAsia" w:ascii="仿宋" w:hAnsi="仿宋" w:eastAsia="仿宋" w:cs="仿宋"/>
          <w:color w:val="000000"/>
          <w:sz w:val="28"/>
          <w:szCs w:val="28"/>
        </w:rPr>
        <w:fldChar w:fldCharType="end"/>
      </w:r>
      <w:bookmarkStart w:id="67" w:name="_Toc75811698"/>
      <w:r>
        <w:rPr>
          <w:rFonts w:hint="eastAsia" w:ascii="方正小标宋简体" w:hAnsi="方正小标宋简体" w:eastAsia="方正小标宋简体" w:cs="方正小标宋简体"/>
          <w:bCs/>
          <w:color w:val="000000"/>
          <w:spacing w:val="20"/>
          <w:sz w:val="40"/>
          <w:szCs w:val="40"/>
        </w:rPr>
        <w:t>企业劳动用工法律顾问</w:t>
      </w:r>
      <w:r>
        <w:rPr>
          <w:rFonts w:hint="eastAsia" w:ascii="方正小标宋简体" w:hAnsi="方正小标宋简体" w:eastAsia="方正小标宋简体" w:cs="方正小标宋简体"/>
          <w:bCs/>
          <w:color w:val="000000"/>
          <w:sz w:val="40"/>
          <w:szCs w:val="40"/>
        </w:rPr>
        <w:t>业务操作指引</w:t>
      </w:r>
    </w:p>
    <w:p>
      <w:pPr>
        <w:pStyle w:val="24"/>
        <w:keepNext w:val="0"/>
        <w:keepLines w:val="0"/>
        <w:pageBreakBefore w:val="0"/>
        <w:widowControl w:val="0"/>
        <w:wordWrap/>
        <w:bidi w:val="0"/>
        <w:snapToGrid w:val="0"/>
        <w:spacing w:before="0" w:line="500" w:lineRule="exact"/>
        <w:ind w:firstLine="522" w:firstLineChars="200"/>
        <w:jc w:val="both"/>
        <w:outlineLvl w:val="0"/>
        <w:rPr>
          <w:rFonts w:hint="eastAsia" w:ascii="黑体" w:hAnsi="黑体" w:eastAsia="黑体" w:cs="黑体"/>
          <w:b w:val="0"/>
          <w:color w:val="000000"/>
          <w:sz w:val="28"/>
          <w:szCs w:val="28"/>
        </w:rPr>
      </w:pPr>
      <w:r>
        <w:rPr>
          <w:rFonts w:hint="eastAsia" w:ascii="仿宋" w:hAnsi="仿宋" w:eastAsia="仿宋" w:cs="仿宋"/>
          <w:color w:val="000000"/>
          <w:sz w:val="28"/>
          <w:szCs w:val="28"/>
        </w:rPr>
        <w:t xml:space="preserve"> </w:t>
      </w:r>
      <w:bookmarkStart w:id="68" w:name="_Toc27188"/>
      <w:r>
        <w:rPr>
          <w:rFonts w:hint="eastAsia" w:ascii="黑体" w:hAnsi="黑体" w:eastAsia="黑体" w:cs="黑体"/>
          <w:b w:val="0"/>
          <w:color w:val="000000"/>
          <w:sz w:val="28"/>
          <w:szCs w:val="28"/>
        </w:rPr>
        <w:t>一、企业劳动用工法律顾问概述</w:t>
      </w:r>
      <w:bookmarkEnd w:id="67"/>
      <w:bookmarkEnd w:id="68"/>
    </w:p>
    <w:p>
      <w:pPr>
        <w:pStyle w:val="3"/>
        <w:keepNext w:val="0"/>
        <w:keepLines w:val="0"/>
        <w:pageBreakBefore w:val="0"/>
        <w:widowControl w:val="0"/>
        <w:wordWrap/>
        <w:bidi w:val="0"/>
        <w:spacing w:before="0" w:after="0" w:line="500" w:lineRule="exact"/>
        <w:ind w:firstLine="522" w:firstLineChars="200"/>
        <w:rPr>
          <w:rFonts w:hint="eastAsia" w:ascii="楷体" w:hAnsi="楷体" w:eastAsia="楷体" w:cs="楷体"/>
          <w:color w:val="000000"/>
          <w:sz w:val="28"/>
          <w:szCs w:val="28"/>
        </w:rPr>
      </w:pPr>
      <w:bookmarkStart w:id="69" w:name="_Toc75811699"/>
      <w:r>
        <w:rPr>
          <w:rFonts w:hint="eastAsia" w:ascii="楷体" w:hAnsi="楷体" w:eastAsia="楷体" w:cs="楷体"/>
          <w:color w:val="000000"/>
          <w:sz w:val="28"/>
          <w:szCs w:val="28"/>
        </w:rPr>
        <w:t>（一）服务简介</w:t>
      </w:r>
      <w:bookmarkEnd w:id="69"/>
    </w:p>
    <w:p>
      <w:pPr>
        <w:pStyle w:val="7"/>
        <w:keepNext w:val="0"/>
        <w:keepLines w:val="0"/>
        <w:pageBreakBefore w:val="0"/>
        <w:widowControl w:val="0"/>
        <w:wordWrap/>
        <w:bidi w:val="0"/>
        <w:spacing w:beforeLines="0" w:after="0" w:afterLines="0" w:line="500" w:lineRule="exact"/>
        <w:ind w:firstLine="602"/>
        <w:rPr>
          <w:rFonts w:hint="eastAsia" w:ascii="仿宋_GB2312" w:hAnsi="仿宋" w:eastAsia="仿宋_GB2312" w:cs="仿宋"/>
          <w:color w:val="000000"/>
          <w:sz w:val="28"/>
          <w:szCs w:val="28"/>
          <w:lang w:eastAsia="zh-CN"/>
        </w:rPr>
      </w:pPr>
      <w:r>
        <w:rPr>
          <w:rFonts w:hint="eastAsia" w:ascii="仿宋_GB2312" w:hAnsi="仿宋" w:eastAsia="仿宋_GB2312" w:cs="仿宋"/>
          <w:color w:val="000000"/>
          <w:sz w:val="28"/>
          <w:szCs w:val="28"/>
          <w:lang w:eastAsia="zh-CN"/>
        </w:rPr>
        <w:t>人力成本在企业经营中占据着非常高的比重，劳动用工风险也是企业最常见的法律问题之一。企业劳动用工法律顾问服务，是常年法律顾问的专项产品，涵盖企业内员工入职到离职的全流程，为企业提供全方位的顾问式服务，帮助企业梳理用工过程中的常见问题，对于规范企业经营、防范用工风险、降低管理成本等有着重要的意义。</w:t>
      </w:r>
    </w:p>
    <w:p>
      <w:pPr>
        <w:pStyle w:val="3"/>
        <w:keepNext w:val="0"/>
        <w:keepLines w:val="0"/>
        <w:pageBreakBefore w:val="0"/>
        <w:widowControl w:val="0"/>
        <w:wordWrap/>
        <w:bidi w:val="0"/>
        <w:spacing w:before="0" w:after="0" w:line="500" w:lineRule="exact"/>
        <w:ind w:firstLine="522" w:firstLineChars="200"/>
        <w:rPr>
          <w:rFonts w:hint="eastAsia" w:ascii="楷体" w:hAnsi="楷体" w:eastAsia="楷体" w:cs="楷体"/>
          <w:color w:val="000000"/>
          <w:sz w:val="28"/>
          <w:szCs w:val="28"/>
        </w:rPr>
      </w:pPr>
      <w:bookmarkStart w:id="70" w:name="_Toc75811700"/>
      <w:r>
        <w:rPr>
          <w:rFonts w:hint="eastAsia" w:ascii="楷体" w:hAnsi="楷体" w:eastAsia="楷体" w:cs="楷体"/>
          <w:color w:val="000000"/>
          <w:sz w:val="28"/>
          <w:szCs w:val="28"/>
        </w:rPr>
        <w:t>（二）服务内容及工作流程</w:t>
      </w:r>
      <w:bookmarkEnd w:id="70"/>
    </w:p>
    <w:p>
      <w:pPr>
        <w:pStyle w:val="7"/>
        <w:keepNext w:val="0"/>
        <w:keepLines w:val="0"/>
        <w:pageBreakBefore w:val="0"/>
        <w:widowControl w:val="0"/>
        <w:wordWrap/>
        <w:bidi w:val="0"/>
        <w:spacing w:beforeLines="0" w:after="0" w:afterLines="0" w:line="500" w:lineRule="exact"/>
        <w:ind w:firstLine="602"/>
        <w:rPr>
          <w:rFonts w:hint="eastAsia" w:ascii="仿宋_GB2312" w:hAnsi="仿宋" w:eastAsia="仿宋_GB2312" w:cs="仿宋"/>
          <w:color w:val="000000"/>
          <w:sz w:val="28"/>
          <w:szCs w:val="28"/>
          <w:lang w:eastAsia="zh-CN"/>
        </w:rPr>
      </w:pPr>
      <w:r>
        <w:rPr>
          <w:rFonts w:hint="eastAsia" w:ascii="仿宋_GB2312" w:hAnsi="仿宋" w:eastAsia="仿宋_GB2312" w:cs="仿宋"/>
          <w:color w:val="000000"/>
          <w:sz w:val="28"/>
          <w:szCs w:val="28"/>
          <w:lang w:eastAsia="zh-CN"/>
        </w:rPr>
        <w:t>企业劳动用工法律顾问服务，通过劳动人事法治体检、用工文件和制度的审查、法律意见书的出具以及法律培训等，能有效帮助企业规范用工关系、搭建完善的劳动人事制度。</w:t>
      </w:r>
    </w:p>
    <w:p>
      <w:pPr>
        <w:pStyle w:val="7"/>
        <w:keepNext w:val="0"/>
        <w:keepLines w:val="0"/>
        <w:pageBreakBefore w:val="0"/>
        <w:widowControl w:val="0"/>
        <w:wordWrap/>
        <w:bidi w:val="0"/>
        <w:spacing w:beforeLines="0" w:after="0" w:afterLines="0" w:line="500" w:lineRule="exact"/>
        <w:ind w:firstLine="663" w:firstLineChars="300"/>
        <w:rPr>
          <w:rFonts w:hint="eastAsia" w:ascii="楷体" w:hAnsi="楷体" w:eastAsia="楷体" w:cs="楷体"/>
          <w:b/>
          <w:bCs/>
          <w:color w:val="000000"/>
          <w:sz w:val="24"/>
          <w:szCs w:val="24"/>
        </w:rPr>
      </w:pPr>
      <w:r>
        <w:rPr>
          <w:rFonts w:hint="eastAsia" w:ascii="楷体" w:hAnsi="楷体" w:eastAsia="楷体" w:cs="楷体"/>
          <w:b/>
          <w:bCs/>
          <w:color w:val="000000"/>
          <w:sz w:val="24"/>
          <w:szCs w:val="24"/>
          <w:lang w:eastAsia="zh-CN"/>
        </w:rPr>
        <w:t>服务阶段                服务内容              服务形式</w:t>
      </w:r>
      <w:bookmarkStart w:id="71" w:name="_Toc75811703"/>
    </w:p>
    <w:p>
      <w:pPr>
        <w:keepNext w:val="0"/>
        <w:keepLines w:val="0"/>
        <w:pageBreakBefore w:val="0"/>
        <w:widowControl w:val="0"/>
        <w:wordWrap/>
        <w:bidi w:val="0"/>
        <w:spacing w:before="227" w:beforeLines="50" w:after="227" w:afterLines="50" w:line="500" w:lineRule="exact"/>
        <w:ind w:firstLine="362" w:firstLineChars="200"/>
        <w:rPr>
          <w:color w:val="000000"/>
          <w:sz w:val="20"/>
          <w:szCs w:val="21"/>
        </w:rPr>
      </w:pPr>
      <w:r>
        <w:rPr>
          <w:sz w:val="20"/>
        </w:rPr>
        <mc:AlternateContent>
          <mc:Choice Requires="wps">
            <w:drawing>
              <wp:anchor distT="0" distB="0" distL="114300" distR="114300" simplePos="0" relativeHeight="251667456" behindDoc="0" locked="0" layoutInCell="1" allowOverlap="1">
                <wp:simplePos x="0" y="0"/>
                <wp:positionH relativeFrom="column">
                  <wp:posOffset>1875155</wp:posOffset>
                </wp:positionH>
                <wp:positionV relativeFrom="paragraph">
                  <wp:posOffset>427355</wp:posOffset>
                </wp:positionV>
                <wp:extent cx="1327785" cy="257175"/>
                <wp:effectExtent l="4445" t="4445" r="20320" b="5080"/>
                <wp:wrapNone/>
                <wp:docPr id="13" name="圆角矩形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TextEdit="1"/>
                      </wps:cNvSpPr>
                      <wps:spPr>
                        <a:xfrm>
                          <a:off x="0" y="0"/>
                          <a:ext cx="1327785" cy="257175"/>
                        </a:xfrm>
                        <a:prstGeom prst="roundRect">
                          <a:avLst>
                            <a:gd name="adj" fmla="val 16667"/>
                          </a:avLst>
                        </a:prstGeom>
                        <a:noFill/>
                        <a:ln w="3175" cap="flat" cmpd="sng">
                          <a:solidFill>
                            <a:srgbClr val="4F81BD"/>
                          </a:solidFill>
                          <a:prstDash val="soli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eastAsia" w:ascii="新宋体" w:hAnsi="新宋体" w:eastAsia="新宋体" w:cs="新宋体"/>
                                <w:bCs/>
                                <w:sz w:val="24"/>
                                <w:szCs w:val="24"/>
                              </w:rPr>
                            </w:pPr>
                            <w:r>
                              <w:rPr>
                                <w:rFonts w:hint="eastAsia" w:ascii="新宋体" w:hAnsi="新宋体" w:eastAsia="新宋体" w:cs="新宋体"/>
                                <w:bCs/>
                                <w:sz w:val="24"/>
                                <w:szCs w:val="24"/>
                              </w:rPr>
                              <w:t>了解公司需求</w:t>
                            </w:r>
                          </w:p>
                        </w:txbxContent>
                      </wps:txbx>
                      <wps:bodyPr anchor="ctr" anchorCtr="0" upright="1"/>
                    </wps:wsp>
                  </a:graphicData>
                </a:graphic>
              </wp:anchor>
            </w:drawing>
          </mc:Choice>
          <mc:Fallback>
            <w:pict>
              <v:roundrect id="_x0000_s1026" o:spid="_x0000_s1026" o:spt="2" style="position:absolute;left:0pt;margin-left:147.65pt;margin-top:33.65pt;height:20.25pt;width:104.55pt;z-index:251667456;v-text-anchor:middle;mso-width-relative:page;mso-height-relative:page;" filled="f" stroked="t" coordsize="21600,21600" arcsize="0.166666666666667" o:gfxdata="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kZDRTaAAAACgEAAA8AAAAA&#10;AAAAAQAgAAAAIgAAAGRycy9kb3ducmV2LnhtbFBLAQIUABQAAAAIAIdO4kD4ROorSwIAAIUEAAAO&#10;AAAAAAAAAAEAIAAAACkBAABkcnMvZTJvRG9jLnhtbFBLBQYAAAAABgAGAFkBAADmBQAAAAA=&#10;">
                <v:fill on="f" focussize="0,0"/>
                <v:stroke weight="0.25pt" color="#4F81BD" joinstyle="round"/>
                <v:imagedata o:title=""/>
                <o:lock v:ext="edit" text="t" aspectratio="t"/>
                <v:textbox>
                  <w:txbxContent>
                    <w:p>
                      <w:pPr>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eastAsia" w:ascii="新宋体" w:hAnsi="新宋体" w:eastAsia="新宋体" w:cs="新宋体"/>
                          <w:bCs/>
                          <w:sz w:val="24"/>
                          <w:szCs w:val="24"/>
                        </w:rPr>
                      </w:pPr>
                      <w:r>
                        <w:rPr>
                          <w:rFonts w:hint="eastAsia" w:ascii="新宋体" w:hAnsi="新宋体" w:eastAsia="新宋体" w:cs="新宋体"/>
                          <w:bCs/>
                          <w:sz w:val="24"/>
                          <w:szCs w:val="24"/>
                        </w:rPr>
                        <w:t>了解公司需求</w:t>
                      </w:r>
                    </w:p>
                  </w:txbxContent>
                </v:textbox>
              </v:roundrect>
            </w:pict>
          </mc:Fallback>
        </mc:AlternateContent>
      </w:r>
      <w:r>
        <w:rPr>
          <w:sz w:val="20"/>
        </w:rPr>
        <mc:AlternateContent>
          <mc:Choice Requires="wps">
            <w:drawing>
              <wp:anchor distT="0" distB="0" distL="114300" distR="114300" simplePos="0" relativeHeight="251672576" behindDoc="0" locked="0" layoutInCell="1" allowOverlap="1">
                <wp:simplePos x="0" y="0"/>
                <wp:positionH relativeFrom="column">
                  <wp:posOffset>3608705</wp:posOffset>
                </wp:positionH>
                <wp:positionV relativeFrom="paragraph">
                  <wp:posOffset>27940</wp:posOffset>
                </wp:positionV>
                <wp:extent cx="892810" cy="658495"/>
                <wp:effectExtent l="4445" t="4445" r="17145" b="22860"/>
                <wp:wrapNone/>
                <wp:docPr id="14" name="圆角矩形 14"/>
                <wp:cNvGraphicFramePr/>
                <a:graphic xmlns:a="http://schemas.openxmlformats.org/drawingml/2006/main">
                  <a:graphicData uri="http://schemas.microsoft.com/office/word/2010/wordprocessingShape">
                    <wps:wsp>
                      <wps:cNvSpPr/>
                      <wps:spPr>
                        <a:xfrm>
                          <a:off x="0" y="0"/>
                          <a:ext cx="892810" cy="658495"/>
                        </a:xfrm>
                        <a:prstGeom prst="roundRect">
                          <a:avLst>
                            <a:gd name="adj" fmla="val 16667"/>
                          </a:avLst>
                        </a:prstGeom>
                        <a:noFill/>
                        <a:ln w="3175" cap="flat" cmpd="sng">
                          <a:solidFill>
                            <a:srgbClr val="4F81BD"/>
                          </a:solidFill>
                          <a:prstDash val="soli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eastAsia" w:ascii="新宋体" w:hAnsi="新宋体" w:eastAsia="新宋体" w:cs="新宋体"/>
                                <w:bCs/>
                                <w:sz w:val="24"/>
                                <w:szCs w:val="24"/>
                              </w:rPr>
                            </w:pPr>
                            <w:r>
                              <w:rPr>
                                <w:rFonts w:hint="eastAsia" w:ascii="新宋体" w:hAnsi="新宋体" w:eastAsia="新宋体" w:cs="新宋体"/>
                                <w:bCs/>
                                <w:sz w:val="24"/>
                                <w:szCs w:val="24"/>
                              </w:rPr>
                              <w:t>访谈调查</w:t>
                            </w:r>
                          </w:p>
                          <w:p>
                            <w:pPr>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eastAsia" w:ascii="新宋体" w:hAnsi="新宋体" w:eastAsia="新宋体" w:cs="新宋体"/>
                                <w:bCs/>
                                <w:sz w:val="24"/>
                                <w:szCs w:val="24"/>
                              </w:rPr>
                            </w:pPr>
                            <w:r>
                              <w:rPr>
                                <w:rFonts w:hint="eastAsia" w:ascii="新宋体" w:hAnsi="新宋体" w:eastAsia="新宋体" w:cs="新宋体"/>
                                <w:bCs/>
                                <w:sz w:val="24"/>
                                <w:szCs w:val="24"/>
                              </w:rPr>
                              <w:t>资料收集</w:t>
                            </w:r>
                          </w:p>
                          <w:p>
                            <w:pPr>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eastAsia" w:ascii="新宋体" w:hAnsi="新宋体" w:eastAsia="新宋体" w:cs="新宋体"/>
                                <w:bCs/>
                                <w:sz w:val="24"/>
                                <w:szCs w:val="24"/>
                              </w:rPr>
                            </w:pPr>
                            <w:r>
                              <w:rPr>
                                <w:rFonts w:hint="eastAsia" w:ascii="新宋体" w:hAnsi="新宋体" w:eastAsia="新宋体" w:cs="新宋体"/>
                                <w:bCs/>
                                <w:sz w:val="24"/>
                                <w:szCs w:val="24"/>
                              </w:rPr>
                              <w:t>报告出具</w:t>
                            </w:r>
                          </w:p>
                        </w:txbxContent>
                      </wps:txbx>
                      <wps:bodyPr anchor="ctr" anchorCtr="0" upright="1"/>
                    </wps:wsp>
                  </a:graphicData>
                </a:graphic>
              </wp:anchor>
            </w:drawing>
          </mc:Choice>
          <mc:Fallback>
            <w:pict>
              <v:roundrect id="_x0000_s1026" o:spid="_x0000_s1026" o:spt="2" style="position:absolute;left:0pt;margin-left:284.15pt;margin-top:2.2pt;height:51.85pt;width:70.3pt;z-index:251672576;v-text-anchor:middle;mso-width-relative:page;mso-height-relative:page;" filled="f" stroked="t" coordsize="21600,21600" arcsize="0.166666666666667" o:gfxdata="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cjxAHaAAAACQEAAA8AAAAAAAAAAQAgAAAAIgAAAGRycy9kb3ducmV2Lnht&#10;bFBLAQIUABQAAAAIAIdO4kAUD6syMAIAAEkEAAAOAAAAAAAAAAEAIAAAACkBAABkcnMvZTJvRG9j&#10;LnhtbFBLBQYAAAAABgAGAFkBAADLBQAAAAA=&#10;">
                <v:fill on="f" focussize="0,0"/>
                <v:stroke weight="0.25pt" color="#4F81BD"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eastAsia" w:ascii="新宋体" w:hAnsi="新宋体" w:eastAsia="新宋体" w:cs="新宋体"/>
                          <w:bCs/>
                          <w:sz w:val="24"/>
                          <w:szCs w:val="24"/>
                        </w:rPr>
                      </w:pPr>
                      <w:r>
                        <w:rPr>
                          <w:rFonts w:hint="eastAsia" w:ascii="新宋体" w:hAnsi="新宋体" w:eastAsia="新宋体" w:cs="新宋体"/>
                          <w:bCs/>
                          <w:sz w:val="24"/>
                          <w:szCs w:val="24"/>
                        </w:rPr>
                        <w:t>访谈调查</w:t>
                      </w:r>
                    </w:p>
                    <w:p>
                      <w:pPr>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eastAsia" w:ascii="新宋体" w:hAnsi="新宋体" w:eastAsia="新宋体" w:cs="新宋体"/>
                          <w:bCs/>
                          <w:sz w:val="24"/>
                          <w:szCs w:val="24"/>
                        </w:rPr>
                      </w:pPr>
                      <w:r>
                        <w:rPr>
                          <w:rFonts w:hint="eastAsia" w:ascii="新宋体" w:hAnsi="新宋体" w:eastAsia="新宋体" w:cs="新宋体"/>
                          <w:bCs/>
                          <w:sz w:val="24"/>
                          <w:szCs w:val="24"/>
                        </w:rPr>
                        <w:t>资料收集</w:t>
                      </w:r>
                    </w:p>
                    <w:p>
                      <w:pPr>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eastAsia" w:ascii="新宋体" w:hAnsi="新宋体" w:eastAsia="新宋体" w:cs="新宋体"/>
                          <w:bCs/>
                          <w:sz w:val="24"/>
                          <w:szCs w:val="24"/>
                        </w:rPr>
                      </w:pPr>
                      <w:r>
                        <w:rPr>
                          <w:rFonts w:hint="eastAsia" w:ascii="新宋体" w:hAnsi="新宋体" w:eastAsia="新宋体" w:cs="新宋体"/>
                          <w:bCs/>
                          <w:sz w:val="24"/>
                          <w:szCs w:val="24"/>
                        </w:rPr>
                        <w:t>报告出具</w:t>
                      </w:r>
                    </w:p>
                  </w:txbxContent>
                </v:textbox>
              </v:roundrect>
            </w:pict>
          </mc:Fallback>
        </mc:AlternateContent>
      </w:r>
      <w:r>
        <w:rPr>
          <w:sz w:val="20"/>
        </w:rPr>
        <mc:AlternateContent>
          <mc:Choice Requires="wps">
            <w:drawing>
              <wp:anchor distT="0" distB="0" distL="114300" distR="114300" simplePos="0" relativeHeight="251671552" behindDoc="0" locked="0" layoutInCell="1" allowOverlap="1">
                <wp:simplePos x="0" y="0"/>
                <wp:positionH relativeFrom="column">
                  <wp:posOffset>1586230</wp:posOffset>
                </wp:positionH>
                <wp:positionV relativeFrom="paragraph">
                  <wp:posOffset>116205</wp:posOffset>
                </wp:positionV>
                <wp:extent cx="292100" cy="236855"/>
                <wp:effectExtent l="0" t="4445" r="12700" b="6350"/>
                <wp:wrapNone/>
                <wp:docPr id="24" name="肘形连接符 2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292100" cy="236855"/>
                        </a:xfrm>
                        <a:prstGeom prst="bentConnector3">
                          <a:avLst>
                            <a:gd name="adj1" fmla="val 50000"/>
                          </a:avLst>
                        </a:prstGeom>
                        <a:ln w="9525" cap="flat" cmpd="sng">
                          <a:solidFill>
                            <a:srgbClr val="000000"/>
                          </a:solidFill>
                          <a:prstDash val="solid"/>
                          <a:miter/>
                          <a:headEnd type="none" w="med" len="med"/>
                          <a:tailEnd type="none" w="med" len="med"/>
                        </a:ln>
                      </wps:spPr>
                      <wps:bodyPr/>
                    </wps:wsp>
                  </a:graphicData>
                </a:graphic>
              </wp:anchor>
            </w:drawing>
          </mc:Choice>
          <mc:Fallback>
            <w:pict>
              <v:shape id="_x0000_s1026" o:spid="_x0000_s1026" o:spt="34" type="#_x0000_t34" style="position:absolute;left:0pt;flip:y;margin-left:124.9pt;margin-top:9.15pt;height:18.65pt;width:23pt;z-index:251671552;mso-width-relative:page;mso-height-relative:page;" filled="f" stroked="t" coordsize="21600,21600" o:gfxdata="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l9u0L9oAAAAJAQAADwAAAAAAAAABACAAAAAiAAAAZHJzL2Rvd25y&#10;ZXYueG1sUEsBAhQAFAAAAAgAh07iQDC+MTs1AgAAWAQAAA4AAAAAAAAAAQAgAAAAKQEAAGRycy9l&#10;Mm9Eb2MueG1sUEsFBgAAAAAGAAYAWQEAANAFAAAAAA==&#10;" adj="10800">
                <v:fill on="f" focussize="0,0"/>
                <v:stroke color="#000000" joinstyle="miter"/>
                <v:imagedata o:title=""/>
                <o:lock v:ext="edit" aspectratio="t"/>
              </v:shape>
            </w:pict>
          </mc:Fallback>
        </mc:AlternateContent>
      </w:r>
      <w:r>
        <w:rPr>
          <w:sz w:val="20"/>
        </w:rPr>
        <mc:AlternateContent>
          <mc:Choice Requires="wps">
            <w:drawing>
              <wp:anchor distT="0" distB="0" distL="114300" distR="114300" simplePos="0" relativeHeight="251670528" behindDoc="0" locked="0" layoutInCell="1" allowOverlap="1">
                <wp:simplePos x="0" y="0"/>
                <wp:positionH relativeFrom="column">
                  <wp:posOffset>1878330</wp:posOffset>
                </wp:positionH>
                <wp:positionV relativeFrom="paragraph">
                  <wp:posOffset>27305</wp:posOffset>
                </wp:positionV>
                <wp:extent cx="1326515" cy="270510"/>
                <wp:effectExtent l="4445" t="4445" r="21590" b="10795"/>
                <wp:wrapNone/>
                <wp:docPr id="25" name="圆角矩形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TextEdit="1"/>
                      </wps:cNvSpPr>
                      <wps:spPr>
                        <a:xfrm>
                          <a:off x="0" y="0"/>
                          <a:ext cx="1326515" cy="270510"/>
                        </a:xfrm>
                        <a:prstGeom prst="roundRect">
                          <a:avLst>
                            <a:gd name="adj" fmla="val 16667"/>
                          </a:avLst>
                        </a:prstGeom>
                        <a:noFill/>
                        <a:ln w="3175" cap="flat" cmpd="sng">
                          <a:solidFill>
                            <a:srgbClr val="4F81BD"/>
                          </a:solidFill>
                          <a:prstDash val="soli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eastAsia" w:ascii="新宋体" w:hAnsi="新宋体" w:eastAsia="新宋体" w:cs="新宋体"/>
                                <w:bCs/>
                                <w:sz w:val="24"/>
                                <w:szCs w:val="24"/>
                              </w:rPr>
                            </w:pPr>
                            <w:r>
                              <w:rPr>
                                <w:rFonts w:hint="eastAsia" w:ascii="新宋体" w:hAnsi="新宋体" w:eastAsia="新宋体" w:cs="新宋体"/>
                                <w:bCs/>
                                <w:sz w:val="24"/>
                                <w:szCs w:val="24"/>
                              </w:rPr>
                              <w:t>劳动人事法治体检</w:t>
                            </w:r>
                          </w:p>
                        </w:txbxContent>
                      </wps:txbx>
                      <wps:bodyPr anchor="ctr" anchorCtr="0" upright="1"/>
                    </wps:wsp>
                  </a:graphicData>
                </a:graphic>
              </wp:anchor>
            </w:drawing>
          </mc:Choice>
          <mc:Fallback>
            <w:pict>
              <v:roundrect id="_x0000_s1026" o:spid="_x0000_s1026" o:spt="2" style="position:absolute;left:0pt;margin-left:147.9pt;margin-top:2.15pt;height:21.3pt;width:104.45pt;z-index:251670528;v-text-anchor:middle;mso-width-relative:page;mso-height-relative:page;" filled="f" stroked="t" coordsize="21600,21600" arcsize="0.166666666666667" o:gfxdata="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j4O5n2QAAAAgBAAAPAAAA&#10;AAAAAAEAIAAAACIAAABkcnMvZG93bnJldi54bWxQSwECFAAUAAAACACHTuJARIza9k0CAACFBAAA&#10;DgAAAAAAAAABACAAAAAoAQAAZHJzL2Uyb0RvYy54bWxQSwUGAAAAAAYABgBZAQAA5wUAAAAA&#10;">
                <v:fill on="f" focussize="0,0"/>
                <v:stroke weight="0.25pt" color="#4F81BD" joinstyle="round"/>
                <v:imagedata o:title=""/>
                <o:lock v:ext="edit" text="t" aspectratio="t"/>
                <v:textbox>
                  <w:txbxContent>
                    <w:p>
                      <w:pPr>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eastAsia" w:ascii="新宋体" w:hAnsi="新宋体" w:eastAsia="新宋体" w:cs="新宋体"/>
                          <w:bCs/>
                          <w:sz w:val="24"/>
                          <w:szCs w:val="24"/>
                        </w:rPr>
                      </w:pPr>
                      <w:r>
                        <w:rPr>
                          <w:rFonts w:hint="eastAsia" w:ascii="新宋体" w:hAnsi="新宋体" w:eastAsia="新宋体" w:cs="新宋体"/>
                          <w:bCs/>
                          <w:sz w:val="24"/>
                          <w:szCs w:val="24"/>
                        </w:rPr>
                        <w:t>劳动人事法治体检</w:t>
                      </w:r>
                    </w:p>
                  </w:txbxContent>
                </v:textbox>
              </v:roundrect>
            </w:pict>
          </mc:Fallback>
        </mc:AlternateContent>
      </w:r>
      <w:r>
        <w:rPr>
          <w:sz w:val="20"/>
        </w:rPr>
        <mc:AlternateContent>
          <mc:Choice Requires="wps">
            <w:drawing>
              <wp:anchor distT="0" distB="0" distL="114300" distR="114300" simplePos="0" relativeHeight="251669504" behindDoc="0" locked="0" layoutInCell="1" allowOverlap="1">
                <wp:simplePos x="0" y="0"/>
                <wp:positionH relativeFrom="column">
                  <wp:posOffset>168275</wp:posOffset>
                </wp:positionH>
                <wp:positionV relativeFrom="paragraph">
                  <wp:posOffset>244475</wp:posOffset>
                </wp:positionV>
                <wp:extent cx="1412875" cy="287655"/>
                <wp:effectExtent l="9525" t="9525" r="25400" b="26670"/>
                <wp:wrapNone/>
                <wp:docPr id="26" name="矩形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TextEdit="1"/>
                      </wps:cNvSpPr>
                      <wps:spPr>
                        <a:xfrm>
                          <a:off x="0" y="0"/>
                          <a:ext cx="1412875" cy="287655"/>
                        </a:xfrm>
                        <a:prstGeom prst="rect">
                          <a:avLst/>
                        </a:prstGeom>
                        <a:solidFill>
                          <a:srgbClr val="FFFFFF"/>
                        </a:solidFill>
                        <a:ln w="19050" cap="flat" cmpd="sng">
                          <a:solidFill>
                            <a:srgbClr val="4F81BD"/>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eastAsia" w:ascii="新宋体" w:hAnsi="新宋体" w:eastAsia="新宋体" w:cs="新宋体"/>
                                <w:bCs/>
                                <w:sz w:val="24"/>
                                <w:szCs w:val="24"/>
                              </w:rPr>
                            </w:pPr>
                            <w:r>
                              <w:rPr>
                                <w:rFonts w:hint="eastAsia" w:ascii="新宋体" w:hAnsi="新宋体" w:eastAsia="新宋体" w:cs="新宋体"/>
                                <w:bCs/>
                                <w:sz w:val="24"/>
                                <w:szCs w:val="24"/>
                              </w:rPr>
                              <w:t>法治体检</w:t>
                            </w:r>
                          </w:p>
                        </w:txbxContent>
                      </wps:txbx>
                      <wps:bodyPr anchor="ctr" anchorCtr="0" upright="1"/>
                    </wps:wsp>
                  </a:graphicData>
                </a:graphic>
              </wp:anchor>
            </w:drawing>
          </mc:Choice>
          <mc:Fallback>
            <w:pict>
              <v:rect id="_x0000_s1026" o:spid="_x0000_s1026" o:spt="1" style="position:absolute;left:0pt;margin-left:13.25pt;margin-top:19.25pt;height:22.65pt;width:111.25pt;z-index:251669504;v-text-anchor:middle;mso-width-relative:page;mso-height-relative:page;" fillcolor="#FFFFFF" filled="t" stroked="t" coordsize="21600,21600" o:gfxdata="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YVG431wAAAAgBAAAPAAAAAAAAAAEAIAAAACIAAABkcnMvZG93bnJldi54bWxQ&#10;SwECFAAUAAAACACHTuJA1wF1qzECAACCBAAADgAAAAAAAAABACAAAAAmAQAAZHJzL2Uyb0RvYy54&#10;bWxQSwUGAAAAAAYABgBZAQAAyQUAAAAA&#10;">
                <v:fill on="t" focussize="0,0"/>
                <v:stroke weight="1.5pt" color="#4F81BD" joinstyle="miter"/>
                <v:imagedata o:title=""/>
                <o:lock v:ext="edit" text="t" aspectratio="t"/>
                <v:textbox>
                  <w:txbxContent>
                    <w:p>
                      <w:pPr>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eastAsia" w:ascii="新宋体" w:hAnsi="新宋体" w:eastAsia="新宋体" w:cs="新宋体"/>
                          <w:bCs/>
                          <w:sz w:val="24"/>
                          <w:szCs w:val="24"/>
                        </w:rPr>
                      </w:pPr>
                      <w:r>
                        <w:rPr>
                          <w:rFonts w:hint="eastAsia" w:ascii="新宋体" w:hAnsi="新宋体" w:eastAsia="新宋体" w:cs="新宋体"/>
                          <w:bCs/>
                          <w:sz w:val="24"/>
                          <w:szCs w:val="24"/>
                        </w:rPr>
                        <w:t>法治体检</w:t>
                      </w:r>
                    </w:p>
                  </w:txbxContent>
                </v:textbox>
              </v:rect>
            </w:pict>
          </mc:Fallback>
        </mc:AlternateContent>
      </w:r>
      <w:r>
        <w:rPr>
          <w:sz w:val="20"/>
        </w:rPr>
        <mc:AlternateContent>
          <mc:Choice Requires="wps">
            <w:drawing>
              <wp:anchor distT="0" distB="0" distL="114300" distR="114300" simplePos="0" relativeHeight="251668480" behindDoc="0" locked="0" layoutInCell="1" allowOverlap="1">
                <wp:simplePos x="0" y="0"/>
                <wp:positionH relativeFrom="column">
                  <wp:posOffset>1591945</wp:posOffset>
                </wp:positionH>
                <wp:positionV relativeFrom="paragraph">
                  <wp:posOffset>354330</wp:posOffset>
                </wp:positionV>
                <wp:extent cx="284480" cy="264160"/>
                <wp:effectExtent l="0" t="4445" r="1270" b="17145"/>
                <wp:wrapNone/>
                <wp:docPr id="23" name="肘形连接符 2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284480" cy="264160"/>
                        </a:xfrm>
                        <a:prstGeom prst="bentConnector3">
                          <a:avLst>
                            <a:gd name="adj1" fmla="val 50000"/>
                          </a:avLst>
                        </a:prstGeom>
                        <a:ln w="9525" cap="flat" cmpd="sng">
                          <a:solidFill>
                            <a:srgbClr val="000000"/>
                          </a:solidFill>
                          <a:prstDash val="solid"/>
                          <a:miter/>
                          <a:headEnd type="none" w="med" len="med"/>
                          <a:tailEnd type="none" w="med" len="med"/>
                        </a:ln>
                      </wps:spPr>
                      <wps:bodyPr/>
                    </wps:wsp>
                  </a:graphicData>
                </a:graphic>
              </wp:anchor>
            </w:drawing>
          </mc:Choice>
          <mc:Fallback>
            <w:pict>
              <v:shape id="_x0000_s1026" o:spid="_x0000_s1026" o:spt="34" type="#_x0000_t34" style="position:absolute;left:0pt;margin-left:125.35pt;margin-top:27.9pt;height:20.8pt;width:22.4pt;z-index:251668480;mso-width-relative:page;mso-height-relative:page;" filled="f" stroked="t" coordsize="21600,21600" o:gfxdata="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5umFn1wAAAAkBAAAPAAAAAAAAAAEAIAAAACIAAABkcnMvZG93bnJldi54bWxQ&#10;SwECFAAUAAAACACHTuJAMfwRvzECAABOBAAADgAAAAAAAAABACAAAAAmAQAAZHJzL2Uyb0RvYy54&#10;bWxQSwUGAAAAAAYABgBZAQAAyQUAAAAA&#10;" adj="10800">
                <v:fill on="f" focussize="0,0"/>
                <v:stroke color="#000000" joinstyle="miter"/>
                <v:imagedata o:title=""/>
                <o:lock v:ext="edit" aspectratio="t"/>
              </v:shape>
            </w:pict>
          </mc:Fallback>
        </mc:AlternateContent>
      </w:r>
    </w:p>
    <w:p>
      <w:pPr>
        <w:keepNext w:val="0"/>
        <w:keepLines w:val="0"/>
        <w:pageBreakBefore w:val="0"/>
        <w:widowControl w:val="0"/>
        <w:wordWrap/>
        <w:bidi w:val="0"/>
        <w:spacing w:before="227" w:beforeLines="50" w:after="227" w:afterLines="50" w:line="500" w:lineRule="exact"/>
        <w:ind w:firstLine="362" w:firstLineChars="200"/>
        <w:rPr>
          <w:color w:val="000000"/>
          <w:sz w:val="20"/>
          <w:szCs w:val="21"/>
        </w:rPr>
      </w:pPr>
      <w:r>
        <w:rPr>
          <w:sz w:val="20"/>
        </w:rPr>
        <mc:AlternateContent>
          <mc:Choice Requires="wps">
            <w:drawing>
              <wp:anchor distT="0" distB="0" distL="114300" distR="114300" simplePos="0" relativeHeight="251674624" behindDoc="0" locked="0" layoutInCell="1" allowOverlap="1">
                <wp:simplePos x="0" y="0"/>
                <wp:positionH relativeFrom="column">
                  <wp:posOffset>3568065</wp:posOffset>
                </wp:positionH>
                <wp:positionV relativeFrom="paragraph">
                  <wp:posOffset>343535</wp:posOffset>
                </wp:positionV>
                <wp:extent cx="1003300" cy="977265"/>
                <wp:effectExtent l="4445" t="4445" r="20955" b="8890"/>
                <wp:wrapNone/>
                <wp:docPr id="27" name="圆角矩形 27"/>
                <wp:cNvGraphicFramePr/>
                <a:graphic xmlns:a="http://schemas.openxmlformats.org/drawingml/2006/main">
                  <a:graphicData uri="http://schemas.microsoft.com/office/word/2010/wordprocessingShape">
                    <wps:wsp>
                      <wps:cNvSpPr/>
                      <wps:spPr>
                        <a:xfrm>
                          <a:off x="0" y="0"/>
                          <a:ext cx="1003300" cy="977265"/>
                        </a:xfrm>
                        <a:prstGeom prst="roundRect">
                          <a:avLst>
                            <a:gd name="adj" fmla="val 16667"/>
                          </a:avLst>
                        </a:prstGeom>
                        <a:noFill/>
                        <a:ln w="3175" cap="flat" cmpd="sng">
                          <a:solidFill>
                            <a:srgbClr val="4F81BD"/>
                          </a:solidFill>
                          <a:prstDash val="soli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after="0" w:line="260" w:lineRule="exact"/>
                              <w:ind w:left="-105" w:leftChars="-50" w:right="-105" w:rightChars="-50"/>
                              <w:jc w:val="center"/>
                              <w:textAlignment w:val="auto"/>
                              <w:rPr>
                                <w:rFonts w:hint="eastAsia" w:ascii="新宋体" w:hAnsi="新宋体" w:eastAsia="新宋体" w:cs="新宋体"/>
                                <w:bCs/>
                                <w:sz w:val="24"/>
                                <w:szCs w:val="24"/>
                              </w:rPr>
                            </w:pPr>
                            <w:r>
                              <w:rPr>
                                <w:rFonts w:hint="eastAsia" w:ascii="新宋体" w:hAnsi="新宋体" w:eastAsia="新宋体" w:cs="新宋体"/>
                                <w:bCs/>
                                <w:sz w:val="24"/>
                                <w:szCs w:val="24"/>
                              </w:rPr>
                              <w:t>制度审查协议及文本审查法律意见书谈判调解</w:t>
                            </w:r>
                          </w:p>
                          <w:p>
                            <w:pPr>
                              <w:keepNext w:val="0"/>
                              <w:keepLines w:val="0"/>
                              <w:pageBreakBefore w:val="0"/>
                              <w:widowControl w:val="0"/>
                              <w:kinsoku/>
                              <w:wordWrap/>
                              <w:overflowPunct/>
                              <w:topLinePunct w:val="0"/>
                              <w:autoSpaceDE/>
                              <w:autoSpaceDN/>
                              <w:bidi w:val="0"/>
                              <w:adjustRightInd/>
                              <w:snapToGrid/>
                              <w:spacing w:after="0" w:line="260" w:lineRule="exact"/>
                              <w:ind w:left="-105" w:leftChars="-50" w:right="-105" w:rightChars="-50"/>
                              <w:jc w:val="center"/>
                              <w:textAlignment w:val="auto"/>
                              <w:rPr>
                                <w:rFonts w:hint="eastAsia" w:ascii="新宋体" w:hAnsi="新宋体" w:eastAsia="新宋体" w:cs="新宋体"/>
                                <w:bCs/>
                                <w:sz w:val="24"/>
                                <w:szCs w:val="24"/>
                              </w:rPr>
                            </w:pPr>
                            <w:r>
                              <w:rPr>
                                <w:rFonts w:hint="eastAsia" w:ascii="新宋体" w:hAnsi="新宋体" w:eastAsia="新宋体" w:cs="新宋体"/>
                                <w:bCs/>
                                <w:sz w:val="24"/>
                                <w:szCs w:val="24"/>
                              </w:rPr>
                              <w:t>法律培训</w:t>
                            </w:r>
                          </w:p>
                        </w:txbxContent>
                      </wps:txbx>
                      <wps:bodyPr anchor="ctr" anchorCtr="0" upright="1"/>
                    </wps:wsp>
                  </a:graphicData>
                </a:graphic>
              </wp:anchor>
            </w:drawing>
          </mc:Choice>
          <mc:Fallback>
            <w:pict>
              <v:roundrect id="_x0000_s1026" o:spid="_x0000_s1026" o:spt="2" style="position:absolute;left:0pt;margin-left:280.95pt;margin-top:27.05pt;height:76.95pt;width:79pt;z-index:251674624;v-text-anchor:middle;mso-width-relative:page;mso-height-relative:page;" filled="f" stroked="t" coordsize="21600,21600" arcsize="0.166666666666667" o:gfxdata="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VcizgdoAAAAKAQAADwAAAAAAAAABACAAAAAiAAAAZHJzL2Rvd25yZXYu&#10;eG1sUEsBAhQAFAAAAAgAh07iQJ1vzE0yAgAASgQAAA4AAAAAAAAAAQAgAAAAKQEAAGRycy9lMm9E&#10;b2MueG1sUEsFBgAAAAAGAAYAWQEAAM0FAAAAAA==&#10;">
                <v:fill on="f" focussize="0,0"/>
                <v:stroke weight="0.25pt" color="#4F81BD"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after="0" w:line="260" w:lineRule="exact"/>
                        <w:ind w:left="-105" w:leftChars="-50" w:right="-105" w:rightChars="-50"/>
                        <w:jc w:val="center"/>
                        <w:textAlignment w:val="auto"/>
                        <w:rPr>
                          <w:rFonts w:hint="eastAsia" w:ascii="新宋体" w:hAnsi="新宋体" w:eastAsia="新宋体" w:cs="新宋体"/>
                          <w:bCs/>
                          <w:sz w:val="24"/>
                          <w:szCs w:val="24"/>
                        </w:rPr>
                      </w:pPr>
                      <w:r>
                        <w:rPr>
                          <w:rFonts w:hint="eastAsia" w:ascii="新宋体" w:hAnsi="新宋体" w:eastAsia="新宋体" w:cs="新宋体"/>
                          <w:bCs/>
                          <w:sz w:val="24"/>
                          <w:szCs w:val="24"/>
                        </w:rPr>
                        <w:t>制度审查协议及文本审查法律意见书谈判调解</w:t>
                      </w:r>
                    </w:p>
                    <w:p>
                      <w:pPr>
                        <w:keepNext w:val="0"/>
                        <w:keepLines w:val="0"/>
                        <w:pageBreakBefore w:val="0"/>
                        <w:widowControl w:val="0"/>
                        <w:kinsoku/>
                        <w:wordWrap/>
                        <w:overflowPunct/>
                        <w:topLinePunct w:val="0"/>
                        <w:autoSpaceDE/>
                        <w:autoSpaceDN/>
                        <w:bidi w:val="0"/>
                        <w:adjustRightInd/>
                        <w:snapToGrid/>
                        <w:spacing w:after="0" w:line="260" w:lineRule="exact"/>
                        <w:ind w:left="-105" w:leftChars="-50" w:right="-105" w:rightChars="-50"/>
                        <w:jc w:val="center"/>
                        <w:textAlignment w:val="auto"/>
                        <w:rPr>
                          <w:rFonts w:hint="eastAsia" w:ascii="新宋体" w:hAnsi="新宋体" w:eastAsia="新宋体" w:cs="新宋体"/>
                          <w:bCs/>
                          <w:sz w:val="24"/>
                          <w:szCs w:val="24"/>
                        </w:rPr>
                      </w:pPr>
                      <w:r>
                        <w:rPr>
                          <w:rFonts w:hint="eastAsia" w:ascii="新宋体" w:hAnsi="新宋体" w:eastAsia="新宋体" w:cs="新宋体"/>
                          <w:bCs/>
                          <w:sz w:val="24"/>
                          <w:szCs w:val="24"/>
                        </w:rPr>
                        <w:t>法律培训</w:t>
                      </w:r>
                    </w:p>
                  </w:txbxContent>
                </v:textbox>
              </v:roundrect>
            </w:pict>
          </mc:Fallback>
        </mc:AlternateContent>
      </w:r>
      <w:r>
        <w:rPr>
          <w:sz w:val="20"/>
        </w:rPr>
        <mc:AlternateContent>
          <mc:Choice Requires="wpg">
            <w:drawing>
              <wp:anchor distT="0" distB="0" distL="114300" distR="114300" simplePos="0" relativeHeight="251673600" behindDoc="0" locked="0" layoutInCell="1" allowOverlap="1">
                <wp:simplePos x="0" y="0"/>
                <wp:positionH relativeFrom="column">
                  <wp:posOffset>133985</wp:posOffset>
                </wp:positionH>
                <wp:positionV relativeFrom="paragraph">
                  <wp:posOffset>123825</wp:posOffset>
                </wp:positionV>
                <wp:extent cx="3053080" cy="1210945"/>
                <wp:effectExtent l="9525" t="4445" r="23495" b="22860"/>
                <wp:wrapNone/>
                <wp:docPr id="37" name="组合 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053080" cy="1210945"/>
                          <a:chOff x="0" y="0"/>
                          <a:chExt cx="35814" cy="15906"/>
                        </a:xfrm>
                      </wpg:grpSpPr>
                      <wps:wsp>
                        <wps:cNvPr id="28" name="矩形 28"/>
                        <wps:cNvSpPr>
                          <a:spLocks noChangeAspect="1" noTextEdit="1"/>
                        </wps:cNvSpPr>
                        <wps:spPr>
                          <a:xfrm>
                            <a:off x="0" y="5969"/>
                            <a:ext cx="16573" cy="3524"/>
                          </a:xfrm>
                          <a:prstGeom prst="rect">
                            <a:avLst/>
                          </a:prstGeom>
                          <a:solidFill>
                            <a:srgbClr val="FFFFFF"/>
                          </a:solidFill>
                          <a:ln w="19050" cap="flat" cmpd="sng">
                            <a:solidFill>
                              <a:srgbClr val="4F81BD"/>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eastAsia" w:ascii="新宋体" w:hAnsi="新宋体" w:eastAsia="新宋体" w:cs="新宋体"/>
                                  <w:bCs/>
                                  <w:sz w:val="24"/>
                                  <w:szCs w:val="24"/>
                                </w:rPr>
                              </w:pPr>
                              <w:r>
                                <w:rPr>
                                  <w:rFonts w:hint="eastAsia" w:ascii="新宋体" w:hAnsi="新宋体" w:eastAsia="新宋体" w:cs="新宋体"/>
                                  <w:bCs/>
                                  <w:sz w:val="24"/>
                                  <w:szCs w:val="24"/>
                                </w:rPr>
                                <w:t>用工合规</w:t>
                              </w:r>
                            </w:p>
                          </w:txbxContent>
                        </wps:txbx>
                        <wps:bodyPr anchor="ctr" anchorCtr="0" upright="1"/>
                      </wps:wsp>
                      <wps:wsp>
                        <wps:cNvPr id="29" name="圆角矩形 29"/>
                        <wps:cNvSpPr>
                          <a:spLocks noChangeAspect="1" noTextEdit="1"/>
                        </wps:cNvSpPr>
                        <wps:spPr>
                          <a:xfrm>
                            <a:off x="20066" y="0"/>
                            <a:ext cx="15748" cy="3333"/>
                          </a:xfrm>
                          <a:prstGeom prst="roundRect">
                            <a:avLst>
                              <a:gd name="adj" fmla="val 16667"/>
                            </a:avLst>
                          </a:prstGeom>
                          <a:noFill/>
                          <a:ln w="3175" cap="flat" cmpd="sng">
                            <a:solidFill>
                              <a:srgbClr val="4F81BD"/>
                            </a:solidFill>
                            <a:prstDash val="soli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eastAsia" w:ascii="新宋体" w:hAnsi="新宋体" w:eastAsia="新宋体" w:cs="新宋体"/>
                                  <w:bCs/>
                                  <w:sz w:val="24"/>
                                  <w:szCs w:val="24"/>
                                </w:rPr>
                              </w:pPr>
                              <w:r>
                                <w:rPr>
                                  <w:rFonts w:hint="eastAsia" w:ascii="新宋体" w:hAnsi="新宋体" w:eastAsia="新宋体" w:cs="新宋体"/>
                                  <w:bCs/>
                                  <w:sz w:val="24"/>
                                  <w:szCs w:val="24"/>
                                </w:rPr>
                                <w:t>入职环节合规</w:t>
                              </w:r>
                            </w:p>
                          </w:txbxContent>
                        </wps:txbx>
                        <wps:bodyPr anchor="ctr" anchorCtr="0" upright="1"/>
                      </wps:wsp>
                      <wps:wsp>
                        <wps:cNvPr id="30" name="圆角矩形 30"/>
                        <wps:cNvSpPr>
                          <a:spLocks noChangeAspect="1" noTextEdit="1"/>
                        </wps:cNvSpPr>
                        <wps:spPr>
                          <a:xfrm>
                            <a:off x="20193" y="4318"/>
                            <a:ext cx="15621" cy="3333"/>
                          </a:xfrm>
                          <a:prstGeom prst="roundRect">
                            <a:avLst>
                              <a:gd name="adj" fmla="val 16667"/>
                            </a:avLst>
                          </a:prstGeom>
                          <a:noFill/>
                          <a:ln w="3175" cap="flat" cmpd="sng">
                            <a:solidFill>
                              <a:srgbClr val="4F81BD"/>
                            </a:solidFill>
                            <a:prstDash val="soli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eastAsia" w:ascii="新宋体" w:hAnsi="新宋体" w:eastAsia="新宋体" w:cs="新宋体"/>
                                  <w:bCs/>
                                  <w:sz w:val="24"/>
                                  <w:szCs w:val="24"/>
                                </w:rPr>
                              </w:pPr>
                              <w:r>
                                <w:rPr>
                                  <w:rFonts w:hint="eastAsia" w:ascii="新宋体" w:hAnsi="新宋体" w:eastAsia="新宋体" w:cs="新宋体"/>
                                  <w:bCs/>
                                  <w:sz w:val="24"/>
                                  <w:szCs w:val="24"/>
                                </w:rPr>
                                <w:t>用工环节合规</w:t>
                              </w:r>
                            </w:p>
                          </w:txbxContent>
                        </wps:txbx>
                        <wps:bodyPr anchor="ctr" anchorCtr="0" upright="1"/>
                      </wps:wsp>
                      <wps:wsp>
                        <wps:cNvPr id="31" name="圆角矩形 31"/>
                        <wps:cNvSpPr>
                          <a:spLocks noChangeAspect="1" noTextEdit="1"/>
                        </wps:cNvSpPr>
                        <wps:spPr>
                          <a:xfrm>
                            <a:off x="20066" y="8636"/>
                            <a:ext cx="15748" cy="3333"/>
                          </a:xfrm>
                          <a:prstGeom prst="roundRect">
                            <a:avLst>
                              <a:gd name="adj" fmla="val 16667"/>
                            </a:avLst>
                          </a:prstGeom>
                          <a:noFill/>
                          <a:ln w="3175" cap="flat" cmpd="sng">
                            <a:solidFill>
                              <a:srgbClr val="4F81BD"/>
                            </a:solidFill>
                            <a:prstDash val="soli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eastAsia" w:ascii="新宋体" w:hAnsi="新宋体" w:eastAsia="新宋体" w:cs="新宋体"/>
                                  <w:bCs/>
                                  <w:sz w:val="24"/>
                                  <w:szCs w:val="24"/>
                                </w:rPr>
                              </w:pPr>
                              <w:r>
                                <w:rPr>
                                  <w:rFonts w:hint="eastAsia" w:ascii="新宋体" w:hAnsi="新宋体" w:eastAsia="新宋体" w:cs="新宋体"/>
                                  <w:bCs/>
                                  <w:sz w:val="24"/>
                                  <w:szCs w:val="24"/>
                                </w:rPr>
                                <w:t>离职环节合规</w:t>
                              </w:r>
                            </w:p>
                          </w:txbxContent>
                        </wps:txbx>
                        <wps:bodyPr anchor="ctr" anchorCtr="0" upright="1"/>
                      </wps:wsp>
                      <wps:wsp>
                        <wps:cNvPr id="32" name="圆角矩形 32"/>
                        <wps:cNvSpPr>
                          <a:spLocks noChangeAspect="1" noTextEdit="1"/>
                        </wps:cNvSpPr>
                        <wps:spPr>
                          <a:xfrm>
                            <a:off x="20193" y="12573"/>
                            <a:ext cx="15621" cy="3333"/>
                          </a:xfrm>
                          <a:prstGeom prst="roundRect">
                            <a:avLst>
                              <a:gd name="adj" fmla="val 16667"/>
                            </a:avLst>
                          </a:prstGeom>
                          <a:noFill/>
                          <a:ln w="3175" cap="flat" cmpd="sng">
                            <a:solidFill>
                              <a:srgbClr val="4F81BD"/>
                            </a:solidFill>
                            <a:prstDash val="soli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eastAsia" w:ascii="新宋体" w:hAnsi="新宋体" w:eastAsia="新宋体" w:cs="新宋体"/>
                                  <w:bCs/>
                                  <w:sz w:val="24"/>
                                  <w:szCs w:val="24"/>
                                </w:rPr>
                              </w:pPr>
                              <w:r>
                                <w:rPr>
                                  <w:rFonts w:hint="eastAsia" w:ascii="新宋体" w:hAnsi="新宋体" w:eastAsia="新宋体" w:cs="新宋体"/>
                                  <w:bCs/>
                                  <w:sz w:val="24"/>
                                  <w:szCs w:val="24"/>
                                </w:rPr>
                                <w:t>劳动争议解决</w:t>
                              </w:r>
                            </w:p>
                          </w:txbxContent>
                        </wps:txbx>
                        <wps:bodyPr anchor="ctr" anchorCtr="0" upright="1"/>
                      </wps:wsp>
                      <wps:wsp>
                        <wps:cNvPr id="33" name="肘形连接符 33"/>
                        <wps:cNvCnPr>
                          <a:cxnSpLocks noChangeAspect="1"/>
                        </wps:cNvCnPr>
                        <wps:spPr>
                          <a:xfrm>
                            <a:off x="16637" y="7620"/>
                            <a:ext cx="3429" cy="2857"/>
                          </a:xfrm>
                          <a:prstGeom prst="bentConnector3">
                            <a:avLst>
                              <a:gd name="adj1" fmla="val 50000"/>
                            </a:avLst>
                          </a:prstGeom>
                          <a:ln w="9525" cap="flat" cmpd="sng">
                            <a:solidFill>
                              <a:srgbClr val="000000"/>
                            </a:solidFill>
                            <a:prstDash val="solid"/>
                            <a:miter/>
                            <a:headEnd type="none" w="med" len="med"/>
                            <a:tailEnd type="none" w="med" len="med"/>
                          </a:ln>
                        </wps:spPr>
                        <wps:bodyPr/>
                      </wps:wsp>
                      <wps:wsp>
                        <wps:cNvPr id="34" name="肘形连接符 34"/>
                        <wps:cNvCnPr>
                          <a:cxnSpLocks noChangeAspect="1"/>
                        </wps:cNvCnPr>
                        <wps:spPr>
                          <a:xfrm>
                            <a:off x="16637" y="7620"/>
                            <a:ext cx="3429" cy="6572"/>
                          </a:xfrm>
                          <a:prstGeom prst="bentConnector3">
                            <a:avLst>
                              <a:gd name="adj1" fmla="val 50000"/>
                            </a:avLst>
                          </a:prstGeom>
                          <a:ln w="9525" cap="flat" cmpd="sng">
                            <a:solidFill>
                              <a:srgbClr val="000000"/>
                            </a:solidFill>
                            <a:prstDash val="solid"/>
                            <a:miter/>
                            <a:headEnd type="none" w="med" len="med"/>
                            <a:tailEnd type="none" w="med" len="med"/>
                          </a:ln>
                        </wps:spPr>
                        <wps:bodyPr/>
                      </wps:wsp>
                      <wps:wsp>
                        <wps:cNvPr id="35" name="肘形连接符 35"/>
                        <wps:cNvCnPr>
                          <a:cxnSpLocks noChangeAspect="1"/>
                        </wps:cNvCnPr>
                        <wps:spPr>
                          <a:xfrm flipV="1">
                            <a:off x="16637" y="1524"/>
                            <a:ext cx="3524" cy="6096"/>
                          </a:xfrm>
                          <a:prstGeom prst="bentConnector3">
                            <a:avLst>
                              <a:gd name="adj1" fmla="val 47296"/>
                            </a:avLst>
                          </a:prstGeom>
                          <a:ln w="9525" cap="flat" cmpd="sng">
                            <a:solidFill>
                              <a:srgbClr val="000000"/>
                            </a:solidFill>
                            <a:prstDash val="solid"/>
                            <a:miter/>
                            <a:headEnd type="none" w="med" len="med"/>
                            <a:tailEnd type="none" w="med" len="med"/>
                          </a:ln>
                        </wps:spPr>
                        <wps:bodyPr/>
                      </wps:wsp>
                      <wps:wsp>
                        <wps:cNvPr id="36" name="肘形连接符 36"/>
                        <wps:cNvCnPr>
                          <a:cxnSpLocks noChangeAspect="1"/>
                        </wps:cNvCnPr>
                        <wps:spPr>
                          <a:xfrm flipV="1">
                            <a:off x="16637" y="6096"/>
                            <a:ext cx="3524" cy="1524"/>
                          </a:xfrm>
                          <a:prstGeom prst="bentConnector3">
                            <a:avLst>
                              <a:gd name="adj1" fmla="val 47296"/>
                            </a:avLst>
                          </a:prstGeom>
                          <a:ln w="9525" cap="flat" cmpd="sng">
                            <a:solidFill>
                              <a:srgbClr val="000000"/>
                            </a:solidFill>
                            <a:prstDash val="solid"/>
                            <a:miter/>
                            <a:headEnd type="none" w="med" len="med"/>
                            <a:tailEnd type="none" w="med" len="med"/>
                          </a:ln>
                        </wps:spPr>
                        <wps:bodyPr/>
                      </wps:wsp>
                    </wpg:wgp>
                  </a:graphicData>
                </a:graphic>
              </wp:anchor>
            </w:drawing>
          </mc:Choice>
          <mc:Fallback>
            <w:pict>
              <v:group id="_x0000_s1026" o:spid="_x0000_s1026" o:spt="203" style="position:absolute;left:0pt;margin-left:10.55pt;margin-top:9.75pt;height:95.35pt;width:240.4pt;z-index:251673600;mso-width-relative:page;mso-height-relative:page;" coordsize="35814,15906" o:gfxdata="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">
                <o:lock v:ext="edit" aspectratio="t"/>
                <v:rect id="_x0000_s1026" o:spid="_x0000_s1026" o:spt="1" style="position:absolute;left:0;top:5969;height:3524;width:16573;v-text-anchor:middle;" fillcolor="#FFFFFF" filled="t" stroked="t" coordsize="21600,21600" o:gfxdata="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jrP3ugAAANsA&#10;AAAPAAAAAAAAAAEAIAAAACIAAABkcnMvZG93bnJldi54bWxQSwECFAAUAAAACACHTuJAMy8FnjsA&#10;AAA5AAAAEAAAAAAAAAABACAAAAAJAQAAZHJzL3NoYXBleG1sLnhtbFBLBQYAAAAABgAGAFsBAACz&#10;AwAAAAA=&#10;">
                  <v:fill on="t" focussize="0,0"/>
                  <v:stroke weight="1.5pt" color="#4F81BD" joinstyle="miter"/>
                  <v:imagedata o:title=""/>
                  <o:lock v:ext="edit" text="t" aspectratio="t"/>
                  <v:textbox>
                    <w:txbxContent>
                      <w:p>
                        <w:pPr>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eastAsia" w:ascii="新宋体" w:hAnsi="新宋体" w:eastAsia="新宋体" w:cs="新宋体"/>
                            <w:bCs/>
                            <w:sz w:val="24"/>
                            <w:szCs w:val="24"/>
                          </w:rPr>
                        </w:pPr>
                        <w:r>
                          <w:rPr>
                            <w:rFonts w:hint="eastAsia" w:ascii="新宋体" w:hAnsi="新宋体" w:eastAsia="新宋体" w:cs="新宋体"/>
                            <w:bCs/>
                            <w:sz w:val="24"/>
                            <w:szCs w:val="24"/>
                          </w:rPr>
                          <w:t>用工合规</w:t>
                        </w:r>
                      </w:p>
                    </w:txbxContent>
                  </v:textbox>
                </v:rect>
                <v:roundrect id="_x0000_s1026" o:spid="_x0000_s1026" o:spt="2" style="position:absolute;left:20066;top:0;height:3333;width:15748;v-text-anchor:middle;" filled="f" stroked="t" coordsize="21600,21600" arcsize="0.166666666666667" o:gfxdata="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1WiwvQAA&#10;ANsAAAAPAAAAAAAAAAEAIAAAACIAAABkcnMvZG93bnJldi54bWxQSwECFAAUAAAACACHTuJAMy8F&#10;njsAAAA5AAAAEAAAAAAAAAABACAAAAAMAQAAZHJzL3NoYXBleG1sLnhtbFBLBQYAAAAABgAGAFsB&#10;AAC2AwAAAAA=&#10;">
                  <v:fill on="f" focussize="0,0"/>
                  <v:stroke weight="0.25pt" color="#4F81BD" joinstyle="round"/>
                  <v:imagedata o:title=""/>
                  <o:lock v:ext="edit" text="t" aspectratio="t"/>
                  <v:textbox>
                    <w:txbxContent>
                      <w:p>
                        <w:pPr>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eastAsia" w:ascii="新宋体" w:hAnsi="新宋体" w:eastAsia="新宋体" w:cs="新宋体"/>
                            <w:bCs/>
                            <w:sz w:val="24"/>
                            <w:szCs w:val="24"/>
                          </w:rPr>
                        </w:pPr>
                        <w:r>
                          <w:rPr>
                            <w:rFonts w:hint="eastAsia" w:ascii="新宋体" w:hAnsi="新宋体" w:eastAsia="新宋体" w:cs="新宋体"/>
                            <w:bCs/>
                            <w:sz w:val="24"/>
                            <w:szCs w:val="24"/>
                          </w:rPr>
                          <w:t>入职环节合规</w:t>
                        </w:r>
                      </w:p>
                    </w:txbxContent>
                  </v:textbox>
                </v:roundrect>
                <v:roundrect id="_x0000_s1026" o:spid="_x0000_s1026" o:spt="2" style="position:absolute;left:20193;top:4318;height:3333;width:15621;v-text-anchor:middle;" filled="f" stroked="t" coordsize="21600,21600" arcsize="0.166666666666667" o:gfxdata="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NlfwugAAANsA&#10;AAAPAAAAAAAAAAEAIAAAACIAAABkcnMvZG93bnJldi54bWxQSwECFAAUAAAACACHTuJAMy8FnjsA&#10;AAA5AAAAEAAAAAAAAAABACAAAAAJAQAAZHJzL3NoYXBleG1sLnhtbFBLBQYAAAAABgAGAFsBAACz&#10;AwAAAAA=&#10;">
                  <v:fill on="f" focussize="0,0"/>
                  <v:stroke weight="0.25pt" color="#4F81BD" joinstyle="round"/>
                  <v:imagedata o:title=""/>
                  <o:lock v:ext="edit" text="t" aspectratio="t"/>
                  <v:textbox>
                    <w:txbxContent>
                      <w:p>
                        <w:pPr>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eastAsia" w:ascii="新宋体" w:hAnsi="新宋体" w:eastAsia="新宋体" w:cs="新宋体"/>
                            <w:bCs/>
                            <w:sz w:val="24"/>
                            <w:szCs w:val="24"/>
                          </w:rPr>
                        </w:pPr>
                        <w:r>
                          <w:rPr>
                            <w:rFonts w:hint="eastAsia" w:ascii="新宋体" w:hAnsi="新宋体" w:eastAsia="新宋体" w:cs="新宋体"/>
                            <w:bCs/>
                            <w:sz w:val="24"/>
                            <w:szCs w:val="24"/>
                          </w:rPr>
                          <w:t>用工环节合规</w:t>
                        </w:r>
                      </w:p>
                    </w:txbxContent>
                  </v:textbox>
                </v:roundrect>
                <v:roundrect id="_x0000_s1026" o:spid="_x0000_s1026" o:spt="2" style="position:absolute;left:20066;top:8636;height:3333;width:15748;v-text-anchor:middle;" filled="f" stroked="t" coordsize="21600,21600" arcsize="0.166666666666667" o:gfxdata="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nrya74A&#10;AADbAAAADwAAAAAAAAABACAAAAAiAAAAZHJzL2Rvd25yZXYueG1sUEsBAhQAFAAAAAgAh07iQDMv&#10;BZ47AAAAOQAAABAAAAAAAAAAAQAgAAAADQEAAGRycy9zaGFwZXhtbC54bWxQSwUGAAAAAAYABgBb&#10;AQAAtwMAAAAA&#10;">
                  <v:fill on="f" focussize="0,0"/>
                  <v:stroke weight="0.25pt" color="#4F81BD" joinstyle="round"/>
                  <v:imagedata o:title=""/>
                  <o:lock v:ext="edit" text="t" aspectratio="t"/>
                  <v:textbox>
                    <w:txbxContent>
                      <w:p>
                        <w:pPr>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eastAsia" w:ascii="新宋体" w:hAnsi="新宋体" w:eastAsia="新宋体" w:cs="新宋体"/>
                            <w:bCs/>
                            <w:sz w:val="24"/>
                            <w:szCs w:val="24"/>
                          </w:rPr>
                        </w:pPr>
                        <w:r>
                          <w:rPr>
                            <w:rFonts w:hint="eastAsia" w:ascii="新宋体" w:hAnsi="新宋体" w:eastAsia="新宋体" w:cs="新宋体"/>
                            <w:bCs/>
                            <w:sz w:val="24"/>
                            <w:szCs w:val="24"/>
                          </w:rPr>
                          <w:t>离职环节合规</w:t>
                        </w:r>
                      </w:p>
                    </w:txbxContent>
                  </v:textbox>
                </v:roundrect>
                <v:roundrect id="_x0000_s1026" o:spid="_x0000_s1026" o:spt="2" style="position:absolute;left:20193;top:12573;height:3333;width:15621;v-text-anchor:middle;" filled="f" stroked="t" coordsize="21600,21600" arcsize="0.166666666666667" o:gfxdata="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obBy/&#10;AAAA2wAAAA8AAAAAAAAAAQAgAAAAIgAAAGRycy9kb3ducmV2LnhtbFBLAQIUABQAAAAIAIdO4kAz&#10;LwWeOwAAADkAAAAQAAAAAAAAAAEAIAAAAA4BAABkcnMvc2hhcGV4bWwueG1sUEsFBgAAAAAGAAYA&#10;WwEAALgDAAAAAA==&#10;">
                  <v:fill on="f" focussize="0,0"/>
                  <v:stroke weight="0.25pt" color="#4F81BD" joinstyle="round"/>
                  <v:imagedata o:title=""/>
                  <o:lock v:ext="edit" text="t" aspectratio="t"/>
                  <v:textbox>
                    <w:txbxContent>
                      <w:p>
                        <w:pPr>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eastAsia" w:ascii="新宋体" w:hAnsi="新宋体" w:eastAsia="新宋体" w:cs="新宋体"/>
                            <w:bCs/>
                            <w:sz w:val="24"/>
                            <w:szCs w:val="24"/>
                          </w:rPr>
                        </w:pPr>
                        <w:r>
                          <w:rPr>
                            <w:rFonts w:hint="eastAsia" w:ascii="新宋体" w:hAnsi="新宋体" w:eastAsia="新宋体" w:cs="新宋体"/>
                            <w:bCs/>
                            <w:sz w:val="24"/>
                            <w:szCs w:val="24"/>
                          </w:rPr>
                          <w:t>劳动争议解决</w:t>
                        </w:r>
                      </w:p>
                    </w:txbxContent>
                  </v:textbox>
                </v:roundrect>
                <v:shape id="_x0000_s1026" o:spid="_x0000_s1026" o:spt="34" type="#_x0000_t34" style="position:absolute;left:16637;top:7620;height:2857;width:3429;" filled="f" stroked="t" coordsize="21600,21600" o:gfxdata="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peW68AAAA&#10;2wAAAA8AAAAAAAAAAQAgAAAAIgAAAGRycy9kb3ducmV2LnhtbFBLAQIUABQAAAAIAIdO4kAzLwWe&#10;OwAAADkAAAAQAAAAAAAAAAEAIAAAAAsBAABkcnMvc2hhcGV4bWwueG1sUEsFBgAAAAAGAAYAWwEA&#10;ALUDAAAAAA==&#10;" adj="10800">
                  <v:fill on="f" focussize="0,0"/>
                  <v:stroke color="#000000" joinstyle="miter"/>
                  <v:imagedata o:title=""/>
                  <o:lock v:ext="edit" aspectratio="t"/>
                </v:shape>
                <v:shape id="_x0000_s1026" o:spid="_x0000_s1026" o:spt="34" type="#_x0000_t34" style="position:absolute;left:16637;top:7620;height:6572;width:3429;" filled="f" stroked="t" coordsize="21600,21600" o:gfxdata="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AOEavQAA&#10;ANsAAAAPAAAAAAAAAAEAIAAAACIAAABkcnMvZG93bnJldi54bWxQSwECFAAUAAAACACHTuJAMy8F&#10;njsAAAA5AAAAEAAAAAAAAAABACAAAAAMAQAAZHJzL3NoYXBleG1sLnhtbFBLBQYAAAAABgAGAFsB&#10;AAC2AwAAAAA=&#10;" adj="10800">
                  <v:fill on="f" focussize="0,0"/>
                  <v:stroke color="#000000" joinstyle="miter"/>
                  <v:imagedata o:title=""/>
                  <o:lock v:ext="edit" aspectratio="t"/>
                </v:shape>
                <v:shape id="_x0000_s1026" o:spid="_x0000_s1026" o:spt="34" type="#_x0000_t34" style="position:absolute;left:16637;top:1524;flip:y;height:6096;width:3524;" filled="f" stroked="t" coordsize="21600,21600" o:gfxdata="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ka0p&#10;wAAAANsAAAAPAAAAAAAAAAEAIAAAACIAAABkcnMvZG93bnJldi54bWxQSwECFAAUAAAACACHTuJA&#10;My8FnjsAAAA5AAAAEAAAAAAAAAABACAAAAAPAQAAZHJzL3NoYXBleG1sLnhtbFBLBQYAAAAABgAG&#10;AFsBAAC5AwAAAAA=&#10;" adj="10216">
                  <v:fill on="f" focussize="0,0"/>
                  <v:stroke color="#000000" joinstyle="miter"/>
                  <v:imagedata o:title=""/>
                  <o:lock v:ext="edit" aspectratio="t"/>
                </v:shape>
                <v:shape id="_x0000_s1026" o:spid="_x0000_s1026" o:spt="34" type="#_x0000_t34" style="position:absolute;left:16637;top:6096;flip:y;height:1524;width:3524;" filled="f" stroked="t" coordsize="21600,21600" o:gfxdata="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DM16/&#10;AAAA2wAAAA8AAAAAAAAAAQAgAAAAIgAAAGRycy9kb3ducmV2LnhtbFBLAQIUABQAAAAIAIdO4kAz&#10;LwWeOwAAADkAAAAQAAAAAAAAAAEAIAAAAA4BAABkcnMvc2hhcGV4bWwueG1sUEsFBgAAAAAGAAYA&#10;WwEAALgDAAAAAA==&#10;" adj="10216">
                  <v:fill on="f" focussize="0,0"/>
                  <v:stroke color="#000000" joinstyle="miter"/>
                  <v:imagedata o:title=""/>
                  <o:lock v:ext="edit" aspectratio="t"/>
                </v:shape>
              </v:group>
            </w:pict>
          </mc:Fallback>
        </mc:AlternateContent>
      </w:r>
    </w:p>
    <w:p>
      <w:pPr>
        <w:keepNext w:val="0"/>
        <w:keepLines w:val="0"/>
        <w:pageBreakBefore w:val="0"/>
        <w:widowControl w:val="0"/>
        <w:wordWrap/>
        <w:bidi w:val="0"/>
        <w:spacing w:before="227" w:beforeLines="50" w:after="227" w:afterLines="50" w:line="500" w:lineRule="exact"/>
        <w:ind w:firstLine="362" w:firstLineChars="200"/>
        <w:rPr>
          <w:color w:val="000000"/>
          <w:sz w:val="20"/>
          <w:szCs w:val="21"/>
        </w:rPr>
      </w:pPr>
      <w:r>
        <w:rPr>
          <w:sz w:val="20"/>
        </w:rPr>
        <mc:AlternateContent>
          <mc:Choice Requires="wps">
            <w:drawing>
              <wp:anchor distT="0" distB="0" distL="114300" distR="114300" simplePos="0" relativeHeight="251676672" behindDoc="0" locked="0" layoutInCell="1" allowOverlap="1">
                <wp:simplePos x="0" y="0"/>
                <wp:positionH relativeFrom="column">
                  <wp:posOffset>151765</wp:posOffset>
                </wp:positionH>
                <wp:positionV relativeFrom="paragraph">
                  <wp:posOffset>608965</wp:posOffset>
                </wp:positionV>
                <wp:extent cx="1412875" cy="295275"/>
                <wp:effectExtent l="9525" t="9525" r="25400" b="19050"/>
                <wp:wrapNone/>
                <wp:docPr id="57" name="矩形 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TextEdit="1"/>
                      </wps:cNvSpPr>
                      <wps:spPr>
                        <a:xfrm>
                          <a:off x="0" y="0"/>
                          <a:ext cx="1412875" cy="295275"/>
                        </a:xfrm>
                        <a:prstGeom prst="rect">
                          <a:avLst/>
                        </a:prstGeom>
                        <a:solidFill>
                          <a:srgbClr val="FFFFFF"/>
                        </a:solidFill>
                        <a:ln w="19050" cap="flat" cmpd="sng">
                          <a:solidFill>
                            <a:srgbClr val="4F81BD"/>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eastAsia" w:ascii="新宋体" w:hAnsi="新宋体" w:eastAsia="新宋体" w:cs="新宋体"/>
                                <w:bCs/>
                                <w:sz w:val="24"/>
                                <w:szCs w:val="24"/>
                              </w:rPr>
                            </w:pPr>
                            <w:r>
                              <w:rPr>
                                <w:rFonts w:hint="eastAsia" w:ascii="新宋体" w:hAnsi="新宋体" w:eastAsia="新宋体" w:cs="新宋体"/>
                                <w:bCs/>
                                <w:sz w:val="24"/>
                                <w:szCs w:val="24"/>
                              </w:rPr>
                              <w:t>实施与完善</w:t>
                            </w:r>
                          </w:p>
                        </w:txbxContent>
                      </wps:txbx>
                      <wps:bodyPr anchor="ctr" anchorCtr="0" upright="1"/>
                    </wps:wsp>
                  </a:graphicData>
                </a:graphic>
              </wp:anchor>
            </w:drawing>
          </mc:Choice>
          <mc:Fallback>
            <w:pict>
              <v:rect id="_x0000_s1026" o:spid="_x0000_s1026" o:spt="1" style="position:absolute;left:0pt;margin-left:11.95pt;margin-top:47.95pt;height:23.25pt;width:111.25pt;z-index:251676672;v-text-anchor:middle;mso-width-relative:page;mso-height-relative:page;" fillcolor="#FFFFFF" filled="t" stroked="t" coordsize="21600,21600" o:gfxdata="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invY21wAAAAkBAAAPAAAAAAAAAAEAIAAAACIAAABkcnMvZG93bnJldi54bWxQ&#10;SwECFAAUAAAACACHTuJAE2YcVDECAACCBAAADgAAAAAAAAABACAAAAAmAQAAZHJzL2Uyb0RvYy54&#10;bWxQSwUGAAAAAAYABgBZAQAAyQUAAAAA&#10;">
                <v:fill on="t" focussize="0,0"/>
                <v:stroke weight="1.5pt" color="#4F81BD" joinstyle="miter"/>
                <v:imagedata o:title=""/>
                <o:lock v:ext="edit" text="t" aspectratio="t"/>
                <v:textbox>
                  <w:txbxContent>
                    <w:p>
                      <w:pPr>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hint="eastAsia" w:ascii="新宋体" w:hAnsi="新宋体" w:eastAsia="新宋体" w:cs="新宋体"/>
                          <w:bCs/>
                          <w:sz w:val="24"/>
                          <w:szCs w:val="24"/>
                        </w:rPr>
                      </w:pPr>
                      <w:r>
                        <w:rPr>
                          <w:rFonts w:hint="eastAsia" w:ascii="新宋体" w:hAnsi="新宋体" w:eastAsia="新宋体" w:cs="新宋体"/>
                          <w:bCs/>
                          <w:sz w:val="24"/>
                          <w:szCs w:val="24"/>
                        </w:rPr>
                        <w:t>实施与完善</w:t>
                      </w:r>
                    </w:p>
                  </w:txbxContent>
                </v:textbox>
              </v:rect>
            </w:pict>
          </mc:Fallback>
        </mc:AlternateContent>
      </w:r>
      <w:r>
        <w:rPr>
          <w:sz w:val="20"/>
        </w:rPr>
        <mc:AlternateContent>
          <mc:Choice Requires="wps">
            <w:drawing>
              <wp:anchor distT="0" distB="0" distL="114300" distR="114300" simplePos="0" relativeHeight="251675648" behindDoc="0" locked="0" layoutInCell="1" allowOverlap="1">
                <wp:simplePos x="0" y="0"/>
                <wp:positionH relativeFrom="column">
                  <wp:posOffset>853440</wp:posOffset>
                </wp:positionH>
                <wp:positionV relativeFrom="paragraph">
                  <wp:posOffset>395605</wp:posOffset>
                </wp:positionV>
                <wp:extent cx="5080" cy="207010"/>
                <wp:effectExtent l="34925" t="0" r="36195" b="2540"/>
                <wp:wrapNone/>
                <wp:docPr id="55" name="直接箭头连接符 5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080" cy="207010"/>
                        </a:xfrm>
                        <a:prstGeom prst="straightConnector1">
                          <a:avLst/>
                        </a:prstGeom>
                        <a:ln w="1270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67.2pt;margin-top:31.15pt;height:16.3pt;width:0.4pt;z-index:251675648;mso-width-relative:page;mso-height-relative:page;" filled="f" stroked="t" coordsize="21600,21600" o:gfxdata="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A3wIDWAAAA&#10;CQEAAA8AAAAAAAAAAQAgAAAAIgAAAGRycy9kb3ducmV2LnhtbFBLAQIUABQAAAAIAIdO4kDuQP8E&#10;HwIAACQEAAAOAAAAAAAAAAEAIAAAACUBAABkcnMvZTJvRG9jLnhtbFBLBQYAAAAABgAGAFkBAAC2&#10;BQAAAAA=&#10;">
                <v:fill on="f" focussize="0,0"/>
                <v:stroke weight="1pt" color="#000000" joinstyle="round" endarrow="block"/>
                <v:imagedata o:title=""/>
                <o:lock v:ext="edit" aspectratio="t"/>
              </v:shape>
            </w:pict>
          </mc:Fallback>
        </mc:AlternateContent>
      </w:r>
    </w:p>
    <w:p>
      <w:pPr>
        <w:pStyle w:val="3"/>
        <w:keepNext w:val="0"/>
        <w:keepLines w:val="0"/>
        <w:pageBreakBefore w:val="0"/>
        <w:widowControl w:val="0"/>
        <w:wordWrap/>
        <w:bidi w:val="0"/>
        <w:spacing w:before="0" w:after="0" w:line="500" w:lineRule="exact"/>
        <w:ind w:firstLine="522" w:firstLineChars="200"/>
        <w:rPr>
          <w:rFonts w:hint="eastAsia" w:ascii="楷体" w:hAnsi="楷体" w:eastAsia="楷体" w:cs="楷体"/>
          <w:color w:val="000000"/>
          <w:sz w:val="28"/>
          <w:szCs w:val="28"/>
        </w:rPr>
      </w:pPr>
      <w:r>
        <w:rPr>
          <w:rFonts w:hint="eastAsia" w:ascii="楷体" w:hAnsi="楷体" w:eastAsia="楷体" w:cs="楷体"/>
          <w:color w:val="000000"/>
          <w:sz w:val="28"/>
          <w:szCs w:val="28"/>
        </w:rPr>
        <w:t>（三）业务指引使用说明</w:t>
      </w:r>
      <w:bookmarkEnd w:id="71"/>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lang w:eastAsia="zh-CN"/>
        </w:rPr>
      </w:pPr>
      <w:r>
        <w:rPr>
          <w:rFonts w:hint="eastAsia" w:ascii="仿宋_GB2312" w:hAnsi="仿宋" w:eastAsia="仿宋_GB2312" w:cs="仿宋"/>
          <w:color w:val="000000"/>
          <w:sz w:val="28"/>
          <w:szCs w:val="28"/>
          <w:lang w:eastAsia="zh-CN"/>
        </w:rPr>
        <w:t>本业务操作指引以企业用工合规为切入点，从企业用工的基本流程出发，梳理了律师提供劳动人事法律服务时应当注意的要点、可以借鉴的模板范本等，为律师提供用工合规法律服务的业务操作框架与指南。</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lang w:eastAsia="zh-CN"/>
        </w:rPr>
      </w:pPr>
      <w:r>
        <w:rPr>
          <w:rFonts w:hint="eastAsia" w:ascii="仿宋_GB2312" w:hAnsi="仿宋" w:eastAsia="仿宋_GB2312" w:cs="仿宋"/>
          <w:color w:val="000000"/>
          <w:sz w:val="28"/>
          <w:szCs w:val="28"/>
          <w:lang w:eastAsia="zh-CN"/>
        </w:rPr>
        <w:t>本业务指引中的业务流程和范本仅为参考文本，律师在提供法律服务过程中，应当根据企业所处发展阶段、行业及劳动用工情况参照使用。</w:t>
      </w:r>
    </w:p>
    <w:p>
      <w:pPr>
        <w:keepNext w:val="0"/>
        <w:keepLines w:val="0"/>
        <w:pageBreakBefore w:val="0"/>
        <w:widowControl w:val="0"/>
        <w:wordWrap/>
        <w:bidi w:val="0"/>
        <w:spacing w:after="0" w:line="500" w:lineRule="exact"/>
        <w:ind w:firstLine="522" w:firstLineChars="200"/>
        <w:outlineLvl w:val="0"/>
        <w:rPr>
          <w:rFonts w:hint="eastAsia" w:ascii="黑体" w:hAnsi="黑体" w:eastAsia="黑体" w:cs="黑体"/>
          <w:bCs/>
          <w:color w:val="000000"/>
          <w:sz w:val="28"/>
          <w:szCs w:val="28"/>
        </w:rPr>
      </w:pPr>
      <w:bookmarkStart w:id="72" w:name="_Toc75811704"/>
      <w:bookmarkStart w:id="73" w:name="_Toc294"/>
      <w:r>
        <w:rPr>
          <w:rFonts w:hint="eastAsia" w:ascii="黑体" w:hAnsi="黑体" w:eastAsia="黑体" w:cs="黑体"/>
          <w:bCs/>
          <w:color w:val="000000"/>
          <w:sz w:val="28"/>
          <w:szCs w:val="28"/>
        </w:rPr>
        <w:t>二、企业劳动用工法律顾问服务操作指引</w:t>
      </w:r>
      <w:bookmarkEnd w:id="72"/>
      <w:bookmarkEnd w:id="73"/>
    </w:p>
    <w:p>
      <w:pPr>
        <w:pStyle w:val="3"/>
        <w:keepNext w:val="0"/>
        <w:keepLines w:val="0"/>
        <w:pageBreakBefore w:val="0"/>
        <w:widowControl w:val="0"/>
        <w:wordWrap/>
        <w:bidi w:val="0"/>
        <w:spacing w:before="0" w:after="0" w:line="500" w:lineRule="exact"/>
        <w:ind w:firstLine="522" w:firstLineChars="200"/>
        <w:rPr>
          <w:rFonts w:hint="eastAsia" w:ascii="楷体" w:hAnsi="楷体" w:eastAsia="楷体" w:cs="楷体"/>
          <w:color w:val="000000"/>
          <w:sz w:val="28"/>
          <w:szCs w:val="28"/>
        </w:rPr>
      </w:pPr>
      <w:bookmarkStart w:id="74" w:name="_Toc75811705"/>
      <w:r>
        <w:rPr>
          <w:rFonts w:hint="eastAsia" w:ascii="楷体" w:hAnsi="楷体" w:eastAsia="楷体" w:cs="楷体"/>
          <w:color w:val="000000"/>
          <w:sz w:val="28"/>
          <w:szCs w:val="28"/>
        </w:rPr>
        <w:t>（一）劳动人事法治体检</w:t>
      </w:r>
      <w:bookmarkEnd w:id="74"/>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lang w:eastAsia="zh-CN"/>
        </w:rPr>
      </w:pPr>
      <w:r>
        <w:rPr>
          <w:rFonts w:hint="eastAsia" w:ascii="仿宋_GB2312" w:hAnsi="仿宋" w:eastAsia="仿宋_GB2312" w:cs="仿宋"/>
          <w:color w:val="000000"/>
          <w:sz w:val="28"/>
          <w:szCs w:val="28"/>
          <w:lang w:eastAsia="zh-CN"/>
        </w:rPr>
        <w:t>为企业提供用工管理全程法律顾问服务，首先需要充分了解企业用工的现状，结合企业的管理目标与需求，才能帮助企业制定更具针对性、操作性的劳动人事制度。</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lang w:eastAsia="zh-CN"/>
        </w:rPr>
      </w:pPr>
      <w:r>
        <w:rPr>
          <w:rFonts w:hint="eastAsia" w:ascii="仿宋_GB2312" w:hAnsi="仿宋" w:eastAsia="仿宋_GB2312" w:cs="仿宋"/>
          <w:color w:val="000000"/>
          <w:sz w:val="28"/>
          <w:szCs w:val="28"/>
          <w:lang w:eastAsia="zh-CN"/>
        </w:rPr>
        <w:t>律师开展劳动人事法治体检的基本流程：</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lang w:eastAsia="zh-CN"/>
        </w:rPr>
      </w:pPr>
      <w:r>
        <w:rPr>
          <w:rFonts w:hint="eastAsia" w:ascii="仿宋_GB2312" w:hAnsi="仿宋" w:eastAsia="仿宋_GB2312" w:cs="仿宋"/>
          <w:color w:val="000000"/>
          <w:sz w:val="28"/>
          <w:szCs w:val="28"/>
          <w:lang w:eastAsia="zh-CN"/>
        </w:rPr>
        <w:t>——制定法治体检计划并通知企业，与相关人员提前预约时间；</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lang w:eastAsia="zh-CN"/>
        </w:rPr>
      </w:pPr>
      <w:r>
        <w:rPr>
          <w:rFonts w:hint="eastAsia" w:ascii="仿宋_GB2312" w:hAnsi="仿宋" w:eastAsia="仿宋_GB2312" w:cs="仿宋"/>
          <w:color w:val="000000"/>
          <w:sz w:val="28"/>
          <w:szCs w:val="28"/>
          <w:lang w:eastAsia="zh-CN"/>
        </w:rPr>
        <w:t>——至企业调查劳动用工的管理现状，通过访谈、问卷等形式深入了解企业及各部门用工的全面情况以及具体需求；</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lang w:eastAsia="zh-CN"/>
        </w:rPr>
      </w:pPr>
      <w:r>
        <w:rPr>
          <w:rFonts w:hint="eastAsia" w:ascii="仿宋_GB2312" w:hAnsi="仿宋" w:eastAsia="仿宋_GB2312" w:cs="仿宋"/>
          <w:color w:val="000000"/>
          <w:sz w:val="28"/>
          <w:szCs w:val="28"/>
          <w:lang w:eastAsia="zh-CN"/>
        </w:rPr>
        <w:t>——根据调查结果，制定或完善《劳动人事资料收集清单》，并要求企业整理与发送相关资料；</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lang w:eastAsia="zh-CN"/>
        </w:rPr>
      </w:pPr>
      <w:r>
        <w:rPr>
          <w:rFonts w:hint="eastAsia" w:ascii="仿宋_GB2312" w:hAnsi="仿宋" w:eastAsia="仿宋_GB2312" w:cs="仿宋"/>
          <w:color w:val="000000"/>
          <w:sz w:val="28"/>
          <w:szCs w:val="28"/>
          <w:lang w:eastAsia="zh-CN"/>
        </w:rPr>
        <w:t>——依据调查结果，并结合企业所在行业、发展阶段、各部门的管理模式等，出具法治体检报告并提出相关建议。</w:t>
      </w:r>
    </w:p>
    <w:p>
      <w:pPr>
        <w:pStyle w:val="4"/>
        <w:keepNext w:val="0"/>
        <w:keepLines w:val="0"/>
        <w:pageBreakBefore w:val="0"/>
        <w:widowControl w:val="0"/>
        <w:wordWrap/>
        <w:bidi w:val="0"/>
        <w:spacing w:before="0" w:after="0" w:line="500" w:lineRule="exact"/>
        <w:ind w:firstLine="522" w:firstLineChars="200"/>
        <w:rPr>
          <w:rFonts w:hint="eastAsia" w:ascii="仿宋_GB2312" w:hAnsi="仿宋" w:eastAsia="仿宋_GB2312" w:cs="仿宋"/>
          <w:color w:val="000000"/>
          <w:sz w:val="28"/>
          <w:szCs w:val="28"/>
        </w:rPr>
      </w:pPr>
      <w:bookmarkStart w:id="75" w:name="_Toc75811706"/>
      <w:r>
        <w:rPr>
          <w:rFonts w:hint="eastAsia" w:ascii="仿宋_GB2312" w:hAnsi="仿宋" w:eastAsia="仿宋_GB2312" w:cs="仿宋"/>
          <w:color w:val="000000"/>
          <w:sz w:val="28"/>
          <w:szCs w:val="28"/>
        </w:rPr>
        <w:t>1. 访谈及调查</w:t>
      </w:r>
      <w:bookmarkEnd w:id="75"/>
    </w:p>
    <w:tbl>
      <w:tblPr>
        <w:tblStyle w:val="15"/>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666"/>
        <w:gridCol w:w="692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677" w:hRule="atLeast"/>
        </w:trPr>
        <w:tc>
          <w:tcPr>
            <w:tcW w:w="8873" w:type="dxa"/>
            <w:gridSpan w:val="2"/>
            <w:tcBorders>
              <w:top w:val="single" w:color="auto" w:sz="2" w:space="0"/>
              <w:left w:val="single" w:color="auto" w:sz="2" w:space="0"/>
              <w:bottom w:val="single" w:color="auto" w:sz="2" w:space="0"/>
              <w:right w:val="single" w:color="auto" w:sz="2" w:space="0"/>
            </w:tcBorders>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color w:val="000000"/>
                <w:sz w:val="28"/>
                <w:szCs w:val="28"/>
              </w:rPr>
            </w:pPr>
            <w:bookmarkStart w:id="76" w:name="_Toc75811711"/>
            <w:r>
              <w:rPr>
                <w:rFonts w:hint="eastAsia" w:ascii="仿宋_GB2312" w:hAnsi="仿宋" w:eastAsia="仿宋_GB2312" w:cs="仿宋"/>
                <w:color w:val="000000"/>
                <w:sz w:val="28"/>
                <w:szCs w:val="28"/>
              </w:rPr>
              <w:t>《劳动人事法治体检访谈问题清单》</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635" w:hRule="atLeast"/>
        </w:trPr>
        <w:tc>
          <w:tcPr>
            <w:tcW w:w="8873" w:type="dxa"/>
            <w:gridSpan w:val="2"/>
            <w:tcBorders>
              <w:top w:val="single" w:color="auto" w:sz="2" w:space="0"/>
              <w:left w:val="single" w:color="auto" w:sz="2" w:space="0"/>
              <w:bottom w:val="single" w:color="auto" w:sz="2" w:space="0"/>
              <w:right w:val="single" w:color="auto" w:sz="2" w:space="0"/>
            </w:tcBorders>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访谈对象：企业负责人、劳动人事负责人、各部门负责人等</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645" w:hRule="atLeast"/>
        </w:trPr>
        <w:tc>
          <w:tcPr>
            <w:tcW w:w="8873" w:type="dxa"/>
            <w:gridSpan w:val="2"/>
            <w:tcBorders>
              <w:top w:val="single" w:color="auto" w:sz="2" w:space="0"/>
              <w:left w:val="single" w:color="auto" w:sz="2" w:space="0"/>
              <w:bottom w:val="single" w:color="auto" w:sz="2" w:space="0"/>
              <w:right w:val="single" w:color="auto" w:sz="2" w:space="0"/>
            </w:tcBorders>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color w:val="000000"/>
                <w:sz w:val="28"/>
                <w:szCs w:val="28"/>
              </w:rPr>
              <w:t>招聘入职管理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50" w:hRule="atLeast"/>
        </w:trPr>
        <w:tc>
          <w:tcPr>
            <w:tcW w:w="701" w:type="dxa"/>
            <w:tcBorders>
              <w:top w:val="single" w:color="auto" w:sz="2" w:space="0"/>
            </w:tcBorders>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1</w:t>
            </w:r>
          </w:p>
        </w:tc>
        <w:tc>
          <w:tcPr>
            <w:tcW w:w="8172" w:type="dxa"/>
            <w:tcBorders>
              <w:top w:val="single" w:color="auto" w:sz="2" w:space="0"/>
            </w:tcBorders>
            <w:noWrap w:val="0"/>
            <w:vAlign w:val="center"/>
          </w:tcPr>
          <w:p>
            <w:pPr>
              <w:pStyle w:val="4"/>
              <w:keepNext w:val="0"/>
              <w:keepLines w:val="0"/>
              <w:pageBreakBefore w:val="0"/>
              <w:widowControl w:val="0"/>
              <w:wordWrap/>
              <w:bidi w:val="0"/>
              <w:spacing w:before="0" w:after="0" w:line="500" w:lineRule="exact"/>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贵司的人员招聘、入职离职工作是否由人力资源部门统一进行？</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10" w:hRule="atLeast"/>
        </w:trPr>
        <w:tc>
          <w:tcPr>
            <w:tcW w:w="701" w:type="dxa"/>
            <w:noWrap w:val="0"/>
            <w:vAlign w:val="center"/>
          </w:tcPr>
          <w:p>
            <w:pPr>
              <w:pStyle w:val="4"/>
              <w:keepNext w:val="0"/>
              <w:keepLines w:val="0"/>
              <w:pageBreakBefore w:val="0"/>
              <w:widowControl w:val="0"/>
              <w:tabs>
                <w:tab w:val="center" w:pos="445"/>
              </w:tabs>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2</w:t>
            </w:r>
          </w:p>
        </w:tc>
        <w:tc>
          <w:tcPr>
            <w:tcW w:w="8172" w:type="dxa"/>
            <w:noWrap w:val="0"/>
            <w:vAlign w:val="center"/>
          </w:tcPr>
          <w:p>
            <w:pPr>
              <w:pStyle w:val="4"/>
              <w:keepNext w:val="0"/>
              <w:keepLines w:val="0"/>
              <w:pageBreakBefore w:val="0"/>
              <w:widowControl w:val="0"/>
              <w:wordWrap/>
              <w:bidi w:val="0"/>
              <w:spacing w:before="0" w:after="0" w:line="500" w:lineRule="exact"/>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贵司决定录用员工后，是否给员工发放书面录用通知书？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50" w:hRule="atLeast"/>
        </w:trPr>
        <w:tc>
          <w:tcPr>
            <w:tcW w:w="701"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3</w:t>
            </w:r>
          </w:p>
        </w:tc>
        <w:tc>
          <w:tcPr>
            <w:tcW w:w="8172" w:type="dxa"/>
            <w:noWrap w:val="0"/>
            <w:vAlign w:val="center"/>
          </w:tcPr>
          <w:p>
            <w:pPr>
              <w:pStyle w:val="4"/>
              <w:keepNext w:val="0"/>
              <w:keepLines w:val="0"/>
              <w:pageBreakBefore w:val="0"/>
              <w:widowControl w:val="0"/>
              <w:wordWrap/>
              <w:bidi w:val="0"/>
              <w:spacing w:before="0" w:after="0" w:line="500" w:lineRule="exact"/>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贵司是否对拟录用重点员工（涉密、高管、高级技术人员等）进行背景调查？</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10" w:hRule="atLeast"/>
        </w:trPr>
        <w:tc>
          <w:tcPr>
            <w:tcW w:w="701"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4</w:t>
            </w:r>
          </w:p>
        </w:tc>
        <w:tc>
          <w:tcPr>
            <w:tcW w:w="8172" w:type="dxa"/>
            <w:noWrap w:val="0"/>
            <w:vAlign w:val="center"/>
          </w:tcPr>
          <w:p>
            <w:pPr>
              <w:pStyle w:val="4"/>
              <w:keepNext w:val="0"/>
              <w:keepLines w:val="0"/>
              <w:pageBreakBefore w:val="0"/>
              <w:widowControl w:val="0"/>
              <w:wordWrap/>
              <w:bidi w:val="0"/>
              <w:spacing w:before="0" w:after="0" w:line="500" w:lineRule="exact"/>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贵司是否要求入职员工提供担保或向其收取保证金？</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50" w:hRule="atLeast"/>
        </w:trPr>
        <w:tc>
          <w:tcPr>
            <w:tcW w:w="701"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5</w:t>
            </w:r>
          </w:p>
        </w:tc>
        <w:tc>
          <w:tcPr>
            <w:tcW w:w="8172" w:type="dxa"/>
            <w:noWrap w:val="0"/>
            <w:vAlign w:val="center"/>
          </w:tcPr>
          <w:p>
            <w:pPr>
              <w:pStyle w:val="4"/>
              <w:keepNext w:val="0"/>
              <w:keepLines w:val="0"/>
              <w:pageBreakBefore w:val="0"/>
              <w:widowControl w:val="0"/>
              <w:wordWrap/>
              <w:bidi w:val="0"/>
              <w:spacing w:before="0" w:after="0" w:line="500" w:lineRule="exact"/>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贵司对哪些员工进行了入职体检？</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50" w:hRule="atLeast"/>
        </w:trPr>
        <w:tc>
          <w:tcPr>
            <w:tcW w:w="701"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6</w:t>
            </w:r>
          </w:p>
        </w:tc>
        <w:tc>
          <w:tcPr>
            <w:tcW w:w="8172" w:type="dxa"/>
            <w:noWrap w:val="0"/>
            <w:vAlign w:val="center"/>
          </w:tcPr>
          <w:p>
            <w:pPr>
              <w:pStyle w:val="4"/>
              <w:keepNext w:val="0"/>
              <w:keepLines w:val="0"/>
              <w:pageBreakBefore w:val="0"/>
              <w:widowControl w:val="0"/>
              <w:wordWrap/>
              <w:bidi w:val="0"/>
              <w:spacing w:before="0" w:after="0" w:line="500" w:lineRule="exact"/>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贵司是否要求入职员工在身份证、学位证等证件的复印件资料上签字确认？</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695" w:hRule="atLeast"/>
        </w:trPr>
        <w:tc>
          <w:tcPr>
            <w:tcW w:w="701"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7</w:t>
            </w:r>
          </w:p>
        </w:tc>
        <w:tc>
          <w:tcPr>
            <w:tcW w:w="8172" w:type="dxa"/>
            <w:noWrap w:val="0"/>
            <w:vAlign w:val="center"/>
          </w:tcPr>
          <w:p>
            <w:pPr>
              <w:pStyle w:val="4"/>
              <w:keepNext w:val="0"/>
              <w:keepLines w:val="0"/>
              <w:pageBreakBefore w:val="0"/>
              <w:widowControl w:val="0"/>
              <w:wordWrap/>
              <w:bidi w:val="0"/>
              <w:spacing w:before="0" w:after="0" w:line="500" w:lineRule="exact"/>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贵司在招用劳动者时，向员工告知了哪些内容？</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25" w:hRule="atLeast"/>
        </w:trPr>
        <w:tc>
          <w:tcPr>
            <w:tcW w:w="701"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8</w:t>
            </w:r>
          </w:p>
        </w:tc>
        <w:tc>
          <w:tcPr>
            <w:tcW w:w="8172" w:type="dxa"/>
            <w:noWrap w:val="0"/>
            <w:vAlign w:val="center"/>
          </w:tcPr>
          <w:p>
            <w:pPr>
              <w:pStyle w:val="4"/>
              <w:keepNext w:val="0"/>
              <w:keepLines w:val="0"/>
              <w:pageBreakBefore w:val="0"/>
              <w:widowControl w:val="0"/>
              <w:wordWrap/>
              <w:bidi w:val="0"/>
              <w:spacing w:before="0" w:after="0" w:line="500" w:lineRule="exact"/>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员工入职时，贵司要求其提交下列哪些资料？</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50" w:hRule="atLeast"/>
        </w:trPr>
        <w:tc>
          <w:tcPr>
            <w:tcW w:w="701"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9</w:t>
            </w:r>
          </w:p>
        </w:tc>
        <w:tc>
          <w:tcPr>
            <w:tcW w:w="8172" w:type="dxa"/>
            <w:noWrap w:val="0"/>
            <w:vAlign w:val="center"/>
          </w:tcPr>
          <w:p>
            <w:pPr>
              <w:pStyle w:val="4"/>
              <w:keepNext w:val="0"/>
              <w:keepLines w:val="0"/>
              <w:pageBreakBefore w:val="0"/>
              <w:widowControl w:val="0"/>
              <w:wordWrap/>
              <w:bidi w:val="0"/>
              <w:spacing w:before="0" w:after="0" w:line="500" w:lineRule="exact"/>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贵司目前使用的《员工入职登记表》中包含下列哪些内容？</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665" w:hRule="atLeast"/>
        </w:trPr>
        <w:tc>
          <w:tcPr>
            <w:tcW w:w="8873" w:type="dxa"/>
            <w:gridSpan w:val="2"/>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劳动合同管理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665" w:hRule="atLeast"/>
        </w:trPr>
        <w:tc>
          <w:tcPr>
            <w:tcW w:w="701"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1</w:t>
            </w:r>
          </w:p>
        </w:tc>
        <w:tc>
          <w:tcPr>
            <w:tcW w:w="8172" w:type="dxa"/>
            <w:noWrap w:val="0"/>
            <w:vAlign w:val="center"/>
          </w:tcPr>
          <w:p>
            <w:pPr>
              <w:pStyle w:val="4"/>
              <w:keepNext w:val="0"/>
              <w:keepLines w:val="0"/>
              <w:pageBreakBefore w:val="0"/>
              <w:widowControl w:val="0"/>
              <w:wordWrap/>
              <w:bidi w:val="0"/>
              <w:spacing w:before="0" w:after="0" w:line="500" w:lineRule="exact"/>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贵司是否建立了劳动合同台账并及时更新？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665" w:hRule="atLeast"/>
        </w:trPr>
        <w:tc>
          <w:tcPr>
            <w:tcW w:w="701"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2</w:t>
            </w:r>
          </w:p>
        </w:tc>
        <w:tc>
          <w:tcPr>
            <w:tcW w:w="8172" w:type="dxa"/>
            <w:noWrap w:val="0"/>
            <w:vAlign w:val="center"/>
          </w:tcPr>
          <w:p>
            <w:pPr>
              <w:pStyle w:val="4"/>
              <w:keepNext w:val="0"/>
              <w:keepLines w:val="0"/>
              <w:pageBreakBefore w:val="0"/>
              <w:widowControl w:val="0"/>
              <w:wordWrap/>
              <w:bidi w:val="0"/>
              <w:spacing w:before="0" w:after="0" w:line="500" w:lineRule="exact"/>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贵司与员工如何约定试用期期限？</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40" w:hRule="atLeast"/>
        </w:trPr>
        <w:tc>
          <w:tcPr>
            <w:tcW w:w="701"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3</w:t>
            </w:r>
          </w:p>
        </w:tc>
        <w:tc>
          <w:tcPr>
            <w:tcW w:w="8172" w:type="dxa"/>
            <w:noWrap w:val="0"/>
            <w:vAlign w:val="center"/>
          </w:tcPr>
          <w:p>
            <w:pPr>
              <w:pStyle w:val="4"/>
              <w:keepNext w:val="0"/>
              <w:keepLines w:val="0"/>
              <w:pageBreakBefore w:val="0"/>
              <w:widowControl w:val="0"/>
              <w:wordWrap/>
              <w:bidi w:val="0"/>
              <w:spacing w:before="0" w:after="0" w:line="500" w:lineRule="exact"/>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贵司如何处理拒签劳动合同的员工？</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25" w:hRule="atLeast"/>
        </w:trPr>
        <w:tc>
          <w:tcPr>
            <w:tcW w:w="701"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4</w:t>
            </w:r>
          </w:p>
        </w:tc>
        <w:tc>
          <w:tcPr>
            <w:tcW w:w="8172" w:type="dxa"/>
            <w:noWrap w:val="0"/>
            <w:vAlign w:val="center"/>
          </w:tcPr>
          <w:p>
            <w:pPr>
              <w:pStyle w:val="4"/>
              <w:keepNext w:val="0"/>
              <w:keepLines w:val="0"/>
              <w:pageBreakBefore w:val="0"/>
              <w:widowControl w:val="0"/>
              <w:wordWrap/>
              <w:bidi w:val="0"/>
              <w:spacing w:before="0" w:after="0" w:line="500" w:lineRule="exact"/>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贵司何时与劳动者签订书面劳动合同？</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680" w:hRule="atLeast"/>
        </w:trPr>
        <w:tc>
          <w:tcPr>
            <w:tcW w:w="701"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5</w:t>
            </w:r>
          </w:p>
        </w:tc>
        <w:tc>
          <w:tcPr>
            <w:tcW w:w="8172" w:type="dxa"/>
            <w:noWrap w:val="0"/>
            <w:vAlign w:val="center"/>
          </w:tcPr>
          <w:p>
            <w:pPr>
              <w:pStyle w:val="4"/>
              <w:keepNext w:val="0"/>
              <w:keepLines w:val="0"/>
              <w:pageBreakBefore w:val="0"/>
              <w:widowControl w:val="0"/>
              <w:wordWrap/>
              <w:bidi w:val="0"/>
              <w:spacing w:before="0" w:after="0" w:line="500" w:lineRule="exact"/>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贵司是否与劳动者当面签订或续订劳动合同？</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cantSplit/>
          <w:trHeight w:val="665" w:hRule="atLeast"/>
        </w:trPr>
        <w:tc>
          <w:tcPr>
            <w:tcW w:w="701"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6</w:t>
            </w:r>
          </w:p>
        </w:tc>
        <w:tc>
          <w:tcPr>
            <w:tcW w:w="8172" w:type="dxa"/>
            <w:noWrap w:val="0"/>
            <w:vAlign w:val="center"/>
          </w:tcPr>
          <w:p>
            <w:pPr>
              <w:pStyle w:val="4"/>
              <w:keepNext w:val="0"/>
              <w:keepLines w:val="0"/>
              <w:pageBreakBefore w:val="0"/>
              <w:widowControl w:val="0"/>
              <w:wordWrap/>
              <w:bidi w:val="0"/>
              <w:spacing w:before="0" w:after="0" w:line="500" w:lineRule="exact"/>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劳动合同期满，贵司何时通知员工劳动合同终止？</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10" w:hRule="atLeast"/>
        </w:trPr>
        <w:tc>
          <w:tcPr>
            <w:tcW w:w="701"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7</w:t>
            </w:r>
          </w:p>
        </w:tc>
        <w:tc>
          <w:tcPr>
            <w:tcW w:w="8172" w:type="dxa"/>
            <w:noWrap w:val="0"/>
            <w:vAlign w:val="center"/>
          </w:tcPr>
          <w:p>
            <w:pPr>
              <w:pStyle w:val="4"/>
              <w:keepNext w:val="0"/>
              <w:keepLines w:val="0"/>
              <w:pageBreakBefore w:val="0"/>
              <w:widowControl w:val="0"/>
              <w:wordWrap/>
              <w:bidi w:val="0"/>
              <w:spacing w:before="0" w:after="0" w:line="500" w:lineRule="exact"/>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劳动合同期满，贵司何时与员工续签劳动合同？</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635" w:hRule="atLeast"/>
        </w:trPr>
        <w:tc>
          <w:tcPr>
            <w:tcW w:w="701"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8</w:t>
            </w:r>
          </w:p>
        </w:tc>
        <w:tc>
          <w:tcPr>
            <w:tcW w:w="8172" w:type="dxa"/>
            <w:noWrap w:val="0"/>
            <w:vAlign w:val="center"/>
          </w:tcPr>
          <w:p>
            <w:pPr>
              <w:pStyle w:val="4"/>
              <w:keepNext w:val="0"/>
              <w:keepLines w:val="0"/>
              <w:pageBreakBefore w:val="0"/>
              <w:widowControl w:val="0"/>
              <w:wordWrap/>
              <w:bidi w:val="0"/>
              <w:spacing w:before="0" w:after="0" w:line="500" w:lineRule="exact"/>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贵司劳动合同中是否对员工的文书送达地址予以确认？</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680" w:hRule="atLeast"/>
        </w:trPr>
        <w:tc>
          <w:tcPr>
            <w:tcW w:w="8873" w:type="dxa"/>
            <w:gridSpan w:val="2"/>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薪酬福利</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680" w:hRule="atLeast"/>
        </w:trPr>
        <w:tc>
          <w:tcPr>
            <w:tcW w:w="701"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1</w:t>
            </w:r>
          </w:p>
        </w:tc>
        <w:tc>
          <w:tcPr>
            <w:tcW w:w="8172" w:type="dxa"/>
            <w:noWrap w:val="0"/>
            <w:vAlign w:val="center"/>
          </w:tcPr>
          <w:p>
            <w:pPr>
              <w:pStyle w:val="4"/>
              <w:keepNext w:val="0"/>
              <w:keepLines w:val="0"/>
              <w:pageBreakBefore w:val="0"/>
              <w:widowControl w:val="0"/>
              <w:wordWrap/>
              <w:bidi w:val="0"/>
              <w:spacing w:before="0" w:after="0" w:line="500" w:lineRule="exact"/>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贵司采取何种形式的薪酬制度？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635" w:hRule="atLeast"/>
        </w:trPr>
        <w:tc>
          <w:tcPr>
            <w:tcW w:w="701"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2</w:t>
            </w:r>
          </w:p>
        </w:tc>
        <w:tc>
          <w:tcPr>
            <w:tcW w:w="8172" w:type="dxa"/>
            <w:noWrap w:val="0"/>
            <w:vAlign w:val="center"/>
          </w:tcPr>
          <w:p>
            <w:pPr>
              <w:pStyle w:val="4"/>
              <w:keepNext w:val="0"/>
              <w:keepLines w:val="0"/>
              <w:pageBreakBefore w:val="0"/>
              <w:widowControl w:val="0"/>
              <w:wordWrap/>
              <w:bidi w:val="0"/>
              <w:spacing w:before="0" w:after="0" w:line="500" w:lineRule="exact"/>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贵司如何为员工计算加班费?</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10" w:hRule="atLeast"/>
        </w:trPr>
        <w:tc>
          <w:tcPr>
            <w:tcW w:w="701"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3</w:t>
            </w:r>
          </w:p>
        </w:tc>
        <w:tc>
          <w:tcPr>
            <w:tcW w:w="8172" w:type="dxa"/>
            <w:noWrap w:val="0"/>
            <w:vAlign w:val="center"/>
          </w:tcPr>
          <w:p>
            <w:pPr>
              <w:pStyle w:val="4"/>
              <w:keepNext w:val="0"/>
              <w:keepLines w:val="0"/>
              <w:pageBreakBefore w:val="0"/>
              <w:widowControl w:val="0"/>
              <w:wordWrap/>
              <w:bidi w:val="0"/>
              <w:spacing w:before="0" w:after="0" w:line="500" w:lineRule="exact"/>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贵司是否设定了薪随岗变的薪酬模式?</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55" w:hRule="atLeast"/>
        </w:trPr>
        <w:tc>
          <w:tcPr>
            <w:tcW w:w="701"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4</w:t>
            </w:r>
          </w:p>
        </w:tc>
        <w:tc>
          <w:tcPr>
            <w:tcW w:w="8172" w:type="dxa"/>
            <w:noWrap w:val="0"/>
            <w:vAlign w:val="center"/>
          </w:tcPr>
          <w:p>
            <w:pPr>
              <w:pStyle w:val="4"/>
              <w:keepNext w:val="0"/>
              <w:keepLines w:val="0"/>
              <w:pageBreakBefore w:val="0"/>
              <w:widowControl w:val="0"/>
              <w:wordWrap/>
              <w:bidi w:val="0"/>
              <w:spacing w:before="0" w:after="0" w:line="500" w:lineRule="exact"/>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贵司在劳动合同中如何约定发放工资的时间?</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10" w:hRule="atLeast"/>
        </w:trPr>
        <w:tc>
          <w:tcPr>
            <w:tcW w:w="701"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5</w:t>
            </w:r>
          </w:p>
        </w:tc>
        <w:tc>
          <w:tcPr>
            <w:tcW w:w="8172" w:type="dxa"/>
            <w:noWrap w:val="0"/>
            <w:vAlign w:val="center"/>
          </w:tcPr>
          <w:p>
            <w:pPr>
              <w:pStyle w:val="4"/>
              <w:keepNext w:val="0"/>
              <w:keepLines w:val="0"/>
              <w:pageBreakBefore w:val="0"/>
              <w:widowControl w:val="0"/>
              <w:wordWrap/>
              <w:bidi w:val="0"/>
              <w:spacing w:before="0" w:after="0" w:line="500" w:lineRule="exact"/>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贵司是否要求员工对工资结构及金额予以书面确认?</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695" w:hRule="atLeast"/>
        </w:trPr>
        <w:tc>
          <w:tcPr>
            <w:tcW w:w="701"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6</w:t>
            </w:r>
          </w:p>
        </w:tc>
        <w:tc>
          <w:tcPr>
            <w:tcW w:w="8172" w:type="dxa"/>
            <w:noWrap w:val="0"/>
            <w:vAlign w:val="center"/>
          </w:tcPr>
          <w:p>
            <w:pPr>
              <w:pStyle w:val="4"/>
              <w:keepNext w:val="0"/>
              <w:keepLines w:val="0"/>
              <w:pageBreakBefore w:val="0"/>
              <w:widowControl w:val="0"/>
              <w:wordWrap/>
              <w:bidi w:val="0"/>
              <w:spacing w:before="0" w:after="0" w:line="500" w:lineRule="exact"/>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贵司对计件工资是否设定工作定额和计件报酬？</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40" w:hRule="atLeast"/>
        </w:trPr>
        <w:tc>
          <w:tcPr>
            <w:tcW w:w="701"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7</w:t>
            </w:r>
          </w:p>
        </w:tc>
        <w:tc>
          <w:tcPr>
            <w:tcW w:w="8172" w:type="dxa"/>
            <w:noWrap w:val="0"/>
            <w:vAlign w:val="center"/>
          </w:tcPr>
          <w:p>
            <w:pPr>
              <w:pStyle w:val="4"/>
              <w:keepNext w:val="0"/>
              <w:keepLines w:val="0"/>
              <w:pageBreakBefore w:val="0"/>
              <w:widowControl w:val="0"/>
              <w:wordWrap/>
              <w:bidi w:val="0"/>
              <w:spacing w:before="0" w:after="0" w:line="500" w:lineRule="exact"/>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员工因个人原因造成公司重大损失的，贵司如何处理？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620" w:hRule="atLeast"/>
        </w:trPr>
        <w:tc>
          <w:tcPr>
            <w:tcW w:w="701"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8</w:t>
            </w:r>
          </w:p>
        </w:tc>
        <w:tc>
          <w:tcPr>
            <w:tcW w:w="8172" w:type="dxa"/>
            <w:noWrap w:val="0"/>
            <w:vAlign w:val="center"/>
          </w:tcPr>
          <w:p>
            <w:pPr>
              <w:pStyle w:val="4"/>
              <w:keepNext w:val="0"/>
              <w:keepLines w:val="0"/>
              <w:pageBreakBefore w:val="0"/>
              <w:widowControl w:val="0"/>
              <w:wordWrap/>
              <w:bidi w:val="0"/>
              <w:spacing w:before="0" w:after="0" w:line="500" w:lineRule="exact"/>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贵司是否保存了两年内的全部工资台账？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695" w:hRule="atLeast"/>
        </w:trPr>
        <w:tc>
          <w:tcPr>
            <w:tcW w:w="701"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9</w:t>
            </w:r>
          </w:p>
        </w:tc>
        <w:tc>
          <w:tcPr>
            <w:tcW w:w="8172" w:type="dxa"/>
            <w:noWrap w:val="0"/>
            <w:vAlign w:val="center"/>
          </w:tcPr>
          <w:p>
            <w:pPr>
              <w:pStyle w:val="4"/>
              <w:keepNext w:val="0"/>
              <w:keepLines w:val="0"/>
              <w:pageBreakBefore w:val="0"/>
              <w:widowControl w:val="0"/>
              <w:wordWrap/>
              <w:bidi w:val="0"/>
              <w:spacing w:before="0" w:after="0" w:line="500" w:lineRule="exact"/>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贵司还有哪些福利制度？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695" w:hRule="atLeast"/>
        </w:trPr>
        <w:tc>
          <w:tcPr>
            <w:tcW w:w="8873" w:type="dxa"/>
            <w:gridSpan w:val="2"/>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工作时间与休息休假</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60" w:hRule="atLeast"/>
        </w:trPr>
        <w:tc>
          <w:tcPr>
            <w:tcW w:w="701"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1</w:t>
            </w:r>
          </w:p>
        </w:tc>
        <w:tc>
          <w:tcPr>
            <w:tcW w:w="8172" w:type="dxa"/>
            <w:noWrap w:val="0"/>
            <w:vAlign w:val="center"/>
          </w:tcPr>
          <w:p>
            <w:pPr>
              <w:pStyle w:val="4"/>
              <w:keepNext w:val="0"/>
              <w:keepLines w:val="0"/>
              <w:pageBreakBefore w:val="0"/>
              <w:widowControl w:val="0"/>
              <w:wordWrap/>
              <w:bidi w:val="0"/>
              <w:spacing w:before="0" w:after="0" w:line="500" w:lineRule="exact"/>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贵司实行不定时工作制或综合计算工时制是否经过劳动行政批准？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50" w:hRule="atLeast"/>
        </w:trPr>
        <w:tc>
          <w:tcPr>
            <w:tcW w:w="701"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2</w:t>
            </w:r>
          </w:p>
        </w:tc>
        <w:tc>
          <w:tcPr>
            <w:tcW w:w="8172" w:type="dxa"/>
            <w:noWrap w:val="0"/>
            <w:vAlign w:val="center"/>
          </w:tcPr>
          <w:p>
            <w:pPr>
              <w:pStyle w:val="4"/>
              <w:keepNext w:val="0"/>
              <w:keepLines w:val="0"/>
              <w:pageBreakBefore w:val="0"/>
              <w:widowControl w:val="0"/>
              <w:wordWrap/>
              <w:bidi w:val="0"/>
              <w:spacing w:before="0" w:after="0" w:line="500" w:lineRule="exact"/>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实行综合计算工时制的员工，在非节假日加班的，贵司如何为其计算加班费用？</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50" w:hRule="atLeast"/>
        </w:trPr>
        <w:tc>
          <w:tcPr>
            <w:tcW w:w="701"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3</w:t>
            </w:r>
          </w:p>
        </w:tc>
        <w:tc>
          <w:tcPr>
            <w:tcW w:w="8172" w:type="dxa"/>
            <w:noWrap w:val="0"/>
            <w:vAlign w:val="center"/>
          </w:tcPr>
          <w:p>
            <w:pPr>
              <w:pStyle w:val="4"/>
              <w:keepNext w:val="0"/>
              <w:keepLines w:val="0"/>
              <w:pageBreakBefore w:val="0"/>
              <w:widowControl w:val="0"/>
              <w:wordWrap/>
              <w:bidi w:val="0"/>
              <w:spacing w:before="0" w:after="0" w:line="500" w:lineRule="exact"/>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贵司对实行标准工时制的员工的工作时间有无明确规定，是否建立了加班审批制度？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50" w:hRule="atLeast"/>
        </w:trPr>
        <w:tc>
          <w:tcPr>
            <w:tcW w:w="701"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4</w:t>
            </w:r>
          </w:p>
        </w:tc>
        <w:tc>
          <w:tcPr>
            <w:tcW w:w="8172" w:type="dxa"/>
            <w:noWrap w:val="0"/>
            <w:vAlign w:val="center"/>
          </w:tcPr>
          <w:p>
            <w:pPr>
              <w:pStyle w:val="4"/>
              <w:keepNext w:val="0"/>
              <w:keepLines w:val="0"/>
              <w:pageBreakBefore w:val="0"/>
              <w:widowControl w:val="0"/>
              <w:wordWrap/>
              <w:bidi w:val="0"/>
              <w:spacing w:before="0" w:after="0" w:line="500" w:lineRule="exact"/>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贵司考勤管理规定中是否针对出勤（迟到、早退、事假、旷工等）设计了量化的惩罚标准？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50" w:hRule="atLeast"/>
        </w:trPr>
        <w:tc>
          <w:tcPr>
            <w:tcW w:w="701"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5</w:t>
            </w:r>
          </w:p>
        </w:tc>
        <w:tc>
          <w:tcPr>
            <w:tcW w:w="8172" w:type="dxa"/>
            <w:noWrap w:val="0"/>
            <w:vAlign w:val="center"/>
          </w:tcPr>
          <w:p>
            <w:pPr>
              <w:pStyle w:val="4"/>
              <w:keepNext w:val="0"/>
              <w:keepLines w:val="0"/>
              <w:pageBreakBefore w:val="0"/>
              <w:widowControl w:val="0"/>
              <w:wordWrap/>
              <w:bidi w:val="0"/>
              <w:spacing w:before="0" w:after="0" w:line="500" w:lineRule="exact"/>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员工在享受了探亲假、婚丧假、产假的情况下，贵司是否还允许其享受带薪年休假？</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50" w:hRule="atLeast"/>
        </w:trPr>
        <w:tc>
          <w:tcPr>
            <w:tcW w:w="701"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6</w:t>
            </w:r>
          </w:p>
        </w:tc>
        <w:tc>
          <w:tcPr>
            <w:tcW w:w="8172" w:type="dxa"/>
            <w:noWrap w:val="0"/>
            <w:vAlign w:val="center"/>
          </w:tcPr>
          <w:p>
            <w:pPr>
              <w:pStyle w:val="4"/>
              <w:keepNext w:val="0"/>
              <w:keepLines w:val="0"/>
              <w:pageBreakBefore w:val="0"/>
              <w:widowControl w:val="0"/>
              <w:wordWrap/>
              <w:bidi w:val="0"/>
              <w:spacing w:before="0" w:after="0" w:line="500" w:lineRule="exact"/>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员工离职时，贵司是否将其应休未休带薪年休假折算成工资报酬发放？</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cantSplit/>
          <w:trHeight w:val="850" w:hRule="atLeast"/>
        </w:trPr>
        <w:tc>
          <w:tcPr>
            <w:tcW w:w="701"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7</w:t>
            </w:r>
          </w:p>
        </w:tc>
        <w:tc>
          <w:tcPr>
            <w:tcW w:w="8172" w:type="dxa"/>
            <w:noWrap w:val="0"/>
            <w:vAlign w:val="center"/>
          </w:tcPr>
          <w:p>
            <w:pPr>
              <w:pStyle w:val="4"/>
              <w:keepNext w:val="0"/>
              <w:keepLines w:val="0"/>
              <w:pageBreakBefore w:val="0"/>
              <w:widowControl w:val="0"/>
              <w:wordWrap/>
              <w:bidi w:val="0"/>
              <w:spacing w:before="0" w:after="0" w:line="500" w:lineRule="exact"/>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在职员工年终存在应休未休带薪年休假的，贵司通常如何处置？</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680" w:hRule="atLeast"/>
        </w:trPr>
        <w:tc>
          <w:tcPr>
            <w:tcW w:w="701"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8</w:t>
            </w:r>
          </w:p>
        </w:tc>
        <w:tc>
          <w:tcPr>
            <w:tcW w:w="8172" w:type="dxa"/>
            <w:noWrap w:val="0"/>
            <w:vAlign w:val="center"/>
          </w:tcPr>
          <w:p>
            <w:pPr>
              <w:pStyle w:val="4"/>
              <w:keepNext w:val="0"/>
              <w:keepLines w:val="0"/>
              <w:pageBreakBefore w:val="0"/>
              <w:widowControl w:val="0"/>
              <w:wordWrap/>
              <w:bidi w:val="0"/>
              <w:spacing w:before="0" w:after="0" w:line="500" w:lineRule="exact"/>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员工请病假时，贵司要求员工提供哪些材料？</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70" w:hRule="atLeast"/>
        </w:trPr>
        <w:tc>
          <w:tcPr>
            <w:tcW w:w="701"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9</w:t>
            </w:r>
          </w:p>
        </w:tc>
        <w:tc>
          <w:tcPr>
            <w:tcW w:w="8172" w:type="dxa"/>
            <w:noWrap w:val="0"/>
            <w:vAlign w:val="center"/>
          </w:tcPr>
          <w:p>
            <w:pPr>
              <w:pStyle w:val="4"/>
              <w:keepNext w:val="0"/>
              <w:keepLines w:val="0"/>
              <w:pageBreakBefore w:val="0"/>
              <w:widowControl w:val="0"/>
              <w:wordWrap/>
              <w:bidi w:val="0"/>
              <w:spacing w:before="0" w:after="0" w:line="500" w:lineRule="exact"/>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贵司是否有值班制度的规定?</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50" w:hRule="atLeast"/>
        </w:trPr>
        <w:tc>
          <w:tcPr>
            <w:tcW w:w="701"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10</w:t>
            </w:r>
          </w:p>
        </w:tc>
        <w:tc>
          <w:tcPr>
            <w:tcW w:w="8172" w:type="dxa"/>
            <w:noWrap w:val="0"/>
            <w:vAlign w:val="center"/>
          </w:tcPr>
          <w:p>
            <w:pPr>
              <w:pStyle w:val="4"/>
              <w:keepNext w:val="0"/>
              <w:keepLines w:val="0"/>
              <w:pageBreakBefore w:val="0"/>
              <w:widowControl w:val="0"/>
              <w:wordWrap/>
              <w:bidi w:val="0"/>
              <w:spacing w:before="0" w:after="0" w:line="500" w:lineRule="exact"/>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怀孕女职工在劳动时间内进行产前检查的，贵司是否按正常出勤向其支付工资?</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25" w:hRule="atLeast"/>
        </w:trPr>
        <w:tc>
          <w:tcPr>
            <w:tcW w:w="8873" w:type="dxa"/>
            <w:gridSpan w:val="2"/>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color w:val="000000"/>
                <w:sz w:val="28"/>
                <w:szCs w:val="28"/>
              </w:rPr>
              <w:t>保密、竞业限制与培训服务期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40" w:hRule="atLeast"/>
        </w:trPr>
        <w:tc>
          <w:tcPr>
            <w:tcW w:w="701"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1</w:t>
            </w:r>
          </w:p>
        </w:tc>
        <w:tc>
          <w:tcPr>
            <w:tcW w:w="8172" w:type="dxa"/>
            <w:noWrap w:val="0"/>
            <w:vAlign w:val="center"/>
          </w:tcPr>
          <w:p>
            <w:pPr>
              <w:pStyle w:val="4"/>
              <w:keepNext w:val="0"/>
              <w:keepLines w:val="0"/>
              <w:pageBreakBefore w:val="0"/>
              <w:widowControl w:val="0"/>
              <w:wordWrap/>
              <w:bidi w:val="0"/>
              <w:spacing w:before="0" w:after="0" w:line="500" w:lineRule="exact"/>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贵司与涉密员工签订的《保密协议》包含哪些内容?</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25" w:hRule="atLeast"/>
        </w:trPr>
        <w:tc>
          <w:tcPr>
            <w:tcW w:w="701"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2</w:t>
            </w:r>
          </w:p>
        </w:tc>
        <w:tc>
          <w:tcPr>
            <w:tcW w:w="8172" w:type="dxa"/>
            <w:noWrap w:val="0"/>
            <w:vAlign w:val="center"/>
          </w:tcPr>
          <w:p>
            <w:pPr>
              <w:pStyle w:val="4"/>
              <w:keepNext w:val="0"/>
              <w:keepLines w:val="0"/>
              <w:pageBreakBefore w:val="0"/>
              <w:widowControl w:val="0"/>
              <w:wordWrap/>
              <w:bidi w:val="0"/>
              <w:spacing w:before="0" w:after="0" w:line="500" w:lineRule="exact"/>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贵司与哪些人员约定了竞业限制义务？</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680" w:hRule="atLeast"/>
        </w:trPr>
        <w:tc>
          <w:tcPr>
            <w:tcW w:w="701"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3</w:t>
            </w:r>
          </w:p>
        </w:tc>
        <w:tc>
          <w:tcPr>
            <w:tcW w:w="8172" w:type="dxa"/>
            <w:noWrap w:val="0"/>
            <w:vAlign w:val="center"/>
          </w:tcPr>
          <w:p>
            <w:pPr>
              <w:pStyle w:val="4"/>
              <w:keepNext w:val="0"/>
              <w:keepLines w:val="0"/>
              <w:pageBreakBefore w:val="0"/>
              <w:widowControl w:val="0"/>
              <w:wordWrap/>
              <w:bidi w:val="0"/>
              <w:spacing w:before="0" w:after="0" w:line="500" w:lineRule="exact"/>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贵司与涉密员工签订的《竞业限制协议》包含哪些内容?</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10" w:hRule="atLeast"/>
        </w:trPr>
        <w:tc>
          <w:tcPr>
            <w:tcW w:w="701"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4</w:t>
            </w:r>
          </w:p>
        </w:tc>
        <w:tc>
          <w:tcPr>
            <w:tcW w:w="8172" w:type="dxa"/>
            <w:noWrap w:val="0"/>
            <w:vAlign w:val="center"/>
          </w:tcPr>
          <w:p>
            <w:pPr>
              <w:pStyle w:val="4"/>
              <w:keepNext w:val="0"/>
              <w:keepLines w:val="0"/>
              <w:pageBreakBefore w:val="0"/>
              <w:widowControl w:val="0"/>
              <w:wordWrap/>
              <w:bidi w:val="0"/>
              <w:spacing w:before="0" w:after="0" w:line="500" w:lineRule="exact"/>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贵司与员工就哪些培训，约定了服务期?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10" w:hRule="atLeast"/>
        </w:trPr>
        <w:tc>
          <w:tcPr>
            <w:tcW w:w="701"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5</w:t>
            </w:r>
          </w:p>
        </w:tc>
        <w:tc>
          <w:tcPr>
            <w:tcW w:w="8172" w:type="dxa"/>
            <w:noWrap w:val="0"/>
            <w:vAlign w:val="center"/>
          </w:tcPr>
          <w:p>
            <w:pPr>
              <w:pStyle w:val="4"/>
              <w:keepNext w:val="0"/>
              <w:keepLines w:val="0"/>
              <w:pageBreakBefore w:val="0"/>
              <w:widowControl w:val="0"/>
              <w:wordWrap/>
              <w:bidi w:val="0"/>
              <w:spacing w:before="0" w:after="0" w:line="500" w:lineRule="exact"/>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贵司与员工约定的违反服务期的违约金数额包括哪些项目？</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50" w:hRule="atLeast"/>
        </w:trPr>
        <w:tc>
          <w:tcPr>
            <w:tcW w:w="701"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6</w:t>
            </w:r>
          </w:p>
        </w:tc>
        <w:tc>
          <w:tcPr>
            <w:tcW w:w="8172" w:type="dxa"/>
            <w:noWrap w:val="0"/>
            <w:vAlign w:val="center"/>
          </w:tcPr>
          <w:p>
            <w:pPr>
              <w:pStyle w:val="4"/>
              <w:keepNext w:val="0"/>
              <w:keepLines w:val="0"/>
              <w:pageBreakBefore w:val="0"/>
              <w:widowControl w:val="0"/>
              <w:wordWrap/>
              <w:bidi w:val="0"/>
              <w:spacing w:before="0" w:after="0" w:line="500" w:lineRule="exact"/>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贵司与员工签订的《专项培训服务期协议》中包含哪些内容？</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50" w:hRule="atLeast"/>
        </w:trPr>
        <w:tc>
          <w:tcPr>
            <w:tcW w:w="701"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7</w:t>
            </w:r>
          </w:p>
        </w:tc>
        <w:tc>
          <w:tcPr>
            <w:tcW w:w="8172" w:type="dxa"/>
            <w:noWrap w:val="0"/>
            <w:vAlign w:val="center"/>
          </w:tcPr>
          <w:p>
            <w:pPr>
              <w:pStyle w:val="4"/>
              <w:keepNext w:val="0"/>
              <w:keepLines w:val="0"/>
              <w:pageBreakBefore w:val="0"/>
              <w:widowControl w:val="0"/>
              <w:wordWrap/>
              <w:bidi w:val="0"/>
              <w:spacing w:before="0" w:after="0" w:line="500" w:lineRule="exact"/>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员工参加公司安排的培训的，贵司是否要求其将取得的证书交由公司保存？</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25" w:hRule="atLeast"/>
        </w:trPr>
        <w:tc>
          <w:tcPr>
            <w:tcW w:w="8873" w:type="dxa"/>
            <w:gridSpan w:val="2"/>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color w:val="000000"/>
                <w:sz w:val="28"/>
                <w:szCs w:val="28"/>
              </w:rPr>
              <w:t>离职管理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25" w:hRule="atLeast"/>
        </w:trPr>
        <w:tc>
          <w:tcPr>
            <w:tcW w:w="701"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1</w:t>
            </w:r>
          </w:p>
        </w:tc>
        <w:tc>
          <w:tcPr>
            <w:tcW w:w="8172" w:type="dxa"/>
            <w:noWrap w:val="0"/>
            <w:vAlign w:val="center"/>
          </w:tcPr>
          <w:p>
            <w:pPr>
              <w:pStyle w:val="4"/>
              <w:keepNext w:val="0"/>
              <w:keepLines w:val="0"/>
              <w:pageBreakBefore w:val="0"/>
              <w:widowControl w:val="0"/>
              <w:wordWrap/>
              <w:bidi w:val="0"/>
              <w:spacing w:before="0" w:after="0" w:line="500" w:lineRule="exact"/>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贵司针对不辞而别的员工一般如何处理？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695" w:hRule="atLeast"/>
        </w:trPr>
        <w:tc>
          <w:tcPr>
            <w:tcW w:w="701"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2</w:t>
            </w:r>
          </w:p>
        </w:tc>
        <w:tc>
          <w:tcPr>
            <w:tcW w:w="8172" w:type="dxa"/>
            <w:noWrap w:val="0"/>
            <w:vAlign w:val="center"/>
          </w:tcPr>
          <w:p>
            <w:pPr>
              <w:pStyle w:val="4"/>
              <w:keepNext w:val="0"/>
              <w:keepLines w:val="0"/>
              <w:pageBreakBefore w:val="0"/>
              <w:widowControl w:val="0"/>
              <w:wordWrap/>
              <w:bidi w:val="0"/>
              <w:spacing w:before="0" w:after="0" w:line="500" w:lineRule="exact"/>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贵司是否存在以末位淘汰为由直接辞退员工的情形？</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680" w:hRule="atLeast"/>
        </w:trPr>
        <w:tc>
          <w:tcPr>
            <w:tcW w:w="701"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3</w:t>
            </w:r>
          </w:p>
        </w:tc>
        <w:tc>
          <w:tcPr>
            <w:tcW w:w="8172" w:type="dxa"/>
            <w:noWrap w:val="0"/>
            <w:vAlign w:val="center"/>
          </w:tcPr>
          <w:p>
            <w:pPr>
              <w:pStyle w:val="4"/>
              <w:keepNext w:val="0"/>
              <w:keepLines w:val="0"/>
              <w:pageBreakBefore w:val="0"/>
              <w:widowControl w:val="0"/>
              <w:wordWrap/>
              <w:bidi w:val="0"/>
              <w:spacing w:before="0" w:after="0" w:line="500" w:lineRule="exact"/>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贵司针对员工主动提出离职的一般如何处理？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25" w:hRule="atLeast"/>
        </w:trPr>
        <w:tc>
          <w:tcPr>
            <w:tcW w:w="701"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4</w:t>
            </w:r>
          </w:p>
        </w:tc>
        <w:tc>
          <w:tcPr>
            <w:tcW w:w="8172" w:type="dxa"/>
            <w:noWrap w:val="0"/>
            <w:vAlign w:val="center"/>
          </w:tcPr>
          <w:p>
            <w:pPr>
              <w:pStyle w:val="4"/>
              <w:keepNext w:val="0"/>
              <w:keepLines w:val="0"/>
              <w:pageBreakBefore w:val="0"/>
              <w:widowControl w:val="0"/>
              <w:wordWrap/>
              <w:bidi w:val="0"/>
              <w:spacing w:before="0" w:after="0" w:line="500" w:lineRule="exact"/>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贵司何时为离职员工结算工资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10" w:hRule="atLeast"/>
        </w:trPr>
        <w:tc>
          <w:tcPr>
            <w:tcW w:w="701"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5</w:t>
            </w:r>
          </w:p>
        </w:tc>
        <w:tc>
          <w:tcPr>
            <w:tcW w:w="8172" w:type="dxa"/>
            <w:noWrap w:val="0"/>
            <w:vAlign w:val="center"/>
          </w:tcPr>
          <w:p>
            <w:pPr>
              <w:pStyle w:val="4"/>
              <w:keepNext w:val="0"/>
              <w:keepLines w:val="0"/>
              <w:pageBreakBefore w:val="0"/>
              <w:widowControl w:val="0"/>
              <w:wordWrap/>
              <w:bidi w:val="0"/>
              <w:spacing w:before="0" w:after="0" w:line="500" w:lineRule="exact"/>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贵司规章制度中是否详细规定了辞退员工的具体量化标准？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50" w:hRule="atLeast"/>
        </w:trPr>
        <w:tc>
          <w:tcPr>
            <w:tcW w:w="701"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6</w:t>
            </w:r>
          </w:p>
        </w:tc>
        <w:tc>
          <w:tcPr>
            <w:tcW w:w="8172" w:type="dxa"/>
            <w:noWrap w:val="0"/>
            <w:vAlign w:val="center"/>
          </w:tcPr>
          <w:p>
            <w:pPr>
              <w:pStyle w:val="4"/>
              <w:keepNext w:val="0"/>
              <w:keepLines w:val="0"/>
              <w:pageBreakBefore w:val="0"/>
              <w:widowControl w:val="0"/>
              <w:wordWrap/>
              <w:bidi w:val="0"/>
              <w:spacing w:before="0" w:after="0" w:line="500" w:lineRule="exact"/>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贵司解除试用期员工劳动关系的决定，是否在试用期内做出并通知该员工？</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50" w:hRule="atLeast"/>
        </w:trPr>
        <w:tc>
          <w:tcPr>
            <w:tcW w:w="701"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7</w:t>
            </w:r>
          </w:p>
        </w:tc>
        <w:tc>
          <w:tcPr>
            <w:tcW w:w="8172" w:type="dxa"/>
            <w:noWrap w:val="0"/>
            <w:vAlign w:val="center"/>
          </w:tcPr>
          <w:p>
            <w:pPr>
              <w:pStyle w:val="4"/>
              <w:keepNext w:val="0"/>
              <w:keepLines w:val="0"/>
              <w:pageBreakBefore w:val="0"/>
              <w:widowControl w:val="0"/>
              <w:wordWrap/>
              <w:bidi w:val="0"/>
              <w:spacing w:before="0" w:after="0" w:line="500" w:lineRule="exact"/>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贵司为离职员工办理退工退档及保险关系转移手续的时间为？</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645" w:hRule="atLeast"/>
        </w:trPr>
        <w:tc>
          <w:tcPr>
            <w:tcW w:w="701"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8</w:t>
            </w:r>
          </w:p>
        </w:tc>
        <w:tc>
          <w:tcPr>
            <w:tcW w:w="8172" w:type="dxa"/>
            <w:noWrap w:val="0"/>
            <w:vAlign w:val="center"/>
          </w:tcPr>
          <w:p>
            <w:pPr>
              <w:pStyle w:val="4"/>
              <w:keepNext w:val="0"/>
              <w:keepLines w:val="0"/>
              <w:pageBreakBefore w:val="0"/>
              <w:widowControl w:val="0"/>
              <w:wordWrap/>
              <w:bidi w:val="0"/>
              <w:spacing w:before="0" w:after="0" w:line="500" w:lineRule="exact"/>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贵司一般在何时向离职员工支付经济补偿金?</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685" w:hRule="atLeast"/>
        </w:trPr>
        <w:tc>
          <w:tcPr>
            <w:tcW w:w="701"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9</w:t>
            </w:r>
          </w:p>
        </w:tc>
        <w:tc>
          <w:tcPr>
            <w:tcW w:w="8172" w:type="dxa"/>
            <w:noWrap w:val="0"/>
            <w:vAlign w:val="center"/>
          </w:tcPr>
          <w:p>
            <w:pPr>
              <w:pStyle w:val="4"/>
              <w:keepNext w:val="0"/>
              <w:keepLines w:val="0"/>
              <w:pageBreakBefore w:val="0"/>
              <w:widowControl w:val="0"/>
              <w:wordWrap/>
              <w:bidi w:val="0"/>
              <w:spacing w:before="0" w:after="0" w:line="500" w:lineRule="exact"/>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贵司在何时为离职员工出具解除或终止劳动关系证明?</w:t>
            </w:r>
          </w:p>
        </w:tc>
      </w:tr>
    </w:tbl>
    <w:p>
      <w:pPr>
        <w:pStyle w:val="4"/>
        <w:keepNext w:val="0"/>
        <w:keepLines w:val="0"/>
        <w:pageBreakBefore w:val="0"/>
        <w:widowControl w:val="0"/>
        <w:wordWrap/>
        <w:bidi w:val="0"/>
        <w:spacing w:before="227" w:beforeLines="50" w:after="0" w:line="500" w:lineRule="exact"/>
        <w:ind w:firstLine="522" w:firstLineChars="200"/>
        <w:rPr>
          <w:rFonts w:hint="eastAsia" w:ascii="仿宋" w:hAnsi="仿宋" w:eastAsia="仿宋" w:cs="仿宋"/>
          <w:color w:val="000000"/>
          <w:sz w:val="28"/>
          <w:szCs w:val="28"/>
        </w:rPr>
      </w:pPr>
      <w:bookmarkStart w:id="77" w:name="_Toc75811707"/>
      <w:r>
        <w:rPr>
          <w:rFonts w:hint="eastAsia" w:ascii="仿宋" w:hAnsi="仿宋" w:eastAsia="仿宋" w:cs="仿宋"/>
          <w:color w:val="000000"/>
          <w:sz w:val="28"/>
          <w:szCs w:val="28"/>
        </w:rPr>
        <w:t>2. 资料收集</w:t>
      </w:r>
      <w:bookmarkEnd w:id="77"/>
    </w:p>
    <w:tbl>
      <w:tblPr>
        <w:tblStyle w:val="15"/>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688"/>
        <w:gridCol w:w="689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17" w:hRule="atLeast"/>
        </w:trPr>
        <w:tc>
          <w:tcPr>
            <w:tcW w:w="8889" w:type="dxa"/>
            <w:gridSpan w:val="2"/>
            <w:tcBorders>
              <w:top w:val="single" w:color="auto" w:sz="2" w:space="0"/>
              <w:left w:val="single" w:color="auto" w:sz="2" w:space="0"/>
              <w:bottom w:val="single" w:color="auto" w:sz="2" w:space="0"/>
              <w:right w:val="single" w:color="auto" w:sz="2" w:space="0"/>
            </w:tcBorders>
            <w:noWrap w:val="0"/>
            <w:vAlign w:val="center"/>
          </w:tcPr>
          <w:p>
            <w:pPr>
              <w:pStyle w:val="4"/>
              <w:keepNext w:val="0"/>
              <w:keepLines w:val="0"/>
              <w:pageBreakBefore w:val="0"/>
              <w:widowControl w:val="0"/>
              <w:wordWrap/>
              <w:bidi w:val="0"/>
              <w:spacing w:before="0" w:after="0" w:line="500" w:lineRule="exact"/>
              <w:jc w:val="center"/>
              <w:rPr>
                <w:rFonts w:hint="eastAsia" w:ascii="仿宋" w:hAnsi="仿宋" w:eastAsia="仿宋" w:cs="仿宋"/>
                <w:color w:val="000000"/>
                <w:sz w:val="28"/>
                <w:szCs w:val="28"/>
              </w:rPr>
            </w:pPr>
            <w:r>
              <w:rPr>
                <w:rFonts w:hint="eastAsia" w:ascii="仿宋" w:hAnsi="仿宋" w:eastAsia="仿宋" w:cs="仿宋"/>
                <w:color w:val="000000"/>
                <w:sz w:val="28"/>
                <w:szCs w:val="28"/>
              </w:rPr>
              <w:t>《劳动人事资料收集清单》</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695" w:hRule="atLeast"/>
        </w:trPr>
        <w:tc>
          <w:tcPr>
            <w:tcW w:w="728" w:type="dxa"/>
            <w:tcBorders>
              <w:top w:val="single" w:color="auto" w:sz="2" w:space="0"/>
            </w:tcBorders>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1</w:t>
            </w:r>
          </w:p>
        </w:tc>
        <w:tc>
          <w:tcPr>
            <w:tcW w:w="8161" w:type="dxa"/>
            <w:tcBorders>
              <w:top w:val="single" w:color="auto" w:sz="2" w:space="0"/>
            </w:tcBorders>
            <w:noWrap w:val="0"/>
            <w:vAlign w:val="center"/>
          </w:tcPr>
          <w:p>
            <w:pPr>
              <w:pStyle w:val="4"/>
              <w:keepNext w:val="0"/>
              <w:keepLines w:val="0"/>
              <w:pageBreakBefore w:val="0"/>
              <w:widowControl w:val="0"/>
              <w:wordWrap/>
              <w:bidi w:val="0"/>
              <w:spacing w:before="0" w:after="0" w:line="500" w:lineRule="exact"/>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《员工录用通知书》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679" w:hRule="atLeast"/>
        </w:trPr>
        <w:tc>
          <w:tcPr>
            <w:tcW w:w="728"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2</w:t>
            </w:r>
          </w:p>
        </w:tc>
        <w:tc>
          <w:tcPr>
            <w:tcW w:w="8161" w:type="dxa"/>
            <w:noWrap w:val="0"/>
            <w:vAlign w:val="center"/>
          </w:tcPr>
          <w:p>
            <w:pPr>
              <w:pStyle w:val="4"/>
              <w:keepNext w:val="0"/>
              <w:keepLines w:val="0"/>
              <w:pageBreakBefore w:val="0"/>
              <w:widowControl w:val="0"/>
              <w:wordWrap/>
              <w:bidi w:val="0"/>
              <w:spacing w:before="0" w:after="0" w:line="500" w:lineRule="exact"/>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《入职信息登记表》</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630" w:hRule="atLeast"/>
        </w:trPr>
        <w:tc>
          <w:tcPr>
            <w:tcW w:w="728"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3</w:t>
            </w:r>
          </w:p>
        </w:tc>
        <w:tc>
          <w:tcPr>
            <w:tcW w:w="8161" w:type="dxa"/>
            <w:noWrap w:val="0"/>
            <w:vAlign w:val="center"/>
          </w:tcPr>
          <w:p>
            <w:pPr>
              <w:pStyle w:val="4"/>
              <w:keepNext w:val="0"/>
              <w:keepLines w:val="0"/>
              <w:pageBreakBefore w:val="0"/>
              <w:widowControl w:val="0"/>
              <w:wordWrap/>
              <w:bidi w:val="0"/>
              <w:spacing w:before="0" w:after="0" w:line="500" w:lineRule="exact"/>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《劳动合同书》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679" w:hRule="atLeast"/>
        </w:trPr>
        <w:tc>
          <w:tcPr>
            <w:tcW w:w="728"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4</w:t>
            </w:r>
          </w:p>
        </w:tc>
        <w:tc>
          <w:tcPr>
            <w:tcW w:w="8161" w:type="dxa"/>
            <w:noWrap w:val="0"/>
            <w:vAlign w:val="center"/>
          </w:tcPr>
          <w:p>
            <w:pPr>
              <w:pStyle w:val="4"/>
              <w:keepNext w:val="0"/>
              <w:keepLines w:val="0"/>
              <w:pageBreakBefore w:val="0"/>
              <w:widowControl w:val="0"/>
              <w:wordWrap/>
              <w:bidi w:val="0"/>
              <w:spacing w:before="0" w:after="0" w:line="500" w:lineRule="exact"/>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《员工转正通知书》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653" w:hRule="atLeast"/>
        </w:trPr>
        <w:tc>
          <w:tcPr>
            <w:tcW w:w="728"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5</w:t>
            </w:r>
          </w:p>
        </w:tc>
        <w:tc>
          <w:tcPr>
            <w:tcW w:w="8161" w:type="dxa"/>
            <w:noWrap w:val="0"/>
            <w:vAlign w:val="center"/>
          </w:tcPr>
          <w:p>
            <w:pPr>
              <w:pStyle w:val="4"/>
              <w:keepNext w:val="0"/>
              <w:keepLines w:val="0"/>
              <w:pageBreakBefore w:val="0"/>
              <w:widowControl w:val="0"/>
              <w:wordWrap/>
              <w:bidi w:val="0"/>
              <w:spacing w:before="0" w:after="0" w:line="500" w:lineRule="exact"/>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《岗位调整通知书》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673" w:hRule="atLeast"/>
        </w:trPr>
        <w:tc>
          <w:tcPr>
            <w:tcW w:w="728"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6</w:t>
            </w:r>
          </w:p>
        </w:tc>
        <w:tc>
          <w:tcPr>
            <w:tcW w:w="8161" w:type="dxa"/>
            <w:noWrap w:val="0"/>
            <w:vAlign w:val="center"/>
          </w:tcPr>
          <w:p>
            <w:pPr>
              <w:pStyle w:val="4"/>
              <w:keepNext w:val="0"/>
              <w:keepLines w:val="0"/>
              <w:pageBreakBefore w:val="0"/>
              <w:widowControl w:val="0"/>
              <w:wordWrap/>
              <w:bidi w:val="0"/>
              <w:spacing w:before="0" w:after="0" w:line="500" w:lineRule="exact"/>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《加班审批单》</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651" w:hRule="atLeast"/>
        </w:trPr>
        <w:tc>
          <w:tcPr>
            <w:tcW w:w="728"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7</w:t>
            </w:r>
          </w:p>
        </w:tc>
        <w:tc>
          <w:tcPr>
            <w:tcW w:w="8161" w:type="dxa"/>
            <w:noWrap w:val="0"/>
            <w:vAlign w:val="center"/>
          </w:tcPr>
          <w:p>
            <w:pPr>
              <w:pStyle w:val="4"/>
              <w:keepNext w:val="0"/>
              <w:keepLines w:val="0"/>
              <w:pageBreakBefore w:val="0"/>
              <w:widowControl w:val="0"/>
              <w:wordWrap/>
              <w:bidi w:val="0"/>
              <w:spacing w:before="0" w:after="0" w:line="500" w:lineRule="exact"/>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《请假条》</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03" w:hRule="atLeast"/>
        </w:trPr>
        <w:tc>
          <w:tcPr>
            <w:tcW w:w="728"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8</w:t>
            </w:r>
          </w:p>
        </w:tc>
        <w:tc>
          <w:tcPr>
            <w:tcW w:w="8161" w:type="dxa"/>
            <w:noWrap w:val="0"/>
            <w:vAlign w:val="center"/>
          </w:tcPr>
          <w:p>
            <w:pPr>
              <w:pStyle w:val="4"/>
              <w:keepNext w:val="0"/>
              <w:keepLines w:val="0"/>
              <w:pageBreakBefore w:val="0"/>
              <w:widowControl w:val="0"/>
              <w:wordWrap/>
              <w:bidi w:val="0"/>
              <w:spacing w:before="0" w:after="0" w:line="500" w:lineRule="exact"/>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《工资表》</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70" w:hRule="atLeast"/>
        </w:trPr>
        <w:tc>
          <w:tcPr>
            <w:tcW w:w="728"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9</w:t>
            </w:r>
          </w:p>
        </w:tc>
        <w:tc>
          <w:tcPr>
            <w:tcW w:w="8161" w:type="dxa"/>
            <w:noWrap w:val="0"/>
            <w:vAlign w:val="center"/>
          </w:tcPr>
          <w:p>
            <w:pPr>
              <w:pStyle w:val="4"/>
              <w:keepNext w:val="0"/>
              <w:keepLines w:val="0"/>
              <w:pageBreakBefore w:val="0"/>
              <w:widowControl w:val="0"/>
              <w:wordWrap/>
              <w:bidi w:val="0"/>
              <w:spacing w:before="0" w:after="0" w:line="500" w:lineRule="exact"/>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《员工手册》及相关规章制度文本</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25" w:hRule="atLeast"/>
        </w:trPr>
        <w:tc>
          <w:tcPr>
            <w:tcW w:w="728"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10</w:t>
            </w:r>
          </w:p>
        </w:tc>
        <w:tc>
          <w:tcPr>
            <w:tcW w:w="8161" w:type="dxa"/>
            <w:noWrap w:val="0"/>
            <w:vAlign w:val="center"/>
          </w:tcPr>
          <w:p>
            <w:pPr>
              <w:pStyle w:val="4"/>
              <w:keepNext w:val="0"/>
              <w:keepLines w:val="0"/>
              <w:pageBreakBefore w:val="0"/>
              <w:widowControl w:val="0"/>
              <w:wordWrap/>
              <w:bidi w:val="0"/>
              <w:spacing w:before="0" w:after="0" w:line="500" w:lineRule="exact"/>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《员工保密协议》</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25" w:hRule="atLeast"/>
        </w:trPr>
        <w:tc>
          <w:tcPr>
            <w:tcW w:w="728"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11</w:t>
            </w:r>
          </w:p>
        </w:tc>
        <w:tc>
          <w:tcPr>
            <w:tcW w:w="8161" w:type="dxa"/>
            <w:noWrap w:val="0"/>
            <w:vAlign w:val="center"/>
          </w:tcPr>
          <w:p>
            <w:pPr>
              <w:pStyle w:val="4"/>
              <w:keepNext w:val="0"/>
              <w:keepLines w:val="0"/>
              <w:pageBreakBefore w:val="0"/>
              <w:widowControl w:val="0"/>
              <w:wordWrap/>
              <w:bidi w:val="0"/>
              <w:spacing w:before="0" w:after="0" w:line="500" w:lineRule="exact"/>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《员工培训期协议》</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10" w:hRule="atLeast"/>
        </w:trPr>
        <w:tc>
          <w:tcPr>
            <w:tcW w:w="728"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12</w:t>
            </w:r>
          </w:p>
        </w:tc>
        <w:tc>
          <w:tcPr>
            <w:tcW w:w="8161" w:type="dxa"/>
            <w:noWrap w:val="0"/>
            <w:vAlign w:val="center"/>
          </w:tcPr>
          <w:p>
            <w:pPr>
              <w:pStyle w:val="4"/>
              <w:keepNext w:val="0"/>
              <w:keepLines w:val="0"/>
              <w:pageBreakBefore w:val="0"/>
              <w:widowControl w:val="0"/>
              <w:wordWrap/>
              <w:bidi w:val="0"/>
              <w:spacing w:before="0" w:after="0" w:line="500" w:lineRule="exact"/>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《竞业限制协议》及相关通知书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25" w:hRule="atLeast"/>
        </w:trPr>
        <w:tc>
          <w:tcPr>
            <w:tcW w:w="728"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13</w:t>
            </w:r>
          </w:p>
        </w:tc>
        <w:tc>
          <w:tcPr>
            <w:tcW w:w="8161" w:type="dxa"/>
            <w:noWrap w:val="0"/>
            <w:vAlign w:val="center"/>
          </w:tcPr>
          <w:p>
            <w:pPr>
              <w:pStyle w:val="4"/>
              <w:keepNext w:val="0"/>
              <w:keepLines w:val="0"/>
              <w:pageBreakBefore w:val="0"/>
              <w:widowControl w:val="0"/>
              <w:wordWrap/>
              <w:bidi w:val="0"/>
              <w:spacing w:before="0" w:after="0" w:line="500" w:lineRule="exact"/>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《解除劳动合同协议》及相关通知书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30" w:hRule="atLeast"/>
        </w:trPr>
        <w:tc>
          <w:tcPr>
            <w:tcW w:w="728" w:type="dxa"/>
            <w:noWrap w:val="0"/>
            <w:vAlign w:val="center"/>
          </w:tcPr>
          <w:p>
            <w:pPr>
              <w:pStyle w:val="4"/>
              <w:keepNext w:val="0"/>
              <w:keepLines w:val="0"/>
              <w:pageBreakBefore w:val="0"/>
              <w:widowControl w:val="0"/>
              <w:wordWrap/>
              <w:bidi w:val="0"/>
              <w:spacing w:before="0" w:after="0" w:line="500" w:lineRule="exact"/>
              <w:jc w:val="center"/>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14</w:t>
            </w:r>
          </w:p>
        </w:tc>
        <w:tc>
          <w:tcPr>
            <w:tcW w:w="8161" w:type="dxa"/>
            <w:noWrap w:val="0"/>
            <w:vAlign w:val="center"/>
          </w:tcPr>
          <w:p>
            <w:pPr>
              <w:pStyle w:val="4"/>
              <w:keepNext w:val="0"/>
              <w:keepLines w:val="0"/>
              <w:pageBreakBefore w:val="0"/>
              <w:widowControl w:val="0"/>
              <w:wordWrap/>
              <w:bidi w:val="0"/>
              <w:spacing w:before="0" w:after="0" w:line="500" w:lineRule="exact"/>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公司其他劳动人事相关文件</w:t>
            </w:r>
          </w:p>
        </w:tc>
      </w:tr>
    </w:tbl>
    <w:p>
      <w:pPr>
        <w:pStyle w:val="4"/>
        <w:keepNext w:val="0"/>
        <w:keepLines w:val="0"/>
        <w:pageBreakBefore w:val="0"/>
        <w:widowControl w:val="0"/>
        <w:wordWrap/>
        <w:bidi w:val="0"/>
        <w:spacing w:before="0" w:after="0" w:line="500" w:lineRule="exact"/>
        <w:ind w:firstLine="522" w:firstLineChars="200"/>
        <w:jc w:val="both"/>
        <w:rPr>
          <w:rFonts w:hint="eastAsia" w:ascii="仿宋" w:hAnsi="仿宋" w:eastAsia="仿宋" w:cs="仿宋"/>
          <w:color w:val="000000"/>
          <w:sz w:val="28"/>
          <w:szCs w:val="28"/>
        </w:rPr>
      </w:pPr>
      <w:bookmarkStart w:id="78" w:name="_Toc75811708"/>
      <w:r>
        <w:rPr>
          <w:rFonts w:hint="eastAsia" w:ascii="仿宋" w:hAnsi="仿宋" w:eastAsia="仿宋" w:cs="仿宋"/>
          <w:color w:val="000000"/>
          <w:sz w:val="28"/>
          <w:szCs w:val="28"/>
        </w:rPr>
        <w:t>3. 体检报告出具</w:t>
      </w:r>
      <w:bookmarkEnd w:id="78"/>
    </w:p>
    <w:p>
      <w:pPr>
        <w:pStyle w:val="4"/>
        <w:keepNext w:val="0"/>
        <w:keepLines w:val="0"/>
        <w:pageBreakBefore w:val="0"/>
        <w:widowControl w:val="0"/>
        <w:wordWrap/>
        <w:bidi w:val="0"/>
        <w:spacing w:before="0" w:after="0" w:line="500" w:lineRule="exact"/>
        <w:ind w:firstLine="522" w:firstLineChars="200"/>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出具《劳动人事法治体检报告》时，应当全面、真实地反馈企业用工的现状和风险，但在制定劳动人事制度时则应该结合企业的实际特点提出针对性建议。</w:t>
      </w:r>
    </w:p>
    <w:p>
      <w:pPr>
        <w:pStyle w:val="4"/>
        <w:keepNext w:val="0"/>
        <w:keepLines w:val="0"/>
        <w:pageBreakBefore w:val="0"/>
        <w:widowControl w:val="0"/>
        <w:numPr>
          <w:ilvl w:val="0"/>
          <w:numId w:val="26"/>
        </w:numPr>
        <w:wordWrap/>
        <w:bidi w:val="0"/>
        <w:spacing w:before="0" w:after="0" w:line="500" w:lineRule="exact"/>
        <w:ind w:firstLine="522" w:firstLineChars="200"/>
        <w:jc w:val="both"/>
        <w:rPr>
          <w:rFonts w:hint="eastAsia" w:ascii="楷体" w:hAnsi="楷体" w:eastAsia="楷体" w:cs="楷体"/>
          <w:color w:val="000000"/>
          <w:sz w:val="28"/>
          <w:szCs w:val="28"/>
        </w:rPr>
      </w:pPr>
      <w:bookmarkStart w:id="79" w:name="_Toc75811709"/>
      <w:r>
        <w:rPr>
          <w:rFonts w:hint="eastAsia" w:ascii="楷体" w:hAnsi="楷体" w:eastAsia="楷体" w:cs="楷体"/>
          <w:color w:val="000000"/>
          <w:sz w:val="28"/>
          <w:szCs w:val="28"/>
        </w:rPr>
        <w:t>入职环节合规服务</w:t>
      </w:r>
      <w:bookmarkEnd w:id="79"/>
    </w:p>
    <w:p>
      <w:pPr>
        <w:pStyle w:val="4"/>
        <w:keepNext w:val="0"/>
        <w:keepLines w:val="0"/>
        <w:pageBreakBefore w:val="0"/>
        <w:widowControl w:val="0"/>
        <w:wordWrap/>
        <w:bidi w:val="0"/>
        <w:spacing w:before="0" w:after="0" w:line="500" w:lineRule="exact"/>
        <w:ind w:firstLine="522" w:firstLineChars="200"/>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员工入职是企业用工管理的第一个环节，其重要性往往被企业忽视，入职管理不完善，将为企业后续的用工管理和日常运营埋下很多隐患。</w:t>
      </w:r>
    </w:p>
    <w:p>
      <w:pPr>
        <w:pStyle w:val="4"/>
        <w:keepNext w:val="0"/>
        <w:keepLines w:val="0"/>
        <w:pageBreakBefore w:val="0"/>
        <w:widowControl w:val="0"/>
        <w:numPr>
          <w:ilvl w:val="0"/>
          <w:numId w:val="0"/>
        </w:numPr>
        <w:wordWrap/>
        <w:bidi w:val="0"/>
        <w:spacing w:before="0" w:after="0" w:line="500" w:lineRule="exact"/>
        <w:ind w:left="604" w:leftChars="0"/>
        <w:jc w:val="both"/>
        <w:rPr>
          <w:rFonts w:hint="eastAsia" w:ascii="仿宋" w:hAnsi="仿宋" w:eastAsia="仿宋" w:cs="仿宋"/>
          <w:color w:val="000000"/>
          <w:sz w:val="28"/>
          <w:szCs w:val="28"/>
        </w:rPr>
      </w:pPr>
      <w:bookmarkStart w:id="80" w:name="_Toc75811710"/>
      <w:r>
        <w:rPr>
          <w:rFonts w:hint="eastAsia" w:ascii="仿宋" w:hAnsi="仿宋" w:eastAsia="仿宋" w:cs="仿宋"/>
          <w:color w:val="000000"/>
          <w:sz w:val="28"/>
          <w:szCs w:val="28"/>
          <w:lang w:val="en-US" w:eastAsia="zh-CN"/>
        </w:rPr>
        <w:t>1.</w:t>
      </w:r>
      <w:r>
        <w:rPr>
          <w:rFonts w:hint="eastAsia" w:ascii="仿宋" w:hAnsi="仿宋" w:eastAsia="仿宋" w:cs="仿宋"/>
          <w:color w:val="000000"/>
          <w:sz w:val="28"/>
          <w:szCs w:val="28"/>
        </w:rPr>
        <w:t>入职审查及信息登记合规</w:t>
      </w:r>
      <w:bookmarkEnd w:id="80"/>
    </w:p>
    <w:p>
      <w:pPr>
        <w:pStyle w:val="4"/>
        <w:keepNext w:val="0"/>
        <w:keepLines w:val="0"/>
        <w:pageBreakBefore w:val="0"/>
        <w:widowControl w:val="0"/>
        <w:wordWrap/>
        <w:bidi w:val="0"/>
        <w:spacing w:before="0" w:after="0" w:line="500" w:lineRule="exact"/>
        <w:ind w:firstLine="522" w:firstLineChars="200"/>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员工入职的审查是防范企业用工风险的第一步，帮助企业搭建起完善的入职审查制度至关重要，员工入职审查的清单应当包括如下内容：</w:t>
      </w:r>
    </w:p>
    <w:tbl>
      <w:tblPr>
        <w:tblStyle w:val="15"/>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652"/>
        <w:gridCol w:w="693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634" w:hRule="atLeast"/>
        </w:trPr>
        <w:tc>
          <w:tcPr>
            <w:tcW w:w="8903" w:type="dxa"/>
            <w:gridSpan w:val="2"/>
            <w:tcBorders>
              <w:top w:val="single" w:color="auto" w:sz="2" w:space="0"/>
              <w:left w:val="single" w:color="auto" w:sz="2" w:space="0"/>
              <w:bottom w:val="single" w:color="auto" w:sz="2" w:space="0"/>
              <w:right w:val="single" w:color="auto" w:sz="2" w:space="0"/>
            </w:tcBorders>
            <w:noWrap w:val="0"/>
            <w:vAlign w:val="center"/>
          </w:tcPr>
          <w:p>
            <w:pPr>
              <w:pStyle w:val="4"/>
              <w:keepNext w:val="0"/>
              <w:keepLines w:val="0"/>
              <w:pageBreakBefore w:val="0"/>
              <w:widowControl w:val="0"/>
              <w:wordWrap/>
              <w:bidi w:val="0"/>
              <w:spacing w:before="0" w:after="0" w:line="500" w:lineRule="exact"/>
              <w:jc w:val="center"/>
              <w:rPr>
                <w:rFonts w:ascii="仿宋_GB2312" w:eastAsia="仿宋_GB2312"/>
                <w:color w:val="000000"/>
                <w:sz w:val="28"/>
                <w:szCs w:val="28"/>
              </w:rPr>
            </w:pPr>
            <w:r>
              <w:rPr>
                <w:rFonts w:hint="eastAsia" w:ascii="仿宋_GB2312" w:eastAsia="仿宋_GB2312"/>
                <w:color w:val="000000"/>
                <w:sz w:val="28"/>
                <w:szCs w:val="28"/>
              </w:rPr>
              <w:t>《员工入职审查清单》</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624" w:hRule="atLeast"/>
        </w:trPr>
        <w:tc>
          <w:tcPr>
            <w:tcW w:w="713" w:type="dxa"/>
            <w:tcBorders>
              <w:top w:val="single" w:color="auto" w:sz="2" w:space="0"/>
            </w:tcBorders>
            <w:noWrap w:val="0"/>
            <w:vAlign w:val="center"/>
          </w:tcPr>
          <w:p>
            <w:pPr>
              <w:pStyle w:val="4"/>
              <w:keepNext w:val="0"/>
              <w:keepLines w:val="0"/>
              <w:pageBreakBefore w:val="0"/>
              <w:widowControl w:val="0"/>
              <w:wordWrap/>
              <w:bidi w:val="0"/>
              <w:spacing w:before="0" w:after="0" w:line="500" w:lineRule="exact"/>
              <w:jc w:val="center"/>
              <w:rPr>
                <w:rFonts w:ascii="仿宋_GB2312" w:eastAsia="仿宋_GB2312"/>
                <w:b w:val="0"/>
                <w:bCs w:val="0"/>
                <w:color w:val="000000"/>
                <w:sz w:val="28"/>
                <w:szCs w:val="28"/>
              </w:rPr>
            </w:pPr>
            <w:r>
              <w:rPr>
                <w:rFonts w:hint="eastAsia" w:ascii="仿宋_GB2312" w:eastAsia="仿宋_GB2312"/>
                <w:b w:val="0"/>
                <w:bCs w:val="0"/>
                <w:color w:val="000000"/>
                <w:sz w:val="28"/>
                <w:szCs w:val="28"/>
              </w:rPr>
              <w:t>1</w:t>
            </w:r>
          </w:p>
        </w:tc>
        <w:tc>
          <w:tcPr>
            <w:tcW w:w="8190" w:type="dxa"/>
            <w:tcBorders>
              <w:top w:val="single" w:color="auto" w:sz="2" w:space="0"/>
            </w:tcBorders>
            <w:noWrap w:val="0"/>
            <w:vAlign w:val="center"/>
          </w:tcPr>
          <w:p>
            <w:pPr>
              <w:pStyle w:val="4"/>
              <w:keepNext w:val="0"/>
              <w:keepLines w:val="0"/>
              <w:pageBreakBefore w:val="0"/>
              <w:widowControl w:val="0"/>
              <w:wordWrap/>
              <w:bidi w:val="0"/>
              <w:spacing w:before="0" w:after="0" w:line="500" w:lineRule="exact"/>
              <w:rPr>
                <w:rFonts w:ascii="仿宋_GB2312" w:eastAsia="仿宋_GB2312"/>
                <w:b w:val="0"/>
                <w:bCs w:val="0"/>
                <w:color w:val="000000"/>
                <w:sz w:val="28"/>
                <w:szCs w:val="28"/>
              </w:rPr>
            </w:pPr>
            <w:r>
              <w:rPr>
                <w:rFonts w:hint="eastAsia" w:ascii="仿宋_GB2312" w:eastAsia="仿宋_GB2312"/>
                <w:b w:val="0"/>
                <w:bCs w:val="0"/>
                <w:color w:val="000000"/>
                <w:sz w:val="28"/>
                <w:szCs w:val="28"/>
              </w:rPr>
              <w:t>身份证明审查</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15" w:hRule="atLeast"/>
        </w:trPr>
        <w:tc>
          <w:tcPr>
            <w:tcW w:w="713" w:type="dxa"/>
            <w:noWrap w:val="0"/>
            <w:vAlign w:val="center"/>
          </w:tcPr>
          <w:p>
            <w:pPr>
              <w:pStyle w:val="4"/>
              <w:keepNext w:val="0"/>
              <w:keepLines w:val="0"/>
              <w:pageBreakBefore w:val="0"/>
              <w:widowControl w:val="0"/>
              <w:wordWrap/>
              <w:bidi w:val="0"/>
              <w:spacing w:before="0" w:after="0" w:line="500" w:lineRule="exact"/>
              <w:jc w:val="center"/>
              <w:rPr>
                <w:rFonts w:ascii="仿宋_GB2312" w:eastAsia="仿宋_GB2312"/>
                <w:b w:val="0"/>
                <w:bCs w:val="0"/>
                <w:color w:val="000000"/>
                <w:sz w:val="28"/>
                <w:szCs w:val="28"/>
              </w:rPr>
            </w:pPr>
            <w:r>
              <w:rPr>
                <w:rFonts w:hint="eastAsia" w:ascii="仿宋_GB2312" w:eastAsia="仿宋_GB2312"/>
                <w:b w:val="0"/>
                <w:bCs w:val="0"/>
                <w:color w:val="000000"/>
                <w:sz w:val="28"/>
                <w:szCs w:val="28"/>
              </w:rPr>
              <w:t>2</w:t>
            </w:r>
          </w:p>
        </w:tc>
        <w:tc>
          <w:tcPr>
            <w:tcW w:w="8190" w:type="dxa"/>
            <w:noWrap w:val="0"/>
            <w:vAlign w:val="center"/>
          </w:tcPr>
          <w:p>
            <w:pPr>
              <w:pStyle w:val="4"/>
              <w:keepNext w:val="0"/>
              <w:keepLines w:val="0"/>
              <w:pageBreakBefore w:val="0"/>
              <w:widowControl w:val="0"/>
              <w:wordWrap/>
              <w:bidi w:val="0"/>
              <w:spacing w:before="0" w:after="0" w:line="500" w:lineRule="exact"/>
              <w:rPr>
                <w:rFonts w:ascii="仿宋_GB2312" w:eastAsia="仿宋_GB2312"/>
                <w:b w:val="0"/>
                <w:bCs w:val="0"/>
                <w:color w:val="000000"/>
                <w:sz w:val="28"/>
                <w:szCs w:val="28"/>
              </w:rPr>
            </w:pPr>
            <w:r>
              <w:rPr>
                <w:rFonts w:hint="eastAsia" w:ascii="仿宋_GB2312" w:eastAsia="仿宋_GB2312"/>
                <w:b w:val="0"/>
                <w:bCs w:val="0"/>
                <w:color w:val="000000"/>
                <w:sz w:val="28"/>
                <w:szCs w:val="28"/>
              </w:rPr>
              <w:t>学历证明和各种资格证明审查</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15" w:hRule="atLeast"/>
        </w:trPr>
        <w:tc>
          <w:tcPr>
            <w:tcW w:w="713" w:type="dxa"/>
            <w:noWrap w:val="0"/>
            <w:vAlign w:val="center"/>
          </w:tcPr>
          <w:p>
            <w:pPr>
              <w:pStyle w:val="4"/>
              <w:keepNext w:val="0"/>
              <w:keepLines w:val="0"/>
              <w:pageBreakBefore w:val="0"/>
              <w:widowControl w:val="0"/>
              <w:wordWrap/>
              <w:bidi w:val="0"/>
              <w:spacing w:before="0" w:after="0" w:line="500" w:lineRule="exact"/>
              <w:jc w:val="center"/>
              <w:rPr>
                <w:rFonts w:ascii="仿宋_GB2312" w:eastAsia="仿宋_GB2312"/>
                <w:b w:val="0"/>
                <w:bCs w:val="0"/>
                <w:color w:val="000000"/>
                <w:sz w:val="28"/>
                <w:szCs w:val="28"/>
              </w:rPr>
            </w:pPr>
            <w:r>
              <w:rPr>
                <w:rFonts w:hint="eastAsia" w:ascii="仿宋_GB2312" w:eastAsia="仿宋_GB2312"/>
                <w:b w:val="0"/>
                <w:bCs w:val="0"/>
                <w:color w:val="000000"/>
                <w:sz w:val="28"/>
                <w:szCs w:val="28"/>
              </w:rPr>
              <w:t>3</w:t>
            </w:r>
          </w:p>
        </w:tc>
        <w:tc>
          <w:tcPr>
            <w:tcW w:w="8190" w:type="dxa"/>
            <w:noWrap w:val="0"/>
            <w:vAlign w:val="center"/>
          </w:tcPr>
          <w:p>
            <w:pPr>
              <w:pStyle w:val="4"/>
              <w:keepNext w:val="0"/>
              <w:keepLines w:val="0"/>
              <w:pageBreakBefore w:val="0"/>
              <w:widowControl w:val="0"/>
              <w:wordWrap/>
              <w:bidi w:val="0"/>
              <w:spacing w:before="0" w:after="0" w:line="500" w:lineRule="exact"/>
              <w:rPr>
                <w:rFonts w:ascii="仿宋_GB2312" w:eastAsia="仿宋_GB2312"/>
                <w:b w:val="0"/>
                <w:bCs w:val="0"/>
                <w:color w:val="000000"/>
                <w:sz w:val="28"/>
                <w:szCs w:val="28"/>
              </w:rPr>
            </w:pPr>
            <w:r>
              <w:rPr>
                <w:rFonts w:hint="eastAsia" w:ascii="仿宋_GB2312" w:eastAsia="仿宋_GB2312"/>
                <w:b w:val="0"/>
                <w:bCs w:val="0"/>
                <w:color w:val="000000"/>
                <w:sz w:val="28"/>
                <w:szCs w:val="28"/>
              </w:rPr>
              <w:t>离职证明及过往任职信息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15" w:hRule="atLeast"/>
        </w:trPr>
        <w:tc>
          <w:tcPr>
            <w:tcW w:w="713" w:type="dxa"/>
            <w:noWrap w:val="0"/>
            <w:vAlign w:val="center"/>
          </w:tcPr>
          <w:p>
            <w:pPr>
              <w:pStyle w:val="4"/>
              <w:keepNext w:val="0"/>
              <w:keepLines w:val="0"/>
              <w:pageBreakBefore w:val="0"/>
              <w:widowControl w:val="0"/>
              <w:wordWrap/>
              <w:bidi w:val="0"/>
              <w:spacing w:before="0" w:after="0" w:line="500" w:lineRule="exact"/>
              <w:jc w:val="center"/>
              <w:rPr>
                <w:rFonts w:ascii="仿宋_GB2312" w:eastAsia="仿宋_GB2312"/>
                <w:b w:val="0"/>
                <w:bCs w:val="0"/>
                <w:color w:val="000000"/>
                <w:sz w:val="28"/>
                <w:szCs w:val="28"/>
              </w:rPr>
            </w:pPr>
            <w:r>
              <w:rPr>
                <w:rFonts w:hint="eastAsia" w:ascii="仿宋_GB2312" w:eastAsia="仿宋_GB2312"/>
                <w:b w:val="0"/>
                <w:bCs w:val="0"/>
                <w:color w:val="000000"/>
                <w:sz w:val="28"/>
                <w:szCs w:val="28"/>
              </w:rPr>
              <w:t>4</w:t>
            </w:r>
          </w:p>
        </w:tc>
        <w:tc>
          <w:tcPr>
            <w:tcW w:w="8190" w:type="dxa"/>
            <w:noWrap w:val="0"/>
            <w:vAlign w:val="center"/>
          </w:tcPr>
          <w:p>
            <w:pPr>
              <w:pStyle w:val="4"/>
              <w:keepNext w:val="0"/>
              <w:keepLines w:val="0"/>
              <w:pageBreakBefore w:val="0"/>
              <w:widowControl w:val="0"/>
              <w:wordWrap/>
              <w:bidi w:val="0"/>
              <w:spacing w:before="0" w:after="0" w:line="500" w:lineRule="exact"/>
              <w:rPr>
                <w:rFonts w:ascii="仿宋_GB2312" w:eastAsia="仿宋_GB2312"/>
                <w:b w:val="0"/>
                <w:bCs w:val="0"/>
                <w:color w:val="000000"/>
                <w:sz w:val="28"/>
                <w:szCs w:val="28"/>
              </w:rPr>
            </w:pPr>
            <w:r>
              <w:rPr>
                <w:rFonts w:hint="eastAsia" w:ascii="仿宋_GB2312" w:eastAsia="仿宋_GB2312"/>
                <w:b w:val="0"/>
                <w:bCs w:val="0"/>
                <w:color w:val="000000"/>
                <w:sz w:val="28"/>
                <w:szCs w:val="28"/>
              </w:rPr>
              <w:t>保密协议、竞业限制审查</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15" w:hRule="atLeast"/>
        </w:trPr>
        <w:tc>
          <w:tcPr>
            <w:tcW w:w="713" w:type="dxa"/>
            <w:noWrap w:val="0"/>
            <w:vAlign w:val="center"/>
          </w:tcPr>
          <w:p>
            <w:pPr>
              <w:pStyle w:val="4"/>
              <w:keepNext w:val="0"/>
              <w:keepLines w:val="0"/>
              <w:pageBreakBefore w:val="0"/>
              <w:widowControl w:val="0"/>
              <w:wordWrap/>
              <w:bidi w:val="0"/>
              <w:spacing w:before="0" w:after="0" w:line="500" w:lineRule="exact"/>
              <w:jc w:val="center"/>
              <w:rPr>
                <w:rFonts w:ascii="仿宋_GB2312" w:eastAsia="仿宋_GB2312"/>
                <w:b w:val="0"/>
                <w:bCs w:val="0"/>
                <w:color w:val="000000"/>
                <w:sz w:val="28"/>
                <w:szCs w:val="28"/>
              </w:rPr>
            </w:pPr>
            <w:r>
              <w:rPr>
                <w:rFonts w:hint="eastAsia" w:ascii="仿宋_GB2312" w:eastAsia="仿宋_GB2312"/>
                <w:b w:val="0"/>
                <w:bCs w:val="0"/>
                <w:color w:val="000000"/>
                <w:sz w:val="28"/>
                <w:szCs w:val="28"/>
              </w:rPr>
              <w:t>5</w:t>
            </w:r>
          </w:p>
        </w:tc>
        <w:tc>
          <w:tcPr>
            <w:tcW w:w="8190" w:type="dxa"/>
            <w:noWrap w:val="0"/>
            <w:vAlign w:val="center"/>
          </w:tcPr>
          <w:p>
            <w:pPr>
              <w:pStyle w:val="4"/>
              <w:keepNext w:val="0"/>
              <w:keepLines w:val="0"/>
              <w:pageBreakBefore w:val="0"/>
              <w:widowControl w:val="0"/>
              <w:wordWrap/>
              <w:bidi w:val="0"/>
              <w:spacing w:before="0" w:after="0" w:line="500" w:lineRule="exact"/>
              <w:rPr>
                <w:rFonts w:ascii="仿宋_GB2312" w:eastAsia="仿宋_GB2312"/>
                <w:b w:val="0"/>
                <w:bCs w:val="0"/>
                <w:color w:val="000000"/>
                <w:sz w:val="28"/>
                <w:szCs w:val="28"/>
              </w:rPr>
            </w:pPr>
            <w:r>
              <w:rPr>
                <w:rFonts w:hint="eastAsia" w:ascii="仿宋_GB2312" w:eastAsia="仿宋_GB2312"/>
                <w:b w:val="0"/>
                <w:bCs w:val="0"/>
                <w:color w:val="000000"/>
                <w:sz w:val="28"/>
                <w:szCs w:val="28"/>
              </w:rPr>
              <w:t>身体状况及体检报告审查</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15" w:hRule="atLeast"/>
        </w:trPr>
        <w:tc>
          <w:tcPr>
            <w:tcW w:w="713" w:type="dxa"/>
            <w:noWrap w:val="0"/>
            <w:vAlign w:val="center"/>
          </w:tcPr>
          <w:p>
            <w:pPr>
              <w:pStyle w:val="4"/>
              <w:keepNext w:val="0"/>
              <w:keepLines w:val="0"/>
              <w:pageBreakBefore w:val="0"/>
              <w:widowControl w:val="0"/>
              <w:wordWrap/>
              <w:bidi w:val="0"/>
              <w:spacing w:before="0" w:after="0" w:line="500" w:lineRule="exact"/>
              <w:jc w:val="center"/>
              <w:rPr>
                <w:rFonts w:ascii="仿宋_GB2312" w:eastAsia="仿宋_GB2312"/>
                <w:b w:val="0"/>
                <w:bCs w:val="0"/>
                <w:color w:val="000000"/>
                <w:sz w:val="28"/>
                <w:szCs w:val="28"/>
              </w:rPr>
            </w:pPr>
            <w:r>
              <w:rPr>
                <w:rFonts w:hint="eastAsia" w:ascii="仿宋_GB2312" w:eastAsia="仿宋_GB2312"/>
                <w:b w:val="0"/>
                <w:bCs w:val="0"/>
                <w:color w:val="000000"/>
                <w:sz w:val="28"/>
                <w:szCs w:val="28"/>
              </w:rPr>
              <w:t>6</w:t>
            </w:r>
          </w:p>
        </w:tc>
        <w:tc>
          <w:tcPr>
            <w:tcW w:w="8190" w:type="dxa"/>
            <w:noWrap w:val="0"/>
            <w:vAlign w:val="center"/>
          </w:tcPr>
          <w:p>
            <w:pPr>
              <w:pStyle w:val="4"/>
              <w:keepNext w:val="0"/>
              <w:keepLines w:val="0"/>
              <w:pageBreakBefore w:val="0"/>
              <w:widowControl w:val="0"/>
              <w:wordWrap/>
              <w:bidi w:val="0"/>
              <w:spacing w:before="0" w:after="0" w:line="500" w:lineRule="exact"/>
              <w:rPr>
                <w:rFonts w:ascii="仿宋_GB2312" w:eastAsia="仿宋_GB2312"/>
                <w:b w:val="0"/>
                <w:bCs w:val="0"/>
                <w:color w:val="000000"/>
                <w:sz w:val="28"/>
                <w:szCs w:val="28"/>
              </w:rPr>
            </w:pPr>
            <w:r>
              <w:rPr>
                <w:rFonts w:hint="eastAsia" w:ascii="仿宋_GB2312" w:eastAsia="仿宋_GB2312"/>
                <w:b w:val="0"/>
                <w:bCs w:val="0"/>
                <w:color w:val="000000"/>
                <w:sz w:val="28"/>
                <w:szCs w:val="28"/>
              </w:rPr>
              <w:t>通讯地址确认及审查</w:t>
            </w:r>
          </w:p>
        </w:tc>
      </w:tr>
    </w:tbl>
    <w:p>
      <w:pPr>
        <w:pStyle w:val="4"/>
        <w:keepNext w:val="0"/>
        <w:keepLines w:val="0"/>
        <w:pageBreakBefore w:val="0"/>
        <w:widowControl w:val="0"/>
        <w:wordWrap/>
        <w:bidi w:val="0"/>
        <w:spacing w:before="0" w:after="0" w:line="500" w:lineRule="exact"/>
        <w:ind w:firstLine="522" w:firstLineChars="200"/>
        <w:rPr>
          <w:rFonts w:ascii="仿宋_GB2312" w:eastAsia="仿宋_GB2312"/>
          <w:color w:val="000000"/>
          <w:sz w:val="28"/>
          <w:szCs w:val="28"/>
        </w:rPr>
      </w:pPr>
      <w:r>
        <w:rPr>
          <w:rFonts w:hint="eastAsia" w:ascii="仿宋_GB2312" w:eastAsia="仿宋_GB2312"/>
          <w:color w:val="000000"/>
          <w:sz w:val="28"/>
          <w:szCs w:val="28"/>
        </w:rPr>
        <w:t>《员工入职信息登记表》范本（见附件）</w:t>
      </w:r>
    </w:p>
    <w:p>
      <w:pPr>
        <w:pStyle w:val="4"/>
        <w:keepNext w:val="0"/>
        <w:keepLines w:val="0"/>
        <w:pageBreakBefore w:val="0"/>
        <w:widowControl w:val="0"/>
        <w:wordWrap/>
        <w:bidi w:val="0"/>
        <w:spacing w:before="0" w:after="0" w:line="500" w:lineRule="exact"/>
        <w:ind w:left="604"/>
        <w:rPr>
          <w:rFonts w:hint="eastAsia" w:ascii="仿宋_GB2312" w:eastAsia="仿宋_GB2312" w:cs="宋体"/>
          <w:color w:val="000000"/>
          <w:sz w:val="28"/>
          <w:szCs w:val="28"/>
        </w:rPr>
      </w:pPr>
      <w:r>
        <w:rPr>
          <w:rFonts w:hint="eastAsia" w:ascii="仿宋_GB2312" w:eastAsia="仿宋_GB2312"/>
          <w:color w:val="000000"/>
          <w:sz w:val="28"/>
          <w:szCs w:val="28"/>
        </w:rPr>
        <w:t>2.劳动合同管理</w:t>
      </w:r>
      <w:bookmarkEnd w:id="76"/>
    </w:p>
    <w:p>
      <w:pPr>
        <w:pStyle w:val="4"/>
        <w:keepNext w:val="0"/>
        <w:keepLines w:val="0"/>
        <w:pageBreakBefore w:val="0"/>
        <w:widowControl w:val="0"/>
        <w:wordWrap/>
        <w:bidi w:val="0"/>
        <w:spacing w:before="0" w:after="0" w:line="500" w:lineRule="exact"/>
        <w:ind w:firstLine="522" w:firstLineChars="200"/>
        <w:rPr>
          <w:rFonts w:hint="eastAsia" w:ascii="仿宋_GB2312" w:eastAsia="仿宋_GB2312" w:cs="宋体"/>
          <w:color w:val="000000"/>
          <w:sz w:val="28"/>
          <w:szCs w:val="28"/>
        </w:rPr>
      </w:pPr>
      <w:r>
        <w:rPr>
          <w:rFonts w:hint="eastAsia" w:ascii="仿宋_GB2312" w:eastAsia="仿宋_GB2312" w:cs="宋体"/>
          <w:color w:val="000000"/>
          <w:sz w:val="28"/>
          <w:szCs w:val="28"/>
        </w:rPr>
        <w:t>劳动</w:t>
      </w:r>
      <w:r>
        <w:rPr>
          <w:rFonts w:hint="eastAsia" w:ascii="仿宋_GB2312" w:hAnsi="MS Gothic" w:eastAsia="仿宋_GB2312" w:cs="MS Gothic"/>
          <w:color w:val="000000"/>
          <w:sz w:val="28"/>
          <w:szCs w:val="28"/>
        </w:rPr>
        <w:t>合同</w:t>
      </w:r>
      <w:r>
        <w:rPr>
          <w:rFonts w:hint="eastAsia" w:ascii="仿宋_GB2312" w:eastAsia="仿宋_GB2312" w:cs="宋体"/>
          <w:color w:val="000000"/>
          <w:sz w:val="28"/>
          <w:szCs w:val="28"/>
        </w:rPr>
        <w:t>审查</w:t>
      </w:r>
    </w:p>
    <w:tbl>
      <w:tblPr>
        <w:tblStyle w:val="15"/>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57" w:type="dxa"/>
          <w:bottom w:w="0" w:type="dxa"/>
          <w:right w:w="57" w:type="dxa"/>
        </w:tblCellMar>
      </w:tblPr>
      <w:tblGrid>
        <w:gridCol w:w="74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trPr>
        <w:tc>
          <w:tcPr>
            <w:tcW w:w="5000" w:type="pct"/>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b/>
                <w:color w:val="000000"/>
                <w:sz w:val="28"/>
                <w:szCs w:val="28"/>
              </w:rPr>
            </w:pPr>
            <w:r>
              <w:rPr>
                <w:rFonts w:hint="eastAsia" w:ascii="仿宋_GB2312" w:eastAsia="仿宋_GB2312" w:cs="宋体"/>
                <w:color w:val="000000"/>
                <w:sz w:val="28"/>
                <w:szCs w:val="28"/>
              </w:rPr>
              <w:br w:type="page"/>
            </w:r>
            <w:r>
              <w:rPr>
                <w:rFonts w:hint="eastAsia" w:ascii="仿宋_GB2312" w:hAnsi="仿宋" w:eastAsia="仿宋_GB2312" w:cs="仿宋"/>
                <w:b/>
                <w:color w:val="000000"/>
                <w:sz w:val="28"/>
                <w:szCs w:val="28"/>
              </w:rPr>
              <w:t>《劳动合同审查要点》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trPr>
        <w:tc>
          <w:tcPr>
            <w:tcW w:w="5000" w:type="pct"/>
            <w:shd w:val="clear" w:color="auto" w:fill="FFFFFF"/>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审查主体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trPr>
        <w:tc>
          <w:tcPr>
            <w:tcW w:w="5000" w:type="pct"/>
            <w:shd w:val="clear" w:color="auto" w:fill="FFFFFF"/>
            <w:noWrap w:val="0"/>
            <w:vAlign w:val="center"/>
          </w:tcPr>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审查年龄：是否达到了法定年龄，即年满16岁</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审查资质：与应聘职位相关的学历证明和各种资格证明</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审查劳动关系状态：离职证明</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审查身体状况：体检报告</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审查劳动行为能力，即具备能以自己的行为行使劳动权利和履行劳动义务的资格</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审查是否为特殊人员，如外国人、在校实习生、兼职和退休返聘人员等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trPr>
        <w:tc>
          <w:tcPr>
            <w:tcW w:w="5000" w:type="pct"/>
            <w:shd w:val="clear" w:color="auto" w:fill="FFFFFF"/>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审查劳动合同期限和试用期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trPr>
        <w:tc>
          <w:tcPr>
            <w:tcW w:w="5000" w:type="pct"/>
            <w:shd w:val="clear" w:color="auto" w:fill="FFFFFF"/>
            <w:noWrap w:val="0"/>
            <w:vAlign w:val="center"/>
          </w:tcPr>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审查是否对合同期限进行了约定，劳动合同期限的起止时间是否有约定</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审查是否对试用期做了约定</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注意：三个月以上不满一年的劳动合同最多只能约定1个月的试用期；一年以上不满三年的劳动合同最多只能约定2个月的试用期；三年及以上的劳动合同最多只能约定6个月的试用期；同一用人单位和一个劳动者只能约定一次试用期；三个月以下及以完成一定工作任务为期限的劳动合同，不得约定试用期；外国人劳动合同期限不得超过5年；以完成一定工作任务为期限的劳动合同，要注意明确工作任务的起止时间节点）</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审查是否对试用期的“不符合录用条件”情形进行了约定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trPr>
        <w:tc>
          <w:tcPr>
            <w:tcW w:w="5000" w:type="pct"/>
            <w:shd w:val="clear" w:color="auto" w:fill="FFFFFF"/>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审查工作性质、时间、地点、内容条款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trPr>
        <w:tc>
          <w:tcPr>
            <w:tcW w:w="5000" w:type="pct"/>
            <w:shd w:val="clear" w:color="auto" w:fill="FFFFFF"/>
            <w:noWrap w:val="0"/>
            <w:vAlign w:val="center"/>
          </w:tcPr>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审查是否对工作地点进行了约定</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审查是否约定用人单位可以对工作地点进行调整，可以工作需要或者生产经营需要等理由作约定</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审查是否约定工作岗位</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审查是否约定对岗位职责</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审查是否约定了用人单位有权根据生产经营或业务经营需要对劳动者的岗位进行调整</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审查是否约定工时制度，标准工时制、综合计算工时制和不定时工时制是否作了明确，若无，应提示用人单位明确劳动者采用何种工时制度工作</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审查是否约定加班制度，是否明确必须要有书面的加班申请及书面审批</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对休假进行了约定，是否有除法定年休假外的企业福利年假，如果有，是否进行了关于如何休假（包括休假天数、休假条件、未休法定年休假、未休福利年假的处理是作废还是按一定标准给予补偿）的约定，该部分内容可提示企业在员工手册或休假制度中进一步明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trPr>
        <w:tc>
          <w:tcPr>
            <w:tcW w:w="5000" w:type="pct"/>
            <w:shd w:val="clear" w:color="auto" w:fill="FFFFFF"/>
            <w:noWrap w:val="0"/>
            <w:vAlign w:val="center"/>
          </w:tcPr>
          <w:p>
            <w:pPr>
              <w:keepNext w:val="0"/>
              <w:keepLines w:val="0"/>
              <w:pageBreakBefore w:val="0"/>
              <w:widowControl w:val="0"/>
              <w:wordWrap/>
              <w:bidi w:val="0"/>
              <w:spacing w:after="0" w:line="500" w:lineRule="exact"/>
              <w:ind w:firstLine="522" w:firstLineChars="200"/>
              <w:jc w:val="center"/>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审查劳动报酬和保险福利待遇条款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trPr>
        <w:tc>
          <w:tcPr>
            <w:tcW w:w="5000" w:type="pct"/>
            <w:shd w:val="clear" w:color="auto" w:fill="FFFFFF"/>
            <w:noWrap w:val="0"/>
            <w:vAlign w:val="center"/>
          </w:tcPr>
          <w:p>
            <w:pPr>
              <w:pStyle w:val="25"/>
              <w:keepNext w:val="0"/>
              <w:keepLines w:val="0"/>
              <w:pageBreakBefore w:val="0"/>
              <w:widowControl w:val="0"/>
              <w:numPr>
                <w:ilvl w:val="0"/>
                <w:numId w:val="0"/>
              </w:numPr>
              <w:wordWrap/>
              <w:bidi w:val="0"/>
              <w:adjustRightInd w:val="0"/>
              <w:snapToGrid w:val="0"/>
              <w:spacing w:line="500" w:lineRule="exact"/>
              <w:ind w:left="60"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审查是否约定试用期劳动报酬</w:t>
            </w:r>
          </w:p>
          <w:p>
            <w:pPr>
              <w:pStyle w:val="25"/>
              <w:keepNext w:val="0"/>
              <w:keepLines w:val="0"/>
              <w:pageBreakBefore w:val="0"/>
              <w:widowControl w:val="0"/>
              <w:numPr>
                <w:ilvl w:val="0"/>
                <w:numId w:val="0"/>
              </w:numPr>
              <w:wordWrap/>
              <w:bidi w:val="0"/>
              <w:adjustRightInd w:val="0"/>
              <w:snapToGrid w:val="0"/>
              <w:spacing w:line="500" w:lineRule="exact"/>
              <w:ind w:left="60"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审查约定的试用期劳动报酬是否为转正后劳动报酬的 80% 及以上，且不低于当地最低工资标准</w:t>
            </w:r>
          </w:p>
          <w:p>
            <w:pPr>
              <w:pStyle w:val="25"/>
              <w:keepNext w:val="0"/>
              <w:keepLines w:val="0"/>
              <w:pageBreakBefore w:val="0"/>
              <w:widowControl w:val="0"/>
              <w:numPr>
                <w:ilvl w:val="0"/>
                <w:numId w:val="0"/>
              </w:numPr>
              <w:wordWrap/>
              <w:bidi w:val="0"/>
              <w:adjustRightInd w:val="0"/>
              <w:snapToGrid w:val="0"/>
              <w:spacing w:line="500" w:lineRule="exact"/>
              <w:ind w:left="60"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审查是否约定转正后的劳动报酬</w:t>
            </w:r>
          </w:p>
          <w:p>
            <w:pPr>
              <w:pStyle w:val="25"/>
              <w:keepNext w:val="0"/>
              <w:keepLines w:val="0"/>
              <w:pageBreakBefore w:val="0"/>
              <w:widowControl w:val="0"/>
              <w:numPr>
                <w:ilvl w:val="0"/>
                <w:numId w:val="0"/>
              </w:numPr>
              <w:wordWrap/>
              <w:bidi w:val="0"/>
              <w:adjustRightInd w:val="0"/>
              <w:snapToGrid w:val="0"/>
              <w:spacing w:line="500" w:lineRule="exact"/>
              <w:ind w:left="60"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审查是否约定劳动报酬的支付方式和支付时间</w:t>
            </w:r>
          </w:p>
          <w:p>
            <w:pPr>
              <w:pStyle w:val="25"/>
              <w:keepNext w:val="0"/>
              <w:keepLines w:val="0"/>
              <w:pageBreakBefore w:val="0"/>
              <w:widowControl w:val="0"/>
              <w:numPr>
                <w:ilvl w:val="0"/>
                <w:numId w:val="0"/>
              </w:numPr>
              <w:wordWrap/>
              <w:bidi w:val="0"/>
              <w:adjustRightInd w:val="0"/>
              <w:snapToGrid w:val="0"/>
              <w:spacing w:line="500" w:lineRule="exact"/>
              <w:ind w:left="60"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审查是否约定奖金，若有，如何计算发放</w:t>
            </w:r>
          </w:p>
          <w:p>
            <w:pPr>
              <w:pStyle w:val="25"/>
              <w:keepNext w:val="0"/>
              <w:keepLines w:val="0"/>
              <w:pageBreakBefore w:val="0"/>
              <w:widowControl w:val="0"/>
              <w:numPr>
                <w:ilvl w:val="0"/>
                <w:numId w:val="0"/>
              </w:numPr>
              <w:wordWrap/>
              <w:bidi w:val="0"/>
              <w:adjustRightInd w:val="0"/>
              <w:snapToGrid w:val="0"/>
              <w:spacing w:line="500" w:lineRule="exact"/>
              <w:ind w:left="60"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审查是否约定劳动者可享受的保险福利待遇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trPr>
        <w:tc>
          <w:tcPr>
            <w:tcW w:w="5000" w:type="pct"/>
            <w:shd w:val="clear" w:color="auto" w:fill="FFFFFF"/>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审查劳动纪律、劳动保护、劳动条件和职业危害防护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trPr>
        <w:tc>
          <w:tcPr>
            <w:tcW w:w="5000" w:type="pct"/>
            <w:shd w:val="clear" w:color="auto" w:fill="FFFFFF"/>
            <w:noWrap w:val="0"/>
            <w:vAlign w:val="center"/>
          </w:tcPr>
          <w:p>
            <w:pPr>
              <w:pStyle w:val="25"/>
              <w:keepNext w:val="0"/>
              <w:keepLines w:val="0"/>
              <w:pageBreakBefore w:val="0"/>
              <w:widowControl w:val="0"/>
              <w:numPr>
                <w:ilvl w:val="0"/>
                <w:numId w:val="0"/>
              </w:numPr>
              <w:wordWrap/>
              <w:bidi w:val="0"/>
              <w:adjustRightInd w:val="0"/>
              <w:snapToGrid w:val="0"/>
              <w:spacing w:line="500" w:lineRule="exact"/>
              <w:ind w:left="62"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审查是否明确约定劳动纪律</w:t>
            </w:r>
          </w:p>
          <w:p>
            <w:pPr>
              <w:pStyle w:val="25"/>
              <w:keepNext w:val="0"/>
              <w:keepLines w:val="0"/>
              <w:pageBreakBefore w:val="0"/>
              <w:widowControl w:val="0"/>
              <w:numPr>
                <w:ilvl w:val="0"/>
                <w:numId w:val="0"/>
              </w:numPr>
              <w:wordWrap/>
              <w:bidi w:val="0"/>
              <w:adjustRightInd w:val="0"/>
              <w:snapToGrid w:val="0"/>
              <w:spacing w:line="500" w:lineRule="exact"/>
              <w:ind w:left="62"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审查是否明确约定对违反劳动纪律的处罚</w:t>
            </w:r>
          </w:p>
          <w:p>
            <w:pPr>
              <w:pStyle w:val="25"/>
              <w:keepNext w:val="0"/>
              <w:keepLines w:val="0"/>
              <w:pageBreakBefore w:val="0"/>
              <w:widowControl w:val="0"/>
              <w:numPr>
                <w:ilvl w:val="0"/>
                <w:numId w:val="0"/>
              </w:numPr>
              <w:wordWrap/>
              <w:bidi w:val="0"/>
              <w:adjustRightInd w:val="0"/>
              <w:snapToGrid w:val="0"/>
              <w:spacing w:line="500" w:lineRule="exact"/>
              <w:ind w:left="62"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审查若行业存在可能患职业病的风险，是否有对职业危害防护的规定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trPr>
        <w:tc>
          <w:tcPr>
            <w:tcW w:w="5000" w:type="pct"/>
            <w:shd w:val="clear" w:color="auto" w:fill="FFFFFF"/>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审查权利义务条款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trPr>
        <w:tc>
          <w:tcPr>
            <w:tcW w:w="5000" w:type="pct"/>
            <w:shd w:val="clear" w:color="auto" w:fill="FFFFFF"/>
            <w:noWrap w:val="0"/>
            <w:vAlign w:val="center"/>
          </w:tcPr>
          <w:p>
            <w:pPr>
              <w:pStyle w:val="25"/>
              <w:keepNext w:val="0"/>
              <w:keepLines w:val="0"/>
              <w:pageBreakBefore w:val="0"/>
              <w:widowControl w:val="0"/>
              <w:numPr>
                <w:ilvl w:val="0"/>
                <w:numId w:val="0"/>
              </w:numPr>
              <w:wordWrap/>
              <w:bidi w:val="0"/>
              <w:adjustRightInd w:val="0"/>
              <w:snapToGrid w:val="0"/>
              <w:spacing w:line="500" w:lineRule="exact"/>
              <w:ind w:left="62"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审查是否约定保密义务</w:t>
            </w:r>
          </w:p>
          <w:p>
            <w:pPr>
              <w:pStyle w:val="25"/>
              <w:keepNext w:val="0"/>
              <w:keepLines w:val="0"/>
              <w:pageBreakBefore w:val="0"/>
              <w:widowControl w:val="0"/>
              <w:numPr>
                <w:ilvl w:val="0"/>
                <w:numId w:val="0"/>
              </w:numPr>
              <w:wordWrap/>
              <w:bidi w:val="0"/>
              <w:adjustRightInd w:val="0"/>
              <w:snapToGrid w:val="0"/>
              <w:spacing w:line="500" w:lineRule="exact"/>
              <w:ind w:left="62"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审查是否约定全面具体的保密信息，不同的企业根据其所处行业特点进而约定保密信息类型，一般包括：经营信息、技术信息和管理信息</w:t>
            </w:r>
          </w:p>
          <w:p>
            <w:pPr>
              <w:pStyle w:val="25"/>
              <w:keepNext w:val="0"/>
              <w:keepLines w:val="0"/>
              <w:pageBreakBefore w:val="0"/>
              <w:widowControl w:val="0"/>
              <w:numPr>
                <w:ilvl w:val="0"/>
                <w:numId w:val="0"/>
              </w:numPr>
              <w:wordWrap/>
              <w:bidi w:val="0"/>
              <w:adjustRightInd w:val="0"/>
              <w:snapToGrid w:val="0"/>
              <w:spacing w:line="500" w:lineRule="exact"/>
              <w:ind w:left="62"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审查是否对保密期限进行了约定</w:t>
            </w:r>
          </w:p>
          <w:p>
            <w:pPr>
              <w:pStyle w:val="25"/>
              <w:keepNext w:val="0"/>
              <w:keepLines w:val="0"/>
              <w:pageBreakBefore w:val="0"/>
              <w:widowControl w:val="0"/>
              <w:numPr>
                <w:ilvl w:val="0"/>
                <w:numId w:val="0"/>
              </w:numPr>
              <w:wordWrap/>
              <w:bidi w:val="0"/>
              <w:adjustRightInd w:val="0"/>
              <w:snapToGrid w:val="0"/>
              <w:spacing w:line="500" w:lineRule="exact"/>
              <w:ind w:left="62"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审查是否约定劳动者应采取的保密措施</w:t>
            </w:r>
          </w:p>
          <w:p>
            <w:pPr>
              <w:pStyle w:val="25"/>
              <w:keepNext w:val="0"/>
              <w:keepLines w:val="0"/>
              <w:pageBreakBefore w:val="0"/>
              <w:widowControl w:val="0"/>
              <w:numPr>
                <w:ilvl w:val="0"/>
                <w:numId w:val="0"/>
              </w:numPr>
              <w:wordWrap/>
              <w:bidi w:val="0"/>
              <w:adjustRightInd w:val="0"/>
              <w:snapToGrid w:val="0"/>
              <w:spacing w:line="500" w:lineRule="exact"/>
              <w:ind w:left="62"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审查是否约定劳动者违反保密义务需承担的赔偿责任</w:t>
            </w:r>
          </w:p>
          <w:p>
            <w:pPr>
              <w:pStyle w:val="25"/>
              <w:keepNext w:val="0"/>
              <w:keepLines w:val="0"/>
              <w:pageBreakBefore w:val="0"/>
              <w:widowControl w:val="0"/>
              <w:numPr>
                <w:ilvl w:val="0"/>
                <w:numId w:val="0"/>
              </w:numPr>
              <w:wordWrap/>
              <w:bidi w:val="0"/>
              <w:adjustRightInd w:val="0"/>
              <w:snapToGrid w:val="0"/>
              <w:spacing w:line="500" w:lineRule="exact"/>
              <w:ind w:left="62"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审查是否约定职务成果的范围</w:t>
            </w:r>
          </w:p>
          <w:p>
            <w:pPr>
              <w:pStyle w:val="25"/>
              <w:keepNext w:val="0"/>
              <w:keepLines w:val="0"/>
              <w:pageBreakBefore w:val="0"/>
              <w:widowControl w:val="0"/>
              <w:numPr>
                <w:ilvl w:val="0"/>
                <w:numId w:val="0"/>
              </w:numPr>
              <w:wordWrap/>
              <w:bidi w:val="0"/>
              <w:adjustRightInd w:val="0"/>
              <w:snapToGrid w:val="0"/>
              <w:spacing w:line="500" w:lineRule="exact"/>
              <w:ind w:left="62"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审查是否约定劳动者对职务成果知识产权申报的协助义务</w:t>
            </w:r>
          </w:p>
          <w:p>
            <w:pPr>
              <w:pStyle w:val="25"/>
              <w:keepNext w:val="0"/>
              <w:keepLines w:val="0"/>
              <w:pageBreakBefore w:val="0"/>
              <w:widowControl w:val="0"/>
              <w:numPr>
                <w:ilvl w:val="0"/>
                <w:numId w:val="0"/>
              </w:numPr>
              <w:wordWrap/>
              <w:bidi w:val="0"/>
              <w:adjustRightInd w:val="0"/>
              <w:snapToGrid w:val="0"/>
              <w:spacing w:line="500" w:lineRule="exact"/>
              <w:ind w:left="62"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审查是否约定劳动者非职务成果的用人单位优先受让权</w:t>
            </w:r>
          </w:p>
          <w:p>
            <w:pPr>
              <w:pStyle w:val="25"/>
              <w:keepNext w:val="0"/>
              <w:keepLines w:val="0"/>
              <w:pageBreakBefore w:val="0"/>
              <w:widowControl w:val="0"/>
              <w:numPr>
                <w:ilvl w:val="0"/>
                <w:numId w:val="0"/>
              </w:numPr>
              <w:wordWrap/>
              <w:bidi w:val="0"/>
              <w:adjustRightInd w:val="0"/>
              <w:snapToGrid w:val="0"/>
              <w:spacing w:line="500" w:lineRule="exact"/>
              <w:ind w:left="62"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审查是否约定另行签订《竞业限制协议》</w:t>
            </w:r>
          </w:p>
          <w:p>
            <w:pPr>
              <w:pStyle w:val="25"/>
              <w:keepNext w:val="0"/>
              <w:keepLines w:val="0"/>
              <w:pageBreakBefore w:val="0"/>
              <w:widowControl w:val="0"/>
              <w:numPr>
                <w:ilvl w:val="0"/>
                <w:numId w:val="0"/>
              </w:numPr>
              <w:wordWrap/>
              <w:bidi w:val="0"/>
              <w:adjustRightInd w:val="0"/>
              <w:snapToGrid w:val="0"/>
              <w:spacing w:line="500" w:lineRule="exact"/>
              <w:ind w:left="62"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审查是否约定竞业限制范围</w:t>
            </w:r>
          </w:p>
          <w:p>
            <w:pPr>
              <w:pStyle w:val="25"/>
              <w:keepNext w:val="0"/>
              <w:keepLines w:val="0"/>
              <w:pageBreakBefore w:val="0"/>
              <w:widowControl w:val="0"/>
              <w:numPr>
                <w:ilvl w:val="0"/>
                <w:numId w:val="0"/>
              </w:numPr>
              <w:wordWrap/>
              <w:bidi w:val="0"/>
              <w:adjustRightInd w:val="0"/>
              <w:snapToGrid w:val="0"/>
              <w:spacing w:line="500" w:lineRule="exact"/>
              <w:ind w:left="62"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审查是否约定竞业限制期</w:t>
            </w:r>
          </w:p>
          <w:p>
            <w:pPr>
              <w:pStyle w:val="25"/>
              <w:keepNext w:val="0"/>
              <w:keepLines w:val="0"/>
              <w:pageBreakBefore w:val="0"/>
              <w:widowControl w:val="0"/>
              <w:numPr>
                <w:ilvl w:val="0"/>
                <w:numId w:val="0"/>
              </w:numPr>
              <w:wordWrap/>
              <w:bidi w:val="0"/>
              <w:adjustRightInd w:val="0"/>
              <w:snapToGrid w:val="0"/>
              <w:spacing w:line="500" w:lineRule="exact"/>
              <w:ind w:left="62"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审查是否约定竞业限制补偿金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trPr>
        <w:tc>
          <w:tcPr>
            <w:tcW w:w="5000" w:type="pct"/>
            <w:shd w:val="clear" w:color="auto" w:fill="FFFFFF"/>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审查劳动合同的变更、续订、解除与终止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trPr>
        <w:tc>
          <w:tcPr>
            <w:tcW w:w="5000" w:type="pct"/>
            <w:shd w:val="clear" w:color="auto" w:fill="FFFFFF"/>
            <w:noWrap w:val="0"/>
            <w:vAlign w:val="center"/>
          </w:tcPr>
          <w:p>
            <w:pPr>
              <w:pStyle w:val="25"/>
              <w:keepNext w:val="0"/>
              <w:keepLines w:val="0"/>
              <w:pageBreakBefore w:val="0"/>
              <w:widowControl w:val="0"/>
              <w:numPr>
                <w:ilvl w:val="0"/>
                <w:numId w:val="0"/>
              </w:numPr>
              <w:wordWrap/>
              <w:bidi w:val="0"/>
              <w:adjustRightInd w:val="0"/>
              <w:snapToGrid w:val="0"/>
              <w:spacing w:line="500" w:lineRule="exact"/>
              <w:ind w:left="62"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审查是否明确劳动合同变更的情形、用人单位是否有单方变更劳动合同的权利</w:t>
            </w:r>
          </w:p>
          <w:p>
            <w:pPr>
              <w:pStyle w:val="25"/>
              <w:keepNext w:val="0"/>
              <w:keepLines w:val="0"/>
              <w:pageBreakBefore w:val="0"/>
              <w:widowControl w:val="0"/>
              <w:numPr>
                <w:ilvl w:val="0"/>
                <w:numId w:val="0"/>
              </w:numPr>
              <w:wordWrap/>
              <w:bidi w:val="0"/>
              <w:adjustRightInd w:val="0"/>
              <w:snapToGrid w:val="0"/>
              <w:spacing w:line="500" w:lineRule="exact"/>
              <w:ind w:left="62"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审查是否明确劳动合同续订的情形</w:t>
            </w:r>
          </w:p>
          <w:p>
            <w:pPr>
              <w:pStyle w:val="25"/>
              <w:keepNext w:val="0"/>
              <w:keepLines w:val="0"/>
              <w:pageBreakBefore w:val="0"/>
              <w:widowControl w:val="0"/>
              <w:numPr>
                <w:ilvl w:val="0"/>
                <w:numId w:val="0"/>
              </w:numPr>
              <w:wordWrap/>
              <w:bidi w:val="0"/>
              <w:adjustRightInd w:val="0"/>
              <w:snapToGrid w:val="0"/>
              <w:spacing w:line="500" w:lineRule="exact"/>
              <w:ind w:left="62"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审查是否明确劳动合同解除的情形</w:t>
            </w:r>
          </w:p>
          <w:p>
            <w:pPr>
              <w:pStyle w:val="25"/>
              <w:keepNext w:val="0"/>
              <w:keepLines w:val="0"/>
              <w:pageBreakBefore w:val="0"/>
              <w:widowControl w:val="0"/>
              <w:numPr>
                <w:ilvl w:val="0"/>
                <w:numId w:val="0"/>
              </w:numPr>
              <w:wordWrap/>
              <w:bidi w:val="0"/>
              <w:adjustRightInd w:val="0"/>
              <w:snapToGrid w:val="0"/>
              <w:spacing w:line="500" w:lineRule="exact"/>
              <w:ind w:left="62"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审查是否明确劳动合同终止的情形</w:t>
            </w:r>
          </w:p>
          <w:p>
            <w:pPr>
              <w:pStyle w:val="25"/>
              <w:keepNext w:val="0"/>
              <w:keepLines w:val="0"/>
              <w:pageBreakBefore w:val="0"/>
              <w:widowControl w:val="0"/>
              <w:numPr>
                <w:ilvl w:val="0"/>
                <w:numId w:val="0"/>
              </w:numPr>
              <w:wordWrap/>
              <w:bidi w:val="0"/>
              <w:adjustRightInd w:val="0"/>
              <w:snapToGrid w:val="0"/>
              <w:spacing w:line="500" w:lineRule="exact"/>
              <w:ind w:left="62"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审查是否明确劳动合同解除或终止后劳动者应尽的义务，如服务期未满如何承担违约责任的规定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trPr>
        <w:tc>
          <w:tcPr>
            <w:tcW w:w="5000" w:type="pct"/>
            <w:shd w:val="clear" w:color="auto" w:fill="FFFFFF"/>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审查经济补偿与赔偿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trPr>
        <w:tc>
          <w:tcPr>
            <w:tcW w:w="5000" w:type="pct"/>
            <w:shd w:val="clear" w:color="auto" w:fill="FFFFFF"/>
            <w:noWrap w:val="0"/>
            <w:vAlign w:val="center"/>
          </w:tcPr>
          <w:p>
            <w:pPr>
              <w:pStyle w:val="25"/>
              <w:keepNext w:val="0"/>
              <w:keepLines w:val="0"/>
              <w:pageBreakBefore w:val="0"/>
              <w:widowControl w:val="0"/>
              <w:numPr>
                <w:ilvl w:val="0"/>
                <w:numId w:val="0"/>
              </w:numPr>
              <w:wordWrap/>
              <w:bidi w:val="0"/>
              <w:adjustRightInd w:val="0"/>
              <w:snapToGrid w:val="0"/>
              <w:spacing w:line="500" w:lineRule="exact"/>
              <w:ind w:left="62"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审查是否约定劳动者给单位造成的损失需赔偿的情形</w:t>
            </w:r>
          </w:p>
          <w:p>
            <w:pPr>
              <w:pStyle w:val="25"/>
              <w:keepNext w:val="0"/>
              <w:keepLines w:val="0"/>
              <w:pageBreakBefore w:val="0"/>
              <w:widowControl w:val="0"/>
              <w:numPr>
                <w:ilvl w:val="0"/>
                <w:numId w:val="0"/>
              </w:numPr>
              <w:wordWrap/>
              <w:bidi w:val="0"/>
              <w:adjustRightInd w:val="0"/>
              <w:snapToGrid w:val="0"/>
              <w:spacing w:line="500" w:lineRule="exact"/>
              <w:ind w:left="62"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审查是否约定用人单位支付经济补偿金的情形</w:t>
            </w:r>
          </w:p>
          <w:p>
            <w:pPr>
              <w:pStyle w:val="25"/>
              <w:keepNext w:val="0"/>
              <w:keepLines w:val="0"/>
              <w:pageBreakBefore w:val="0"/>
              <w:widowControl w:val="0"/>
              <w:numPr>
                <w:ilvl w:val="0"/>
                <w:numId w:val="0"/>
              </w:numPr>
              <w:wordWrap/>
              <w:bidi w:val="0"/>
              <w:adjustRightInd w:val="0"/>
              <w:snapToGrid w:val="0"/>
              <w:spacing w:line="500" w:lineRule="exact"/>
              <w:ind w:left="62"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审查是否约定经济补偿金的计算标准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trPr>
        <w:tc>
          <w:tcPr>
            <w:tcW w:w="5000" w:type="pct"/>
            <w:shd w:val="clear" w:color="auto" w:fill="FFFFFF"/>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审查劳动争议处理及其他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trPr>
        <w:tc>
          <w:tcPr>
            <w:tcW w:w="5000" w:type="pct"/>
            <w:shd w:val="clear" w:color="auto" w:fill="FFFFFF"/>
            <w:noWrap w:val="0"/>
            <w:vAlign w:val="center"/>
          </w:tcPr>
          <w:p>
            <w:pPr>
              <w:pStyle w:val="25"/>
              <w:keepNext w:val="0"/>
              <w:keepLines w:val="0"/>
              <w:pageBreakBefore w:val="0"/>
              <w:widowControl w:val="0"/>
              <w:numPr>
                <w:ilvl w:val="0"/>
                <w:numId w:val="0"/>
              </w:numPr>
              <w:wordWrap/>
              <w:bidi w:val="0"/>
              <w:adjustRightInd w:val="0"/>
              <w:snapToGrid w:val="0"/>
              <w:spacing w:line="500" w:lineRule="exact"/>
              <w:ind w:left="62"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审查是否明确了劳动争议条款，用人单位可选择发生争议时是否先进行调解 </w:t>
            </w:r>
          </w:p>
          <w:p>
            <w:pPr>
              <w:pStyle w:val="25"/>
              <w:keepNext w:val="0"/>
              <w:keepLines w:val="0"/>
              <w:pageBreakBefore w:val="0"/>
              <w:widowControl w:val="0"/>
              <w:numPr>
                <w:ilvl w:val="0"/>
                <w:numId w:val="0"/>
              </w:numPr>
              <w:wordWrap/>
              <w:bidi w:val="0"/>
              <w:adjustRightInd w:val="0"/>
              <w:snapToGrid w:val="0"/>
              <w:spacing w:line="500" w:lineRule="exact"/>
              <w:ind w:left="62"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（注意：劳动争议须先进行劳动仲裁，未仲裁不得诉讼，应约定发生争议时向有管辖权的劳动争议仲裁委员会申请仲裁）</w:t>
            </w:r>
          </w:p>
          <w:p>
            <w:pPr>
              <w:pStyle w:val="25"/>
              <w:keepNext w:val="0"/>
              <w:keepLines w:val="0"/>
              <w:pageBreakBefore w:val="0"/>
              <w:widowControl w:val="0"/>
              <w:numPr>
                <w:ilvl w:val="0"/>
                <w:numId w:val="0"/>
              </w:numPr>
              <w:wordWrap/>
              <w:bidi w:val="0"/>
              <w:adjustRightInd w:val="0"/>
              <w:snapToGrid w:val="0"/>
              <w:spacing w:line="500" w:lineRule="exact"/>
              <w:ind w:left="62"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审查是否约定劳动合同的生效时间</w:t>
            </w:r>
          </w:p>
          <w:p>
            <w:pPr>
              <w:pStyle w:val="25"/>
              <w:keepNext w:val="0"/>
              <w:keepLines w:val="0"/>
              <w:pageBreakBefore w:val="0"/>
              <w:widowControl w:val="0"/>
              <w:numPr>
                <w:ilvl w:val="0"/>
                <w:numId w:val="0"/>
              </w:numPr>
              <w:wordWrap/>
              <w:bidi w:val="0"/>
              <w:adjustRightInd w:val="0"/>
              <w:snapToGrid w:val="0"/>
              <w:spacing w:line="500" w:lineRule="exact"/>
              <w:ind w:left="62"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审查是否约定补充协议的效力</w:t>
            </w:r>
          </w:p>
          <w:p>
            <w:pPr>
              <w:pStyle w:val="25"/>
              <w:keepNext w:val="0"/>
              <w:keepLines w:val="0"/>
              <w:pageBreakBefore w:val="0"/>
              <w:widowControl w:val="0"/>
              <w:numPr>
                <w:ilvl w:val="0"/>
                <w:numId w:val="0"/>
              </w:numPr>
              <w:wordWrap/>
              <w:bidi w:val="0"/>
              <w:adjustRightInd w:val="0"/>
              <w:snapToGrid w:val="0"/>
              <w:spacing w:line="500" w:lineRule="exact"/>
              <w:ind w:left="62"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审查是否明确劳动者的通知地址的事项，具体包括：</w:t>
            </w:r>
          </w:p>
          <w:p>
            <w:pPr>
              <w:pStyle w:val="25"/>
              <w:keepNext w:val="0"/>
              <w:keepLines w:val="0"/>
              <w:pageBreakBefore w:val="0"/>
              <w:widowControl w:val="0"/>
              <w:numPr>
                <w:ilvl w:val="0"/>
                <w:numId w:val="0"/>
              </w:numPr>
              <w:wordWrap/>
              <w:bidi w:val="0"/>
              <w:adjustRightInd w:val="0"/>
              <w:snapToGrid w:val="0"/>
              <w:spacing w:line="500" w:lineRule="exact"/>
              <w:ind w:left="62"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（1）通讯地址</w:t>
            </w:r>
          </w:p>
          <w:p>
            <w:pPr>
              <w:pStyle w:val="25"/>
              <w:keepNext w:val="0"/>
              <w:keepLines w:val="0"/>
              <w:pageBreakBefore w:val="0"/>
              <w:widowControl w:val="0"/>
              <w:numPr>
                <w:ilvl w:val="0"/>
                <w:numId w:val="0"/>
              </w:numPr>
              <w:wordWrap/>
              <w:bidi w:val="0"/>
              <w:adjustRightInd w:val="0"/>
              <w:snapToGrid w:val="0"/>
              <w:spacing w:line="500" w:lineRule="exact"/>
              <w:ind w:left="62"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（2）电子邮箱</w:t>
            </w:r>
          </w:p>
          <w:p>
            <w:pPr>
              <w:pStyle w:val="25"/>
              <w:keepNext w:val="0"/>
              <w:keepLines w:val="0"/>
              <w:pageBreakBefore w:val="0"/>
              <w:widowControl w:val="0"/>
              <w:numPr>
                <w:ilvl w:val="0"/>
                <w:numId w:val="0"/>
              </w:numPr>
              <w:wordWrap/>
              <w:bidi w:val="0"/>
              <w:adjustRightInd w:val="0"/>
              <w:snapToGrid w:val="0"/>
              <w:spacing w:line="500" w:lineRule="exact"/>
              <w:ind w:left="62"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（3）联系电话</w:t>
            </w:r>
          </w:p>
          <w:p>
            <w:pPr>
              <w:pStyle w:val="25"/>
              <w:keepNext w:val="0"/>
              <w:keepLines w:val="0"/>
              <w:pageBreakBefore w:val="0"/>
              <w:widowControl w:val="0"/>
              <w:numPr>
                <w:ilvl w:val="0"/>
                <w:numId w:val="0"/>
              </w:numPr>
              <w:wordWrap/>
              <w:bidi w:val="0"/>
              <w:adjustRightInd w:val="0"/>
              <w:snapToGrid w:val="0"/>
              <w:spacing w:line="500" w:lineRule="exact"/>
              <w:ind w:left="62"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审查是否明确劳动者变更联系地址时告知用人单位的方式</w:t>
            </w:r>
          </w:p>
          <w:p>
            <w:pPr>
              <w:pStyle w:val="25"/>
              <w:keepNext w:val="0"/>
              <w:keepLines w:val="0"/>
              <w:pageBreakBefore w:val="0"/>
              <w:widowControl w:val="0"/>
              <w:numPr>
                <w:ilvl w:val="0"/>
                <w:numId w:val="0"/>
              </w:numPr>
              <w:wordWrap/>
              <w:bidi w:val="0"/>
              <w:adjustRightInd w:val="0"/>
              <w:snapToGrid w:val="0"/>
              <w:spacing w:line="500" w:lineRule="exact"/>
              <w:ind w:left="62"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审查是否有签章位置</w:t>
            </w:r>
          </w:p>
        </w:tc>
      </w:tr>
    </w:tbl>
    <w:p>
      <w:pPr>
        <w:pStyle w:val="4"/>
        <w:keepNext w:val="0"/>
        <w:keepLines w:val="0"/>
        <w:pageBreakBefore w:val="0"/>
        <w:widowControl w:val="0"/>
        <w:wordWrap/>
        <w:bidi w:val="0"/>
        <w:spacing w:before="227" w:beforeLines="50" w:after="0" w:line="500" w:lineRule="exact"/>
        <w:ind w:left="604"/>
        <w:rPr>
          <w:rFonts w:hint="eastAsia" w:ascii="仿宋_GB2312" w:eastAsia="仿宋_GB2312"/>
          <w:sz w:val="28"/>
          <w:szCs w:val="28"/>
        </w:rPr>
      </w:pPr>
      <w:bookmarkStart w:id="81" w:name="_Toc75811712"/>
      <w:r>
        <w:rPr>
          <w:rFonts w:hint="eastAsia" w:ascii="仿宋_GB2312" w:eastAsia="仿宋_GB2312"/>
          <w:sz w:val="28"/>
          <w:szCs w:val="28"/>
        </w:rPr>
        <w:t>3.试用期管理</w:t>
      </w:r>
      <w:bookmarkEnd w:id="81"/>
    </w:p>
    <w:tbl>
      <w:tblPr>
        <w:tblStyle w:val="15"/>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57" w:type="dxa"/>
          <w:bottom w:w="0" w:type="dxa"/>
          <w:right w:w="57" w:type="dxa"/>
        </w:tblCellMar>
      </w:tblPr>
      <w:tblGrid>
        <w:gridCol w:w="74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740" w:hRule="atLeast"/>
        </w:trPr>
        <w:tc>
          <w:tcPr>
            <w:tcW w:w="5000" w:type="pct"/>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试用期管理需要注意的问题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750" w:hRule="atLeast"/>
        </w:trPr>
        <w:tc>
          <w:tcPr>
            <w:tcW w:w="5000" w:type="pct"/>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试用期内对劳动者的考核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6935" w:hRule="atLeast"/>
        </w:trPr>
        <w:tc>
          <w:tcPr>
            <w:tcW w:w="5000" w:type="pct"/>
            <w:noWrap w:val="0"/>
            <w:vAlign w:val="center"/>
          </w:tcPr>
          <w:p>
            <w:pPr>
              <w:pStyle w:val="25"/>
              <w:keepNext w:val="0"/>
              <w:keepLines w:val="0"/>
              <w:pageBreakBefore w:val="0"/>
              <w:widowControl w:val="0"/>
              <w:numPr>
                <w:ilvl w:val="0"/>
                <w:numId w:val="0"/>
              </w:numPr>
              <w:wordWrap/>
              <w:bidi w:val="0"/>
              <w:adjustRightInd w:val="0"/>
              <w:snapToGrid w:val="0"/>
              <w:spacing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审查试用期考核的时间是否超过试用期限</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试用期考核的内容是否具备：内容可以为劳动者所从事岗位上必备的条件；能否满足岗位职责的一定身体条件、一定技术能力；用人单位要求的工作态度和表现；相关法律法规及用人单位的规章制度的遵守情况</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审查试用期考核结果的评定标准、流程是否明确：明确试用期考核不通过的情形、考核的具体流程</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审查试用期作出考核结果的依据是否完备：在考核过程中，劳动者做出影响考核结果的行为时，用人单位应及时固定相关证据，并作为考核评定劳动者是否通过试用期的依据。</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审查试用期考核的程序条件是否完备：是否将考核内容、评定标准、评定结果、做出评定结果的依据通过书面形式告知劳动者，并与劳动者进行确认。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82" w:hRule="atLeast"/>
        </w:trPr>
        <w:tc>
          <w:tcPr>
            <w:tcW w:w="5000" w:type="pct"/>
            <w:noWrap w:val="0"/>
            <w:vAlign w:val="center"/>
          </w:tcPr>
          <w:p>
            <w:pPr>
              <w:keepNext w:val="0"/>
              <w:keepLines w:val="0"/>
              <w:pageBreakBefore w:val="0"/>
              <w:widowControl w:val="0"/>
              <w:wordWrap/>
              <w:bidi w:val="0"/>
              <w:spacing w:before="45" w:beforeLines="10" w:after="45" w:afterLines="10" w:line="500" w:lineRule="exact"/>
              <w:jc w:val="center"/>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试用期内以劳动者不符合录用条件解除劳动合同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90" w:hRule="atLeast"/>
        </w:trPr>
        <w:tc>
          <w:tcPr>
            <w:tcW w:w="5000" w:type="pct"/>
            <w:noWrap w:val="0"/>
            <w:vAlign w:val="center"/>
          </w:tcPr>
          <w:p>
            <w:pPr>
              <w:pStyle w:val="25"/>
              <w:keepNext w:val="0"/>
              <w:keepLines w:val="0"/>
              <w:pageBreakBefore w:val="0"/>
              <w:widowControl w:val="0"/>
              <w:numPr>
                <w:ilvl w:val="0"/>
                <w:numId w:val="0"/>
              </w:numPr>
              <w:wordWrap/>
              <w:bidi w:val="0"/>
              <w:adjustRightInd w:val="0"/>
              <w:snapToGrid w:val="0"/>
              <w:spacing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审查解除的时间是否超过试用期</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审查以不符合录用条件为由解除劳动合同理由是否充分</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审查是否有明确的录用条件</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审查劳动者是否不符合约定的录用条件</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审查用人单位是否能够证明劳动者不符合约定的录用条件</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审查用人单位是否将具体解除理由向劳动者进行说明</w:t>
            </w:r>
          </w:p>
        </w:tc>
      </w:tr>
    </w:tbl>
    <w:p>
      <w:pPr>
        <w:pStyle w:val="3"/>
        <w:keepNext w:val="0"/>
        <w:keepLines w:val="0"/>
        <w:pageBreakBefore w:val="0"/>
        <w:widowControl w:val="0"/>
        <w:wordWrap/>
        <w:bidi w:val="0"/>
        <w:spacing w:before="0" w:after="0" w:line="500" w:lineRule="exact"/>
        <w:ind w:firstLine="522" w:firstLineChars="200"/>
        <w:rPr>
          <w:rFonts w:ascii="仿宋_GB2312" w:eastAsia="仿宋_GB2312"/>
          <w:color w:val="000000"/>
          <w:sz w:val="28"/>
          <w:szCs w:val="28"/>
        </w:rPr>
      </w:pPr>
      <w:bookmarkStart w:id="82" w:name="_Toc75811713"/>
      <w:r>
        <w:rPr>
          <w:rFonts w:hint="eastAsia" w:ascii="楷体" w:hAnsi="楷体" w:eastAsia="楷体" w:cs="楷体"/>
          <w:color w:val="000000"/>
          <w:sz w:val="28"/>
          <w:szCs w:val="28"/>
        </w:rPr>
        <w:t>（三）用工环节合规服务</w:t>
      </w:r>
      <w:bookmarkEnd w:id="82"/>
    </w:p>
    <w:p>
      <w:pPr>
        <w:pStyle w:val="4"/>
        <w:keepNext w:val="0"/>
        <w:keepLines w:val="0"/>
        <w:pageBreakBefore w:val="0"/>
        <w:widowControl w:val="0"/>
        <w:numPr>
          <w:ilvl w:val="0"/>
          <w:numId w:val="27"/>
        </w:numPr>
        <w:wordWrap/>
        <w:bidi w:val="0"/>
        <w:spacing w:before="0" w:after="0" w:line="500" w:lineRule="exact"/>
        <w:ind w:firstLine="522" w:firstLineChars="200"/>
        <w:rPr>
          <w:rFonts w:hint="eastAsia" w:ascii="仿宋" w:hAnsi="仿宋" w:eastAsia="仿宋" w:cs="仿宋"/>
          <w:color w:val="000000"/>
          <w:sz w:val="28"/>
          <w:szCs w:val="28"/>
        </w:rPr>
      </w:pPr>
      <w:bookmarkStart w:id="83" w:name="_Toc75811714"/>
      <w:r>
        <w:rPr>
          <w:rFonts w:hint="eastAsia" w:ascii="仿宋" w:hAnsi="仿宋" w:eastAsia="仿宋" w:cs="仿宋"/>
          <w:color w:val="000000"/>
          <w:sz w:val="28"/>
          <w:szCs w:val="28"/>
        </w:rPr>
        <w:t>工作时间与休息休假</w:t>
      </w:r>
      <w:bookmarkEnd w:id="83"/>
    </w:p>
    <w:tbl>
      <w:tblPr>
        <w:tblStyle w:val="15"/>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57" w:type="dxa"/>
          <w:bottom w:w="0" w:type="dxa"/>
          <w:right w:w="57" w:type="dxa"/>
        </w:tblCellMar>
      </w:tblPr>
      <w:tblGrid>
        <w:gridCol w:w="74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c>
          <w:tcPr>
            <w:tcW w:w="5000" w:type="pct"/>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工作时间与休息休假的审查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c>
          <w:tcPr>
            <w:tcW w:w="5000" w:type="pct"/>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工时制度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c>
          <w:tcPr>
            <w:tcW w:w="5000" w:type="pct"/>
            <w:noWrap w:val="0"/>
            <w:vAlign w:val="center"/>
          </w:tcPr>
          <w:p>
            <w:pPr>
              <w:pStyle w:val="25"/>
              <w:keepNext w:val="0"/>
              <w:keepLines w:val="0"/>
              <w:pageBreakBefore w:val="0"/>
              <w:widowControl w:val="0"/>
              <w:numPr>
                <w:ilvl w:val="0"/>
                <w:numId w:val="0"/>
              </w:numPr>
              <w:wordWrap/>
              <w:bidi w:val="0"/>
              <w:adjustRightInd w:val="0"/>
              <w:snapToGrid w:val="0"/>
              <w:spacing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审查工时制度的种类，标准工时制、综合计算工时工作制、不定时工作制、计件工时制</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标准工时制，劳动者每日工作8小时，每周工作40小时</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综合计算工时工作制，用人单位因工作性质特殊，需要连续作业或受季节及自然条件限制，无法实行标准工时制，因而采取以周、月、季、年等为周期综合计算工作时间。但其平均日工作时间和平均周工作时间应与法定标准工作时间基本相同</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不定时工作制，用人单位因生产特点、工作特殊需要或职责范围的关系，无法按照标准工作时间安排工作或因工作时间不固定，需要安排劳动者机动作业所采用的弹性工时制度</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计件工时制，以劳动者在法定标准工作时间内能够完成的计件数量为标准来确定合理的劳动定额和劳动报酬的一种工时制度</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审查用人单位是否可以实行综合计算工时工作制：综合计算工时制主要适用于：</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（1）交通、铁路、邮电、水运、航空、渔业等行业中因工作性质特殊，需连续作业的职工；</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（2）地质及资源勘探、建筑、制盐、制糖、旅游等受季节和自然条件限制的行业的部分职工；</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（3）其他适合实行综合计算工时工作制的职工</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审查用人单位是否可以实行不定时工作制，不定时工作制主要适用于：</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（1）企业中的高级管理人员、外勤人员、推销人员、部分值班人员和其他因工作无法按标准工作时间衡量的职工；</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（2）企业中的长途运输人员、出租汽车司机和铁路、港口、仓库的部分装卸人员以及因工作性质特殊，需机动作业的职工；</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（3）企业中的长途运输人员、出租汽车司机和铁路、港口、仓库的部分装卸人员以及因工作性质特殊，需机动作业的职工</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审查用人实行综合计算工时工作制和不定时工作制是否经过劳动行政部门审批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c>
          <w:tcPr>
            <w:tcW w:w="5000" w:type="pct"/>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公休日和法定节假日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c>
          <w:tcPr>
            <w:tcW w:w="5000" w:type="pct"/>
            <w:noWrap w:val="0"/>
            <w:vAlign w:val="center"/>
          </w:tcPr>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审查标准工时制下用人单位是否安排劳动者实行周休2天</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审查用人单位在灵活安排劳动者每周休息日时是否保证劳动者每周至少休1天</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审查用人单位是否安排劳动者在属于全体公民的休假日（法定节假日）休息，我国法定节假日包括：</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（1）新年，放假1天（1月1日）；</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（2）春节，放假3天（农历正月初一、初二、初三）；</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（3）清明节，放假1天（农历清明当日）；</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（4）劳动节，放假1天（5月1日）；</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（5）端午节，放假1天（农历端午当日）；</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（6）中秋节，放假1天（农历中秋当日）；</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（7）国庆节，放假3天（10月1日、2日、3日）。</w:t>
            </w:r>
          </w:p>
          <w:p>
            <w:pPr>
              <w:pStyle w:val="25"/>
              <w:keepNext w:val="0"/>
              <w:keepLines w:val="0"/>
              <w:pageBreakBefore w:val="0"/>
              <w:widowControl w:val="0"/>
              <w:numPr>
                <w:ilvl w:val="0"/>
                <w:numId w:val="0"/>
              </w:numPr>
              <w:wordWrap/>
              <w:bidi w:val="0"/>
              <w:adjustRightInd w:val="0"/>
              <w:snapToGrid w:val="0"/>
              <w:spacing w:line="500" w:lineRule="exact"/>
              <w:ind w:left="553" w:leftChars="29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审查用人单位是否安排劳动者在属于部分公民的休假日休息，具体包括：</w:t>
            </w:r>
          </w:p>
          <w:p>
            <w:pPr>
              <w:pStyle w:val="25"/>
              <w:keepNext w:val="0"/>
              <w:keepLines w:val="0"/>
              <w:pageBreakBefore w:val="0"/>
              <w:widowControl w:val="0"/>
              <w:numPr>
                <w:ilvl w:val="0"/>
                <w:numId w:val="0"/>
              </w:numPr>
              <w:wordWrap/>
              <w:bidi w:val="0"/>
              <w:adjustRightInd w:val="0"/>
              <w:snapToGrid w:val="0"/>
              <w:spacing w:line="500" w:lineRule="exact"/>
              <w:ind w:left="553" w:leftChars="29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（1）妇女节（3月8日），妇女放假半天；</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（2）青年节（5月4日），14周岁以上的青年放假半天；</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（3）儿童节（6月1日），不满14周岁的少年儿童放假1天； </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（4）中国人民解放军建军纪念日（8月1日），现役军人放假半天。</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审查法定节假日和部分公民放假的假日是否需要补休：全体公民放假的假日，如果适逢星期六、星期日，应当在工作日补假。部分公民放假的假日，如果适逢星期六、星期日，则不补假。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c>
          <w:tcPr>
            <w:tcW w:w="5000" w:type="pct"/>
            <w:noWrap w:val="0"/>
            <w:vAlign w:val="center"/>
          </w:tcPr>
          <w:p>
            <w:pPr>
              <w:pStyle w:val="25"/>
              <w:keepNext w:val="0"/>
              <w:keepLines w:val="0"/>
              <w:pageBreakBefore w:val="0"/>
              <w:widowControl w:val="0"/>
              <w:numPr>
                <w:ilvl w:val="0"/>
                <w:numId w:val="0"/>
              </w:numPr>
              <w:wordWrap/>
              <w:bidi w:val="0"/>
              <w:adjustRightInd w:val="0"/>
              <w:snapToGrid w:val="0"/>
              <w:spacing w:line="500" w:lineRule="exact"/>
              <w:jc w:val="center"/>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加班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c>
          <w:tcPr>
            <w:tcW w:w="5000" w:type="pct"/>
            <w:noWrap w:val="0"/>
            <w:vAlign w:val="center"/>
          </w:tcPr>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审查劳动者是否存在加班情况</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审查劳动者在法定节假日加班，用人单位是否支付加班工资</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审查劳动者在周末休息日加班，用人单位是否支付加班工资或安排调休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c>
          <w:tcPr>
            <w:tcW w:w="5000" w:type="pct"/>
            <w:noWrap w:val="0"/>
            <w:vAlign w:val="center"/>
          </w:tcPr>
          <w:p>
            <w:pPr>
              <w:pStyle w:val="25"/>
              <w:keepNext w:val="0"/>
              <w:keepLines w:val="0"/>
              <w:pageBreakBefore w:val="0"/>
              <w:widowControl w:val="0"/>
              <w:numPr>
                <w:ilvl w:val="0"/>
                <w:numId w:val="0"/>
              </w:numPr>
              <w:wordWrap/>
              <w:bidi w:val="0"/>
              <w:adjustRightInd w:val="0"/>
              <w:snapToGrid w:val="0"/>
              <w:spacing w:line="500" w:lineRule="exact"/>
              <w:jc w:val="center"/>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休假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c>
          <w:tcPr>
            <w:tcW w:w="5000" w:type="pct"/>
            <w:noWrap w:val="0"/>
            <w:vAlign w:val="center"/>
          </w:tcPr>
          <w:p>
            <w:pPr>
              <w:pStyle w:val="25"/>
              <w:keepNext w:val="0"/>
              <w:keepLines w:val="0"/>
              <w:pageBreakBefore w:val="0"/>
              <w:widowControl w:val="0"/>
              <w:numPr>
                <w:ilvl w:val="0"/>
                <w:numId w:val="0"/>
              </w:numPr>
              <w:wordWrap/>
              <w:bidi w:val="0"/>
              <w:adjustRightInd w:val="0"/>
              <w:snapToGrid w:val="0"/>
              <w:spacing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查是否安排劳动者年休假，法定的年休假根据累计工作年限计算：累计工作年限满1年不满10年的，年休假5天；累计工作年限满10年不满20年的，年休假10天；累计工作年限满20年的，年休假15天</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审查是否依法安排劳动者婚（丧）假、探亲假：劳动者结婚（包括再婚）时所享受的带薪休假为3天</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审查规章制度是否对劳动者事假进行了规定</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审查是否根据《女职工劳动保护特别规定》、《湖南省人口与计划生育条例》安排职工产假、哺乳假</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审查用人单位是否制定规章制度规定劳动者病假的请假程序等</w:t>
            </w:r>
          </w:p>
        </w:tc>
      </w:tr>
    </w:tbl>
    <w:p>
      <w:pPr>
        <w:pStyle w:val="4"/>
        <w:keepNext w:val="0"/>
        <w:keepLines w:val="0"/>
        <w:pageBreakBefore w:val="0"/>
        <w:widowControl w:val="0"/>
        <w:numPr>
          <w:ilvl w:val="0"/>
          <w:numId w:val="27"/>
        </w:numPr>
        <w:wordWrap/>
        <w:bidi w:val="0"/>
        <w:spacing w:before="227" w:beforeLines="50" w:after="0" w:line="500" w:lineRule="exact"/>
        <w:ind w:firstLine="522" w:firstLineChars="200"/>
        <w:rPr>
          <w:rFonts w:hint="eastAsia" w:ascii="仿宋" w:hAnsi="仿宋" w:eastAsia="仿宋" w:cs="仿宋"/>
          <w:color w:val="000000"/>
          <w:sz w:val="28"/>
          <w:szCs w:val="28"/>
        </w:rPr>
      </w:pPr>
      <w:bookmarkStart w:id="84" w:name="_Toc75811715"/>
      <w:r>
        <w:rPr>
          <w:rFonts w:hint="eastAsia" w:ascii="仿宋" w:hAnsi="仿宋" w:eastAsia="仿宋" w:cs="仿宋"/>
          <w:color w:val="000000"/>
          <w:sz w:val="28"/>
          <w:szCs w:val="28"/>
        </w:rPr>
        <w:t>薪酬福利</w:t>
      </w:r>
      <w:bookmarkEnd w:id="84"/>
    </w:p>
    <w:tbl>
      <w:tblPr>
        <w:tblStyle w:val="15"/>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57" w:type="dxa"/>
          <w:bottom w:w="0" w:type="dxa"/>
          <w:right w:w="57" w:type="dxa"/>
        </w:tblCellMar>
      </w:tblPr>
      <w:tblGrid>
        <w:gridCol w:w="74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trPr>
        <w:tc>
          <w:tcPr>
            <w:tcW w:w="5000" w:type="pct"/>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薪酬和福利的管理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trPr>
        <w:tc>
          <w:tcPr>
            <w:tcW w:w="5000" w:type="pct"/>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薪酬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trPr>
        <w:tc>
          <w:tcPr>
            <w:tcW w:w="5000" w:type="pct"/>
            <w:noWrap w:val="0"/>
            <w:vAlign w:val="center"/>
          </w:tcPr>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审查是否具备薪酬制度</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审查薪酬制度的制定是否通过合法程序制定、是否向劳动者进行公示</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审查工资构成是否合理、是否能够满足工作岗位对工资分配的要求、对工资调整的方式是否与劳动者进行明确、对各工资的核算方式与劳动者是否有明确约定</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审查工资支付的时间是否符合法律的规定：实行全日制用工的，工资至少每个月支付一次，实行非全日制用工的，劳动报酬的支付周期最长不得超过15日</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审查工资标准是否低于当地最低工资标准</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审查是否与劳动者约定了加班工资的核算方式，标准工时制下，用人单位应当按照下列标准支付高于劳动者正常工作时间工资的工资报酬：</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（1）安排劳动者延长工作时间的，支付不低于工资的百分之一百五十的工资报酬；</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（2）休息日安排劳动者工作又不能安排补休的，支付不低于工资的百分之二百的工资报酬；</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（3）法定休假日安排劳动者工作的，支付不低于工资的百分之三百的工资报酬。</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与劳动者约定了年休假工资的核算方式以及支付时间：单位确因工作需要不能安排职工休年休假的，经职工本人同意，可以不安排职工休年休假。对职工应休未休的年休假天数，单位应当按照该职工日工资收入的300%支付年休假工资报酬</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审查是否依法支付了劳动者法定节假日期间的工资</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审查是否按照原工资福利待遇的标准支付了职工因工伤停工留薪期间的工资</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审查是否按照不能低于当地最低工资80%的标准向劳动者支付了病假工资</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审查是否依法约定了停工停产期间劳动者工资支付的标准</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审查是否按照法定的标准向劳动者支付了产假工资或生育津贴</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审查是否需要向劳动者单独核发高温津贴</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审查是否按照劳动者正常劳动的标准向其支付了职工探亲假、婚丧假以及依法参加社会活动期间的工资\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trPr>
        <w:tc>
          <w:tcPr>
            <w:tcW w:w="5000" w:type="pct"/>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福利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trPr>
        <w:tc>
          <w:tcPr>
            <w:tcW w:w="5000" w:type="pct"/>
            <w:noWrap w:val="0"/>
            <w:vAlign w:val="center"/>
          </w:tcPr>
          <w:p>
            <w:pPr>
              <w:pStyle w:val="25"/>
              <w:keepNext w:val="0"/>
              <w:keepLines w:val="0"/>
              <w:pageBreakBefore w:val="0"/>
              <w:widowControl w:val="0"/>
              <w:numPr>
                <w:ilvl w:val="0"/>
                <w:numId w:val="0"/>
              </w:numPr>
              <w:wordWrap/>
              <w:bidi w:val="0"/>
              <w:adjustRightInd w:val="0"/>
              <w:snapToGrid w:val="0"/>
              <w:spacing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审查是否存在工资之外的福利待遇，如低温津贴、企业年金</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审查福利待遇的发放条件是否明确</w:t>
            </w:r>
          </w:p>
        </w:tc>
      </w:tr>
    </w:tbl>
    <w:p>
      <w:pPr>
        <w:pStyle w:val="4"/>
        <w:keepNext w:val="0"/>
        <w:keepLines w:val="0"/>
        <w:pageBreakBefore w:val="0"/>
        <w:widowControl w:val="0"/>
        <w:numPr>
          <w:ilvl w:val="0"/>
          <w:numId w:val="27"/>
        </w:numPr>
        <w:wordWrap/>
        <w:bidi w:val="0"/>
        <w:spacing w:before="227" w:beforeLines="50" w:after="0" w:line="500" w:lineRule="exact"/>
        <w:ind w:firstLine="522" w:firstLineChars="200"/>
        <w:rPr>
          <w:rFonts w:hint="eastAsia" w:ascii="仿宋" w:hAnsi="仿宋" w:eastAsia="仿宋" w:cs="仿宋"/>
          <w:color w:val="000000"/>
          <w:sz w:val="28"/>
          <w:szCs w:val="28"/>
        </w:rPr>
      </w:pPr>
      <w:bookmarkStart w:id="85" w:name="_Toc75811716"/>
      <w:r>
        <w:rPr>
          <w:rFonts w:hint="eastAsia" w:ascii="仿宋" w:hAnsi="仿宋" w:eastAsia="仿宋" w:cs="仿宋"/>
          <w:color w:val="000000"/>
          <w:sz w:val="28"/>
          <w:szCs w:val="28"/>
        </w:rPr>
        <w:t>五险一金</w:t>
      </w:r>
      <w:bookmarkEnd w:id="85"/>
    </w:p>
    <w:tbl>
      <w:tblPr>
        <w:tblStyle w:val="15"/>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57" w:type="dxa"/>
          <w:bottom w:w="0" w:type="dxa"/>
          <w:right w:w="57" w:type="dxa"/>
        </w:tblCellMar>
      </w:tblPr>
      <w:tblGrid>
        <w:gridCol w:w="74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17" w:hRule="atLeast"/>
        </w:trPr>
        <w:tc>
          <w:tcPr>
            <w:tcW w:w="5000" w:type="pct"/>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审查五险一金执行情况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99" w:hRule="atLeast"/>
        </w:trPr>
        <w:tc>
          <w:tcPr>
            <w:tcW w:w="5000" w:type="pct"/>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社会保险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618" w:hRule="atLeast"/>
        </w:trPr>
        <w:tc>
          <w:tcPr>
            <w:tcW w:w="5000" w:type="pct"/>
            <w:noWrap w:val="0"/>
            <w:vAlign w:val="center"/>
          </w:tcPr>
          <w:p>
            <w:pPr>
              <w:pStyle w:val="25"/>
              <w:keepNext w:val="0"/>
              <w:keepLines w:val="0"/>
              <w:pageBreakBefore w:val="0"/>
              <w:widowControl w:val="0"/>
              <w:numPr>
                <w:ilvl w:val="0"/>
                <w:numId w:val="0"/>
              </w:numPr>
              <w:wordWrap/>
              <w:bidi w:val="0"/>
              <w:adjustRightInd w:val="0"/>
              <w:snapToGrid w:val="0"/>
              <w:spacing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审查是否在劳动者入职当月为其缴纳了社会保险</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足额依法为劳动者缴纳了五险：养老保险和医疗保险、失业保：用人单位职工工资总额为缴费基数，劳动者以其上一年月平均工资为缴费基数；工伤保险和生育保险：以用人单位职工工资总额作为缴费基数</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审查是否为非全日制用工劳动者依法缴纳了工伤保险</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审查是否依法向劳动者支付了社会保险待遇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678" w:hRule="atLeast"/>
        </w:trPr>
        <w:tc>
          <w:tcPr>
            <w:tcW w:w="5000" w:type="pct"/>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公积金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1915" w:hRule="atLeast"/>
        </w:trPr>
        <w:tc>
          <w:tcPr>
            <w:tcW w:w="5000" w:type="pct"/>
            <w:noWrap w:val="0"/>
            <w:vAlign w:val="center"/>
          </w:tcPr>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审查是否在劳动者入职当月为其办理了公积金缴存登记并缴存了公积金</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审查是否足额为劳动者缴存了公积金</w:t>
            </w:r>
          </w:p>
        </w:tc>
      </w:tr>
    </w:tbl>
    <w:p>
      <w:pPr>
        <w:pStyle w:val="4"/>
        <w:keepNext w:val="0"/>
        <w:keepLines w:val="0"/>
        <w:pageBreakBefore w:val="0"/>
        <w:widowControl w:val="0"/>
        <w:numPr>
          <w:ilvl w:val="0"/>
          <w:numId w:val="27"/>
        </w:numPr>
        <w:wordWrap/>
        <w:bidi w:val="0"/>
        <w:spacing w:before="227" w:beforeLines="50" w:after="0" w:line="500" w:lineRule="exact"/>
        <w:ind w:firstLine="522" w:firstLineChars="200"/>
        <w:rPr>
          <w:rFonts w:hint="eastAsia" w:ascii="仿宋" w:hAnsi="仿宋" w:eastAsia="仿宋" w:cs="仿宋"/>
          <w:color w:val="000000"/>
          <w:sz w:val="28"/>
          <w:szCs w:val="28"/>
        </w:rPr>
      </w:pPr>
      <w:bookmarkStart w:id="86" w:name="_Toc75811717"/>
      <w:r>
        <w:rPr>
          <w:rFonts w:hint="eastAsia" w:ascii="仿宋" w:hAnsi="仿宋" w:eastAsia="仿宋" w:cs="仿宋"/>
          <w:color w:val="000000"/>
          <w:sz w:val="28"/>
          <w:szCs w:val="28"/>
        </w:rPr>
        <w:t>培训与服务期</w:t>
      </w:r>
      <w:bookmarkEnd w:id="86"/>
    </w:p>
    <w:tbl>
      <w:tblPr>
        <w:tblStyle w:val="1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57" w:type="dxa"/>
          <w:bottom w:w="0" w:type="dxa"/>
          <w:right w:w="57" w:type="dxa"/>
        </w:tblCellMar>
      </w:tblPr>
      <w:tblGrid>
        <w:gridCol w:w="74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trPr>
        <w:tc>
          <w:tcPr>
            <w:tcW w:w="0" w:type="auto"/>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培训与服务期的管理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trPr>
        <w:tc>
          <w:tcPr>
            <w:tcW w:w="0" w:type="auto"/>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培训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trPr>
        <w:tc>
          <w:tcPr>
            <w:tcW w:w="0" w:type="auto"/>
            <w:noWrap w:val="0"/>
            <w:vAlign w:val="center"/>
          </w:tcPr>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审查培训的种类：如岗前培训、不能胜任工作的培训、专业技术培训</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审查是否具备培训制度</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审查培训制度的制定是否通过合法程序制定、是否向劳动者进行公示</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审查岗前培训期间是否与劳动者建立了劳动关系、是否向劳动者支付劳动报酬、劳动者是否需要提供劳动、是否就有关事项与劳动者进行了书面约定</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审查岗前培训是否向劳动者收取了费用</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审查是否约定了劳动者不能胜任工作的培训流程、培训时间、培训方式</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对专业技术培训是否有明确界定，如培训的内容是否为劳动者事先不掌握的专业性、针对性较强的知识和技能；培训目的是否劳动者为了适应更高层次或更加专业的工作；培训的对象是否为经过严格挑选的特定对象；培训的形式是否为脱产或半脱产的形式；培训的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trPr>
        <w:tc>
          <w:tcPr>
            <w:tcW w:w="0" w:type="auto"/>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服务期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trPr>
        <w:tc>
          <w:tcPr>
            <w:tcW w:w="0" w:type="auto"/>
            <w:noWrap w:val="0"/>
            <w:vAlign w:val="center"/>
          </w:tcPr>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审查签订服务期协议的主体是否适格，即劳动者必须享受了用人单位提供的专业技术培训</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审查服务期协议中是依法约定了劳动者的服务期限、违约责任等</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审查违约责任的约定是否适当</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审查用人单位是否保存了其向劳动者提供专业技术培训的证据：如与第三方签订的专业技术培训合同、产生相关费用的票据</w:t>
            </w:r>
          </w:p>
        </w:tc>
      </w:tr>
    </w:tbl>
    <w:p>
      <w:pPr>
        <w:pStyle w:val="3"/>
        <w:keepNext w:val="0"/>
        <w:keepLines w:val="0"/>
        <w:pageBreakBefore w:val="0"/>
        <w:widowControl w:val="0"/>
        <w:wordWrap/>
        <w:bidi w:val="0"/>
        <w:spacing w:before="0" w:after="0" w:line="500" w:lineRule="exact"/>
        <w:ind w:firstLine="522" w:firstLineChars="200"/>
        <w:rPr>
          <w:rFonts w:hint="eastAsia" w:ascii="楷体" w:hAnsi="楷体" w:eastAsia="楷体" w:cs="楷体"/>
          <w:color w:val="000000"/>
          <w:sz w:val="28"/>
          <w:szCs w:val="28"/>
        </w:rPr>
      </w:pPr>
      <w:bookmarkStart w:id="87" w:name="_Toc75811718"/>
      <w:r>
        <w:rPr>
          <w:rFonts w:hint="eastAsia" w:ascii="楷体" w:hAnsi="楷体" w:eastAsia="楷体" w:cs="楷体"/>
          <w:color w:val="000000"/>
          <w:sz w:val="28"/>
          <w:szCs w:val="28"/>
        </w:rPr>
        <w:t>（四）离职环节合规服务</w:t>
      </w:r>
      <w:bookmarkEnd w:id="87"/>
    </w:p>
    <w:p>
      <w:pPr>
        <w:pStyle w:val="4"/>
        <w:keepNext w:val="0"/>
        <w:keepLines w:val="0"/>
        <w:pageBreakBefore w:val="0"/>
        <w:widowControl w:val="0"/>
        <w:wordWrap/>
        <w:bidi w:val="0"/>
        <w:spacing w:before="0" w:after="0" w:line="500" w:lineRule="exact"/>
        <w:ind w:firstLine="522" w:firstLineChars="200"/>
        <w:rPr>
          <w:rFonts w:hint="eastAsia" w:ascii="仿宋" w:hAnsi="仿宋" w:eastAsia="仿宋" w:cs="仿宋"/>
          <w:color w:val="000000"/>
          <w:sz w:val="28"/>
          <w:szCs w:val="28"/>
        </w:rPr>
      </w:pPr>
      <w:bookmarkStart w:id="88" w:name="_Toc75811719"/>
      <w:r>
        <w:rPr>
          <w:rFonts w:hint="eastAsia" w:ascii="仿宋" w:hAnsi="仿宋" w:eastAsia="仿宋" w:cs="仿宋"/>
          <w:color w:val="000000"/>
          <w:sz w:val="28"/>
          <w:szCs w:val="28"/>
        </w:rPr>
        <w:t>1.劳动合同的解除与终止</w:t>
      </w:r>
      <w:bookmarkEnd w:id="88"/>
    </w:p>
    <w:tbl>
      <w:tblPr>
        <w:tblStyle w:val="15"/>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57" w:type="dxa"/>
          <w:bottom w:w="0" w:type="dxa"/>
          <w:right w:w="57" w:type="dxa"/>
        </w:tblCellMar>
      </w:tblPr>
      <w:tblGrid>
        <w:gridCol w:w="74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trPr>
        <w:tc>
          <w:tcPr>
            <w:tcW w:w="5000" w:type="pct"/>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劳动合同的解除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trPr>
        <w:tc>
          <w:tcPr>
            <w:tcW w:w="5000" w:type="pct"/>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协商一致解除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trPr>
        <w:tc>
          <w:tcPr>
            <w:tcW w:w="5000" w:type="pct"/>
            <w:noWrap w:val="0"/>
            <w:vAlign w:val="center"/>
          </w:tcPr>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审查是否签订协商一致解除的协议</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审查对于工资（包括年休假工资、加班工资）、经济补偿、社保的支付和缴纳是否有明确约定</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审查协议签订时是否存在欺诈、胁迫或乘人之危的情形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trPr>
        <w:tc>
          <w:tcPr>
            <w:tcW w:w="5000" w:type="pct"/>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劳动者辞职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trPr>
        <w:tc>
          <w:tcPr>
            <w:tcW w:w="5000" w:type="pct"/>
            <w:noWrap w:val="0"/>
            <w:vAlign w:val="center"/>
          </w:tcPr>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审查劳动者是否依据法律规定的时间提出辞职申请</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审查劳动者没有依据法律规定的时间提出离职申请是否给用人单位造成了损失、对于该损失是否保留了相关证据</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审查劳动者提出离职的原因是否是基于《劳动合同法》第三十八条，用人单位是否因此需要支付经济补偿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trPr>
        <w:tc>
          <w:tcPr>
            <w:tcW w:w="5000" w:type="pct"/>
            <w:noWrap w:val="0"/>
            <w:vAlign w:val="center"/>
          </w:tcPr>
          <w:p>
            <w:pPr>
              <w:pStyle w:val="25"/>
              <w:keepNext w:val="0"/>
              <w:keepLines w:val="0"/>
              <w:pageBreakBefore w:val="0"/>
              <w:widowControl w:val="0"/>
              <w:numPr>
                <w:ilvl w:val="0"/>
                <w:numId w:val="0"/>
              </w:numPr>
              <w:wordWrap/>
              <w:bidi w:val="0"/>
              <w:adjustRightInd w:val="0"/>
              <w:snapToGrid w:val="0"/>
              <w:spacing w:line="500" w:lineRule="exact"/>
              <w:jc w:val="center"/>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过失性解除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trPr>
        <w:tc>
          <w:tcPr>
            <w:tcW w:w="5000" w:type="pct"/>
            <w:noWrap w:val="0"/>
            <w:vAlign w:val="center"/>
          </w:tcPr>
          <w:p>
            <w:pPr>
              <w:pStyle w:val="25"/>
              <w:keepNext w:val="0"/>
              <w:keepLines w:val="0"/>
              <w:pageBreakBefore w:val="0"/>
              <w:widowControl w:val="0"/>
              <w:numPr>
                <w:ilvl w:val="0"/>
                <w:numId w:val="0"/>
              </w:numPr>
              <w:tabs>
                <w:tab w:val="clear" w:pos="420"/>
              </w:tabs>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审查劳动者是否存在《劳动合同法》第三十九条列明的行为</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审查是否保留了劳动者存在《劳动合同法》第三十九条列明行为的证据</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以劳动者不符合录用条件为由解除劳动合同的，还需审查用人单位是否向劳动者明确了不符合录用条件的情形</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以劳动者严重违反用人单位的规章制度为由解除劳动合同的，还需审查用人单位是否有具备合法有效、且向劳动者进行公示了的规章制度</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审查是否及时向劳动者送达了解除劳动关系的通知</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若有工会，审查是否事先将解除事由通知了工会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trPr>
        <w:tc>
          <w:tcPr>
            <w:tcW w:w="5000" w:type="pct"/>
            <w:noWrap w:val="0"/>
            <w:vAlign w:val="center"/>
          </w:tcPr>
          <w:p>
            <w:pPr>
              <w:pStyle w:val="25"/>
              <w:keepNext w:val="0"/>
              <w:keepLines w:val="0"/>
              <w:pageBreakBefore w:val="0"/>
              <w:widowControl w:val="0"/>
              <w:numPr>
                <w:ilvl w:val="0"/>
                <w:numId w:val="0"/>
              </w:numPr>
              <w:wordWrap/>
              <w:bidi w:val="0"/>
              <w:adjustRightInd w:val="0"/>
              <w:snapToGrid w:val="0"/>
              <w:spacing w:line="500" w:lineRule="exact"/>
              <w:jc w:val="center"/>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无过失性解除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trPr>
        <w:tc>
          <w:tcPr>
            <w:tcW w:w="5000" w:type="pct"/>
            <w:noWrap w:val="0"/>
            <w:vAlign w:val="center"/>
          </w:tcPr>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审查是否存在《劳动合同法》第四十条列明的情形</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审查是否保留了存在《劳动合同法》第四十条列明情形的证据</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以《劳动合同法》第四十条列明的第一种情形解除劳动关系的，须审查是否有证据证明：劳动者不能从事原工作、已经安排劳动者从事其他工作、劳动者不能从事另行安排的其他工作</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以《劳动合同法》第四十条列明的第二种情形解除劳动关系的，须审查是否有证据证明：劳动者不能胜任工作、已经对劳动者进行了培训、未经培训已经调整过工作岗位且劳动者仍然不能胜任工作</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以《劳动合同法》第四十条列明的第三种情形解除劳动关系的，须审查是否有证据证明：客观情况发生了“重大变化“、劳动合同因该等“重大变化”导致无法履行、已与劳动者协商变更劳动合同，但未达成合意</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审查是否及时向劳动者送达了解除劳动关系的通知</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审查劳动者是否存在《劳动合同法》第四十二条规定的情形，以确定能否解除劳动合同</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若有工会，审查是否事先将解除事由通知了工会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trPr>
        <w:tc>
          <w:tcPr>
            <w:tcW w:w="5000" w:type="pct"/>
            <w:noWrap w:val="0"/>
            <w:vAlign w:val="center"/>
          </w:tcPr>
          <w:p>
            <w:pPr>
              <w:pStyle w:val="25"/>
              <w:keepNext w:val="0"/>
              <w:keepLines w:val="0"/>
              <w:pageBreakBefore w:val="0"/>
              <w:widowControl w:val="0"/>
              <w:numPr>
                <w:ilvl w:val="0"/>
                <w:numId w:val="0"/>
              </w:numPr>
              <w:wordWrap/>
              <w:bidi w:val="0"/>
              <w:adjustRightInd w:val="0"/>
              <w:snapToGrid w:val="0"/>
              <w:spacing w:line="500" w:lineRule="exact"/>
              <w:jc w:val="center"/>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经济性裁员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trPr>
        <w:tc>
          <w:tcPr>
            <w:tcW w:w="5000" w:type="pct"/>
            <w:noWrap w:val="0"/>
            <w:vAlign w:val="center"/>
          </w:tcPr>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审查是否存在《劳动合同法》第四十一条列明的情形</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审查是否履行了裁员的程序：如向全体职工说明情况、是否听取了工会或职工的意见、裁减人员方案是否向劳动行政部门报告</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审查劳动者是否存在《劳动合同法》第四十二条规定的情形，以确定能否终止劳动合同</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若有工会，审查是否事先将解除的事由通知了工会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trPr>
        <w:tc>
          <w:tcPr>
            <w:tcW w:w="5000" w:type="pct"/>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劳动合同的终止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trPr>
        <w:tc>
          <w:tcPr>
            <w:tcW w:w="5000" w:type="pct"/>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期限届满终止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trPr>
        <w:tc>
          <w:tcPr>
            <w:tcW w:w="5000" w:type="pct"/>
            <w:noWrap w:val="0"/>
            <w:vAlign w:val="center"/>
          </w:tcPr>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审查期限届满双方未续签劳动合同的原因，以确定是否需要向劳动者支付经济补偿</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审查是否需要与劳动者签订无固定期限劳动合同</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虽然劳动合同到期，审查劳动者是否存在《劳动合同法》第四十二条规定的情形，以确定能否终止劳动合同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trPr>
        <w:tc>
          <w:tcPr>
            <w:tcW w:w="5000" w:type="pct"/>
            <w:noWrap w:val="0"/>
            <w:vAlign w:val="center"/>
          </w:tcPr>
          <w:p>
            <w:pPr>
              <w:pStyle w:val="25"/>
              <w:keepNext w:val="0"/>
              <w:keepLines w:val="0"/>
              <w:pageBreakBefore w:val="0"/>
              <w:widowControl w:val="0"/>
              <w:numPr>
                <w:ilvl w:val="0"/>
                <w:numId w:val="0"/>
              </w:numPr>
              <w:wordWrap/>
              <w:bidi w:val="0"/>
              <w:adjustRightInd w:val="0"/>
              <w:snapToGrid w:val="0"/>
              <w:spacing w:line="500" w:lineRule="exact"/>
              <w:jc w:val="center"/>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其他法定终止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trPr>
        <w:tc>
          <w:tcPr>
            <w:tcW w:w="5000" w:type="pct"/>
            <w:noWrap w:val="0"/>
            <w:vAlign w:val="center"/>
          </w:tcPr>
          <w:p>
            <w:pPr>
              <w:pStyle w:val="25"/>
              <w:keepNext w:val="0"/>
              <w:keepLines w:val="0"/>
              <w:pageBreakBefore w:val="0"/>
              <w:widowControl w:val="0"/>
              <w:numPr>
                <w:ilvl w:val="0"/>
                <w:numId w:val="0"/>
              </w:numPr>
              <w:wordWrap/>
              <w:bidi w:val="0"/>
              <w:adjustRightInd w:val="0"/>
              <w:snapToGrid w:val="0"/>
              <w:spacing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审查是符合《劳动合同法》第四十四条规定的其他情形，以确定能否终止劳动合同</w:t>
            </w:r>
          </w:p>
        </w:tc>
      </w:tr>
    </w:tbl>
    <w:p>
      <w:pPr>
        <w:pStyle w:val="4"/>
        <w:keepNext w:val="0"/>
        <w:keepLines w:val="0"/>
        <w:pageBreakBefore w:val="0"/>
        <w:widowControl w:val="0"/>
        <w:wordWrap/>
        <w:bidi w:val="0"/>
        <w:spacing w:before="0" w:after="0" w:line="500" w:lineRule="exact"/>
        <w:ind w:firstLine="522" w:firstLineChars="200"/>
        <w:rPr>
          <w:rFonts w:hint="eastAsia" w:ascii="仿宋" w:hAnsi="仿宋" w:eastAsia="仿宋" w:cs="仿宋"/>
          <w:color w:val="000000"/>
          <w:sz w:val="28"/>
          <w:szCs w:val="28"/>
        </w:rPr>
      </w:pPr>
      <w:bookmarkStart w:id="89" w:name="_Toc75811720"/>
      <w:r>
        <w:rPr>
          <w:rFonts w:hint="eastAsia" w:ascii="仿宋" w:hAnsi="仿宋" w:eastAsia="仿宋" w:cs="仿宋"/>
          <w:color w:val="000000"/>
          <w:sz w:val="28"/>
          <w:szCs w:val="28"/>
        </w:rPr>
        <w:t>2.经济补偿和赔偿金</w:t>
      </w:r>
      <w:bookmarkEnd w:id="89"/>
    </w:p>
    <w:tbl>
      <w:tblPr>
        <w:tblStyle w:val="15"/>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57" w:type="dxa"/>
          <w:bottom w:w="0" w:type="dxa"/>
          <w:right w:w="57" w:type="dxa"/>
        </w:tblCellMar>
      </w:tblPr>
      <w:tblGrid>
        <w:gridCol w:w="74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95" w:hRule="atLeast"/>
        </w:trPr>
        <w:tc>
          <w:tcPr>
            <w:tcW w:w="5000" w:type="pct"/>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经济补偿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39" w:hRule="atLeast"/>
        </w:trPr>
        <w:tc>
          <w:tcPr>
            <w:tcW w:w="5000" w:type="pct"/>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劳动者解除劳动合同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trPr>
        <w:tc>
          <w:tcPr>
            <w:tcW w:w="5000" w:type="pct"/>
            <w:noWrap w:val="0"/>
            <w:vAlign w:val="center"/>
          </w:tcPr>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审查劳动者解除劳动合同的理由是否符合《劳动合同法》第三十八条规定的情形</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审查劳动者的工作年限</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审查劳动者解除劳动关系前十二个月的平均工资</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劳动者的月平均工资标准：劳动者的月平均工资高于用人单位所在直辖市、设区的市级人民政府公布的本地区上年度职工月平均工资三倍的，向其支付经济补偿的标准按职工月平均工资三倍的数额支付，向其支付经济补偿的年限最高不超过十二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82" w:hRule="atLeast"/>
        </w:trPr>
        <w:tc>
          <w:tcPr>
            <w:tcW w:w="5000" w:type="pct"/>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用人单位解除或终止劳动合同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trPr>
        <w:tc>
          <w:tcPr>
            <w:tcW w:w="5000" w:type="pct"/>
            <w:noWrap w:val="0"/>
            <w:vAlign w:val="center"/>
          </w:tcPr>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用人单位解除或终止劳动合同是否存在如下法律规定的情形：《劳动合同法》第三十六条规定向劳动者提出解除劳动合同并与劳动者协商一致解除劳动合同的；第四十条规定解除劳动合同的；第四十一条第一款规定解除劳动合同的；除用人单位维持或提高劳动合同约定条件续订劳动合同，依据第四十四条第一款规定终止固定期限劳动合同的；第四十四条第四项、第五项规定终止劳动合同的；法律、行政法规规定的其他情形</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审查劳动者的工作年限</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审查劳动合同终止或解除前十二个月的平均工资</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劳动者的月平均工资标准：劳动者的月平均工资高于用人单位所在直辖市、设区的市级人民政府公布的本地区上年度职工月平均工资三倍的，向其支付经济补偿的标准按职工月平均工资三倍的数额支付，向其支付经济补偿的年限最高不超过十二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trPr>
        <w:tc>
          <w:tcPr>
            <w:tcW w:w="5000" w:type="pct"/>
            <w:noWrap w:val="0"/>
            <w:vAlign w:val="center"/>
          </w:tcPr>
          <w:p>
            <w:pPr>
              <w:pStyle w:val="25"/>
              <w:keepNext w:val="0"/>
              <w:keepLines w:val="0"/>
              <w:pageBreakBefore w:val="0"/>
              <w:widowControl w:val="0"/>
              <w:numPr>
                <w:ilvl w:val="0"/>
                <w:numId w:val="0"/>
              </w:numPr>
              <w:wordWrap/>
              <w:bidi w:val="0"/>
              <w:adjustRightInd w:val="0"/>
              <w:snapToGrid w:val="0"/>
              <w:spacing w:line="500" w:lineRule="exact"/>
              <w:jc w:val="center"/>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赔偿金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 w:hRule="atLeast"/>
        </w:trPr>
        <w:tc>
          <w:tcPr>
            <w:tcW w:w="5000" w:type="pct"/>
            <w:noWrap w:val="0"/>
            <w:vAlign w:val="center"/>
          </w:tcPr>
          <w:p>
            <w:pPr>
              <w:pStyle w:val="25"/>
              <w:keepNext w:val="0"/>
              <w:keepLines w:val="0"/>
              <w:pageBreakBefore w:val="0"/>
              <w:widowControl w:val="0"/>
              <w:numPr>
                <w:ilvl w:val="0"/>
                <w:numId w:val="0"/>
              </w:numPr>
              <w:wordWrap/>
              <w:bidi w:val="0"/>
              <w:adjustRightInd w:val="0"/>
              <w:snapToGrid w:val="0"/>
              <w:spacing w:line="500" w:lineRule="exact"/>
              <w:ind w:firstLine="498" w:firstLineChars="200"/>
              <w:jc w:val="both"/>
              <w:rPr>
                <w:rFonts w:hint="eastAsia" w:ascii="仿宋_GB2312" w:hAnsi="仿宋" w:eastAsia="仿宋_GB2312" w:cs="仿宋"/>
                <w:color w:val="000000"/>
                <w:spacing w:val="-6"/>
                <w:sz w:val="28"/>
                <w:szCs w:val="28"/>
              </w:rPr>
            </w:pPr>
            <w:r>
              <w:rPr>
                <w:rFonts w:hint="eastAsia" w:ascii="仿宋_GB2312" w:hAnsi="仿宋" w:eastAsia="仿宋_GB2312" w:cs="仿宋"/>
                <w:color w:val="000000"/>
                <w:spacing w:val="-6"/>
                <w:sz w:val="28"/>
                <w:szCs w:val="28"/>
              </w:rPr>
              <w:t>审查是否存在法律明确规定不得解除劳动合同但用人单位强行解除的情况：劳动者存在《劳动合同法》第四十二条规定的特殊情形，用人单位不得依据该法第四十、四十一条的规定解除劳动合同</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存在法律规定的条件未满足时用人单位解除或终止劳动合同的情况：如未满足《劳动合同法》第三十六条的协商解除，第三十九条规定的用人单位即时解除劳动合同，第四十条、四十一条的用人单位单方预告解除劳动合同的条件</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审查是否存在解除劳动合同的程序不符合法律规定的情况，如有工会的用人单位未能将解除事由事先告知工会</w:t>
            </w:r>
          </w:p>
        </w:tc>
      </w:tr>
    </w:tbl>
    <w:p>
      <w:pPr>
        <w:pStyle w:val="4"/>
        <w:keepNext w:val="0"/>
        <w:keepLines w:val="0"/>
        <w:pageBreakBefore w:val="0"/>
        <w:widowControl w:val="0"/>
        <w:wordWrap/>
        <w:bidi w:val="0"/>
        <w:spacing w:before="227" w:beforeLines="50" w:after="0" w:line="500" w:lineRule="exact"/>
        <w:ind w:firstLine="522" w:firstLineChars="200"/>
        <w:rPr>
          <w:rFonts w:hint="eastAsia" w:ascii="仿宋_GB2312" w:eastAsia="仿宋_GB2312"/>
          <w:color w:val="000000"/>
          <w:sz w:val="28"/>
          <w:szCs w:val="28"/>
        </w:rPr>
      </w:pPr>
      <w:bookmarkStart w:id="90" w:name="_Toc75811721"/>
      <w:r>
        <w:rPr>
          <w:rFonts w:hint="eastAsia" w:ascii="仿宋_GB2312" w:eastAsia="仿宋_GB2312"/>
          <w:color w:val="000000"/>
          <w:sz w:val="28"/>
          <w:szCs w:val="28"/>
        </w:rPr>
        <w:t>3.离职谈判</w:t>
      </w:r>
      <w:bookmarkEnd w:id="90"/>
    </w:p>
    <w:tbl>
      <w:tblPr>
        <w:tblStyle w:val="15"/>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57" w:type="dxa"/>
          <w:bottom w:w="0" w:type="dxa"/>
          <w:right w:w="57" w:type="dxa"/>
        </w:tblCellMar>
      </w:tblPr>
      <w:tblGrid>
        <w:gridCol w:w="74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720" w:hRule="atLeast"/>
        </w:trPr>
        <w:tc>
          <w:tcPr>
            <w:tcW w:w="5000" w:type="pct"/>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离职谈判管理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677" w:hRule="atLeast"/>
        </w:trPr>
        <w:tc>
          <w:tcPr>
            <w:tcW w:w="5000" w:type="pct"/>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谈判前的准备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850" w:hRule="atLeast"/>
        </w:trPr>
        <w:tc>
          <w:tcPr>
            <w:tcW w:w="5000" w:type="pct"/>
            <w:noWrap w:val="0"/>
            <w:vAlign w:val="center"/>
          </w:tcPr>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熟悉劳动合同解除或终止的相关法律法规以及公司规章制度</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熟悉了解离职员工的背景信息</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明确谈判的目的，拟定与劳动者进行谈话的提纲</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拟定解约方案</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组织谈话人员，建议不少于两人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744" w:hRule="atLeast"/>
        </w:trPr>
        <w:tc>
          <w:tcPr>
            <w:tcW w:w="5000" w:type="pct"/>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谈判完成后的注意事项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25" w:hRule="atLeast"/>
        </w:trPr>
        <w:tc>
          <w:tcPr>
            <w:tcW w:w="5000" w:type="pct"/>
            <w:noWrap w:val="0"/>
            <w:vAlign w:val="center"/>
          </w:tcPr>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做好对离职人员谈话的文字记录及录音工作，由谈话参与人签字确认，并整理好归档</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对离职人员的谈话内容进行分析、判断，做出结论</w:t>
            </w:r>
          </w:p>
          <w:p>
            <w:pPr>
              <w:pStyle w:val="25"/>
              <w:keepNext w:val="0"/>
              <w:keepLines w:val="0"/>
              <w:pageBreakBefore w:val="0"/>
              <w:widowControl w:val="0"/>
              <w:numPr>
                <w:ilvl w:val="0"/>
                <w:numId w:val="0"/>
              </w:numPr>
              <w:wordWrap/>
              <w:bidi w:val="0"/>
              <w:adjustRightInd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双方确定解约的，签订书面解除协议书</w:t>
            </w:r>
          </w:p>
        </w:tc>
      </w:tr>
    </w:tbl>
    <w:p>
      <w:pPr>
        <w:pStyle w:val="2"/>
        <w:keepNext w:val="0"/>
        <w:keepLines w:val="0"/>
        <w:pageBreakBefore w:val="0"/>
        <w:widowControl w:val="0"/>
        <w:kinsoku/>
        <w:wordWrap/>
        <w:overflowPunct/>
        <w:topLinePunct w:val="0"/>
        <w:autoSpaceDE/>
        <w:autoSpaceDN/>
        <w:bidi w:val="0"/>
        <w:adjustRightInd/>
        <w:snapToGrid/>
        <w:spacing w:before="0" w:after="0" w:line="500" w:lineRule="exact"/>
        <w:ind w:firstLine="522" w:firstLineChars="200"/>
        <w:textAlignment w:val="auto"/>
        <w:rPr>
          <w:rFonts w:hint="eastAsia" w:ascii="黑体" w:hAnsi="黑体" w:eastAsia="黑体" w:cs="黑体"/>
          <w:b w:val="0"/>
          <w:bCs/>
          <w:color w:val="000000"/>
          <w:sz w:val="28"/>
          <w:szCs w:val="28"/>
        </w:rPr>
      </w:pPr>
      <w:r>
        <w:rPr>
          <w:rFonts w:hint="eastAsia" w:ascii="仿宋_GB2312" w:eastAsia="仿宋_GB2312"/>
          <w:color w:val="000000"/>
          <w:sz w:val="28"/>
          <w:szCs w:val="28"/>
        </w:rPr>
        <w:br w:type="page"/>
      </w:r>
      <w:bookmarkStart w:id="91" w:name="_Toc22898"/>
      <w:bookmarkStart w:id="92" w:name="_Toc75811722"/>
      <w:r>
        <w:rPr>
          <w:rFonts w:hint="eastAsia" w:ascii="黑体" w:hAnsi="黑体" w:eastAsia="黑体" w:cs="黑体"/>
          <w:b w:val="0"/>
          <w:bCs/>
          <w:color w:val="000000"/>
          <w:sz w:val="28"/>
          <w:szCs w:val="28"/>
        </w:rPr>
        <w:t>三、服务参考范本</w:t>
      </w:r>
      <w:bookmarkEnd w:id="91"/>
      <w:bookmarkEnd w:id="92"/>
    </w:p>
    <w:p>
      <w:pPr>
        <w:pStyle w:val="3"/>
        <w:keepNext w:val="0"/>
        <w:keepLines w:val="0"/>
        <w:pageBreakBefore w:val="0"/>
        <w:widowControl w:val="0"/>
        <w:wordWrap/>
        <w:bidi w:val="0"/>
        <w:spacing w:before="227" w:beforeLines="50" w:after="227" w:afterLines="50" w:line="500" w:lineRule="exact"/>
        <w:jc w:val="center"/>
        <w:rPr>
          <w:rFonts w:ascii="仿宋_GB2312" w:eastAsia="仿宋_GB2312"/>
          <w:color w:val="000000"/>
          <w:sz w:val="28"/>
          <w:szCs w:val="28"/>
        </w:rPr>
      </w:pPr>
      <w:bookmarkStart w:id="93" w:name="_Toc75811723"/>
      <w:r>
        <w:rPr>
          <w:rFonts w:hint="eastAsia" w:ascii="楷体" w:hAnsi="楷体" w:eastAsia="楷体" w:cs="楷体"/>
          <w:color w:val="000000"/>
          <w:sz w:val="28"/>
          <w:szCs w:val="28"/>
        </w:rPr>
        <w:t>员工入职信息登记表</w:t>
      </w:r>
      <w:bookmarkStart w:id="94" w:name="OLE_LINK2"/>
      <w:bookmarkStart w:id="95" w:name="OLE_LINK3"/>
      <w:r>
        <w:rPr>
          <w:rFonts w:hint="eastAsia" w:ascii="楷体" w:hAnsi="楷体" w:eastAsia="楷体" w:cs="楷体"/>
          <w:color w:val="000000"/>
          <w:sz w:val="28"/>
          <w:szCs w:val="28"/>
        </w:rPr>
        <w:t>（范本）</w:t>
      </w:r>
      <w:bookmarkEnd w:id="93"/>
      <w:r>
        <w:rPr>
          <w:rFonts w:hint="eastAsia" w:ascii="仿宋_GB2312" w:eastAsia="仿宋_GB2312"/>
          <w:color w:val="000000"/>
          <w:sz w:val="28"/>
          <w:szCs w:val="28"/>
        </w:rPr>
        <w:fldChar w:fldCharType="begin"/>
      </w:r>
      <w:r>
        <w:rPr>
          <w:rFonts w:hint="eastAsia" w:ascii="仿宋_GB2312" w:eastAsia="仿宋_GB2312"/>
          <w:color w:val="000000"/>
          <w:sz w:val="28"/>
          <w:szCs w:val="28"/>
        </w:rPr>
        <w:instrText xml:space="preserve"> HYPERLINK "http://www.3722.cn/" </w:instrText>
      </w:r>
      <w:r>
        <w:rPr>
          <w:rFonts w:hint="eastAsia" w:ascii="仿宋_GB2312" w:eastAsia="仿宋_GB2312"/>
          <w:color w:val="000000"/>
          <w:sz w:val="28"/>
          <w:szCs w:val="28"/>
        </w:rPr>
        <w:fldChar w:fldCharType="end"/>
      </w:r>
      <w:bookmarkEnd w:id="94"/>
      <w:bookmarkEnd w:id="95"/>
    </w:p>
    <w:tbl>
      <w:tblPr>
        <w:tblStyle w:val="1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456"/>
        <w:gridCol w:w="465"/>
        <w:gridCol w:w="201"/>
        <w:gridCol w:w="427"/>
        <w:gridCol w:w="66"/>
        <w:gridCol w:w="290"/>
        <w:gridCol w:w="67"/>
        <w:gridCol w:w="93"/>
        <w:gridCol w:w="59"/>
        <w:gridCol w:w="270"/>
        <w:gridCol w:w="213"/>
        <w:gridCol w:w="387"/>
        <w:gridCol w:w="57"/>
        <w:gridCol w:w="201"/>
        <w:gridCol w:w="428"/>
        <w:gridCol w:w="34"/>
        <w:gridCol w:w="164"/>
        <w:gridCol w:w="161"/>
        <w:gridCol w:w="611"/>
        <w:gridCol w:w="165"/>
        <w:gridCol w:w="80"/>
        <w:gridCol w:w="356"/>
        <w:gridCol w:w="229"/>
        <w:gridCol w:w="149"/>
        <w:gridCol w:w="78"/>
        <w:gridCol w:w="270"/>
        <w:gridCol w:w="901"/>
        <w:gridCol w:w="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46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姓名</w:t>
            </w:r>
          </w:p>
        </w:tc>
        <w:tc>
          <w:tcPr>
            <w:tcW w:w="678"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i/>
                <w:color w:val="000000"/>
                <w:sz w:val="24"/>
                <w:szCs w:val="24"/>
              </w:rPr>
            </w:pPr>
          </w:p>
        </w:tc>
        <w:tc>
          <w:tcPr>
            <w:tcW w:w="542"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性别</w:t>
            </w:r>
          </w:p>
        </w:tc>
        <w:tc>
          <w:tcPr>
            <w:tcW w:w="357" w:type="pct"/>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i/>
                <w:color w:val="000000"/>
                <w:sz w:val="24"/>
                <w:szCs w:val="24"/>
              </w:rPr>
            </w:pPr>
          </w:p>
        </w:tc>
        <w:tc>
          <w:tcPr>
            <w:tcW w:w="459"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年龄</w:t>
            </w:r>
          </w:p>
        </w:tc>
        <w:tc>
          <w:tcPr>
            <w:tcW w:w="462"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i/>
                <w:color w:val="000000"/>
                <w:sz w:val="24"/>
                <w:szCs w:val="24"/>
              </w:rPr>
            </w:pPr>
          </w:p>
        </w:tc>
        <w:tc>
          <w:tcPr>
            <w:tcW w:w="559"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生日</w:t>
            </w:r>
          </w:p>
        </w:tc>
        <w:tc>
          <w:tcPr>
            <w:tcW w:w="634"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p>
        </w:tc>
        <w:tc>
          <w:tcPr>
            <w:tcW w:w="840" w:type="pct"/>
            <w:gridSpan w:val="4"/>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46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政治</w:t>
            </w:r>
          </w:p>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面貌</w:t>
            </w:r>
          </w:p>
        </w:tc>
        <w:tc>
          <w:tcPr>
            <w:tcW w:w="678"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i/>
                <w:color w:val="000000"/>
                <w:sz w:val="24"/>
                <w:szCs w:val="24"/>
              </w:rPr>
            </w:pPr>
          </w:p>
        </w:tc>
        <w:tc>
          <w:tcPr>
            <w:tcW w:w="542"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籍贯</w:t>
            </w:r>
          </w:p>
        </w:tc>
        <w:tc>
          <w:tcPr>
            <w:tcW w:w="357" w:type="pct"/>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i/>
                <w:color w:val="000000"/>
                <w:sz w:val="24"/>
                <w:szCs w:val="24"/>
              </w:rPr>
            </w:pPr>
          </w:p>
        </w:tc>
        <w:tc>
          <w:tcPr>
            <w:tcW w:w="459"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民族</w:t>
            </w:r>
          </w:p>
        </w:tc>
        <w:tc>
          <w:tcPr>
            <w:tcW w:w="462"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i/>
                <w:color w:val="000000"/>
                <w:sz w:val="24"/>
                <w:szCs w:val="24"/>
              </w:rPr>
            </w:pPr>
          </w:p>
        </w:tc>
        <w:tc>
          <w:tcPr>
            <w:tcW w:w="559"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i/>
                <w:color w:val="000000"/>
                <w:sz w:val="24"/>
                <w:szCs w:val="24"/>
              </w:rPr>
            </w:pPr>
            <w:r>
              <w:rPr>
                <w:rFonts w:hint="eastAsia" w:ascii="仿宋_GB2312" w:hAnsi="仿宋" w:eastAsia="仿宋_GB2312" w:cs="仿宋"/>
                <w:iCs/>
                <w:color w:val="000000"/>
                <w:sz w:val="24"/>
                <w:szCs w:val="24"/>
              </w:rPr>
              <w:t>血型</w:t>
            </w:r>
          </w:p>
        </w:tc>
        <w:tc>
          <w:tcPr>
            <w:tcW w:w="634"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840" w:type="pct"/>
            <w:gridSpan w:val="4"/>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46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现住</w:t>
            </w:r>
          </w:p>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地址</w:t>
            </w:r>
          </w:p>
        </w:tc>
        <w:tc>
          <w:tcPr>
            <w:tcW w:w="2499" w:type="pct"/>
            <w:gridSpan w:val="16"/>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p>
        </w:tc>
        <w:tc>
          <w:tcPr>
            <w:tcW w:w="559"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i/>
                <w:color w:val="000000"/>
                <w:sz w:val="24"/>
                <w:szCs w:val="24"/>
              </w:rPr>
            </w:pPr>
            <w:r>
              <w:rPr>
                <w:rFonts w:hint="eastAsia" w:ascii="仿宋_GB2312" w:hAnsi="仿宋" w:eastAsia="仿宋_GB2312" w:cs="仿宋"/>
                <w:color w:val="000000"/>
                <w:sz w:val="24"/>
                <w:szCs w:val="24"/>
              </w:rPr>
              <w:t>户口地</w:t>
            </w:r>
          </w:p>
        </w:tc>
        <w:tc>
          <w:tcPr>
            <w:tcW w:w="1474" w:type="pct"/>
            <w:gridSpan w:val="9"/>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002"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通信地址</w:t>
            </w:r>
          </w:p>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户口所在地</w:t>
            </w:r>
          </w:p>
        </w:tc>
        <w:tc>
          <w:tcPr>
            <w:tcW w:w="1962" w:type="pct"/>
            <w:gridSpan w:val="1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p>
        </w:tc>
        <w:tc>
          <w:tcPr>
            <w:tcW w:w="559"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移动</w:t>
            </w:r>
          </w:p>
          <w:p>
            <w:pPr>
              <w:keepNext w:val="0"/>
              <w:keepLines w:val="0"/>
              <w:pageBreakBefore w:val="0"/>
              <w:widowControl w:val="0"/>
              <w:wordWrap/>
              <w:bidi w:val="0"/>
              <w:spacing w:after="0" w:line="500" w:lineRule="exact"/>
              <w:jc w:val="center"/>
              <w:rPr>
                <w:rFonts w:hint="eastAsia" w:ascii="仿宋_GB2312" w:hAnsi="仿宋" w:eastAsia="仿宋_GB2312" w:cs="仿宋"/>
                <w:i/>
                <w:color w:val="000000"/>
                <w:sz w:val="24"/>
                <w:szCs w:val="24"/>
              </w:rPr>
            </w:pPr>
            <w:r>
              <w:rPr>
                <w:rFonts w:hint="eastAsia" w:ascii="仿宋_GB2312" w:hAnsi="仿宋" w:eastAsia="仿宋_GB2312" w:cs="仿宋"/>
                <w:color w:val="000000"/>
                <w:sz w:val="24"/>
                <w:szCs w:val="24"/>
              </w:rPr>
              <w:t>电话</w:t>
            </w:r>
          </w:p>
        </w:tc>
        <w:tc>
          <w:tcPr>
            <w:tcW w:w="1474" w:type="pct"/>
            <w:gridSpan w:val="9"/>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002"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身份证号码</w:t>
            </w:r>
          </w:p>
        </w:tc>
        <w:tc>
          <w:tcPr>
            <w:tcW w:w="1962" w:type="pct"/>
            <w:gridSpan w:val="1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i/>
                <w:color w:val="000000"/>
                <w:sz w:val="24"/>
                <w:szCs w:val="24"/>
              </w:rPr>
            </w:pPr>
          </w:p>
        </w:tc>
        <w:tc>
          <w:tcPr>
            <w:tcW w:w="559"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E-mail</w:t>
            </w:r>
          </w:p>
        </w:tc>
        <w:tc>
          <w:tcPr>
            <w:tcW w:w="1474" w:type="pct"/>
            <w:gridSpan w:val="9"/>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002"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技能证书</w:t>
            </w:r>
          </w:p>
        </w:tc>
        <w:tc>
          <w:tcPr>
            <w:tcW w:w="3997" w:type="pct"/>
            <w:gridSpan w:val="26"/>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5000" w:type="pct"/>
            <w:gridSpan w:val="29"/>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b/>
                <w:bCs/>
                <w:color w:val="000000"/>
                <w:sz w:val="24"/>
                <w:szCs w:val="24"/>
              </w:rPr>
              <w:t>主要教育经历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433"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时间</w:t>
            </w:r>
          </w:p>
        </w:tc>
        <w:tc>
          <w:tcPr>
            <w:tcW w:w="1725" w:type="pct"/>
            <w:gridSpan w:val="1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院校名称</w:t>
            </w:r>
          </w:p>
        </w:tc>
        <w:tc>
          <w:tcPr>
            <w:tcW w:w="543"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学历</w:t>
            </w:r>
          </w:p>
        </w:tc>
        <w:tc>
          <w:tcPr>
            <w:tcW w:w="685"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专业</w:t>
            </w:r>
          </w:p>
        </w:tc>
        <w:tc>
          <w:tcPr>
            <w:tcW w:w="612"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433"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ind w:firstLine="442" w:firstLineChars="200"/>
              <w:jc w:val="both"/>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年   月～</w:t>
            </w:r>
          </w:p>
          <w:p>
            <w:pPr>
              <w:keepNext w:val="0"/>
              <w:keepLines w:val="0"/>
              <w:pageBreakBefore w:val="0"/>
              <w:widowControl w:val="0"/>
              <w:wordWrap/>
              <w:bidi w:val="0"/>
              <w:spacing w:after="0" w:line="500" w:lineRule="exact"/>
              <w:ind w:firstLine="442" w:firstLineChars="200"/>
              <w:jc w:val="both"/>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年   月</w:t>
            </w:r>
          </w:p>
        </w:tc>
        <w:tc>
          <w:tcPr>
            <w:tcW w:w="1725" w:type="pct"/>
            <w:gridSpan w:val="1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i/>
                <w:color w:val="000000"/>
                <w:sz w:val="24"/>
                <w:szCs w:val="24"/>
              </w:rPr>
            </w:pPr>
          </w:p>
        </w:tc>
        <w:tc>
          <w:tcPr>
            <w:tcW w:w="543"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i/>
                <w:color w:val="000000"/>
                <w:sz w:val="24"/>
                <w:szCs w:val="24"/>
              </w:rPr>
            </w:pPr>
          </w:p>
        </w:tc>
        <w:tc>
          <w:tcPr>
            <w:tcW w:w="685"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i/>
                <w:color w:val="000000"/>
                <w:sz w:val="24"/>
                <w:szCs w:val="24"/>
              </w:rPr>
            </w:pPr>
          </w:p>
        </w:tc>
        <w:tc>
          <w:tcPr>
            <w:tcW w:w="612"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433"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ind w:firstLine="442" w:firstLineChars="200"/>
              <w:jc w:val="both"/>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年   月～</w:t>
            </w:r>
          </w:p>
          <w:p>
            <w:pPr>
              <w:keepNext w:val="0"/>
              <w:keepLines w:val="0"/>
              <w:pageBreakBefore w:val="0"/>
              <w:widowControl w:val="0"/>
              <w:wordWrap/>
              <w:bidi w:val="0"/>
              <w:spacing w:after="0" w:line="500" w:lineRule="exact"/>
              <w:ind w:firstLine="442" w:firstLineChars="200"/>
              <w:jc w:val="both"/>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年   月</w:t>
            </w:r>
          </w:p>
        </w:tc>
        <w:tc>
          <w:tcPr>
            <w:tcW w:w="1725" w:type="pct"/>
            <w:gridSpan w:val="1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i/>
                <w:color w:val="000000"/>
                <w:sz w:val="24"/>
                <w:szCs w:val="24"/>
              </w:rPr>
            </w:pPr>
          </w:p>
        </w:tc>
        <w:tc>
          <w:tcPr>
            <w:tcW w:w="543"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i/>
                <w:color w:val="000000"/>
                <w:sz w:val="24"/>
                <w:szCs w:val="24"/>
              </w:rPr>
            </w:pPr>
          </w:p>
        </w:tc>
        <w:tc>
          <w:tcPr>
            <w:tcW w:w="685"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i/>
                <w:color w:val="000000"/>
                <w:sz w:val="24"/>
                <w:szCs w:val="24"/>
              </w:rPr>
            </w:pPr>
          </w:p>
        </w:tc>
        <w:tc>
          <w:tcPr>
            <w:tcW w:w="612"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5000" w:type="pct"/>
            <w:gridSpan w:val="29"/>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b/>
                <w:bCs/>
                <w:color w:val="000000"/>
                <w:sz w:val="24"/>
                <w:szCs w:val="24"/>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433"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工作时间</w:t>
            </w:r>
          </w:p>
        </w:tc>
        <w:tc>
          <w:tcPr>
            <w:tcW w:w="1531" w:type="pct"/>
            <w:gridSpan w:val="1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工作单位</w:t>
            </w:r>
          </w:p>
        </w:tc>
        <w:tc>
          <w:tcPr>
            <w:tcW w:w="737"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职位</w:t>
            </w:r>
          </w:p>
        </w:tc>
        <w:tc>
          <w:tcPr>
            <w:tcW w:w="685"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证明人姓名、电话</w:t>
            </w:r>
          </w:p>
        </w:tc>
        <w:tc>
          <w:tcPr>
            <w:tcW w:w="612"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离职</w:t>
            </w:r>
          </w:p>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433"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ind w:firstLine="442" w:firstLineChars="200"/>
              <w:jc w:val="both"/>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年   月～</w:t>
            </w:r>
          </w:p>
          <w:p>
            <w:pPr>
              <w:keepNext w:val="0"/>
              <w:keepLines w:val="0"/>
              <w:pageBreakBefore w:val="0"/>
              <w:widowControl w:val="0"/>
              <w:wordWrap/>
              <w:bidi w:val="0"/>
              <w:spacing w:after="0" w:line="500" w:lineRule="exact"/>
              <w:ind w:firstLine="442" w:firstLineChars="200"/>
              <w:jc w:val="both"/>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年   月</w:t>
            </w:r>
          </w:p>
        </w:tc>
        <w:tc>
          <w:tcPr>
            <w:tcW w:w="1531" w:type="pct"/>
            <w:gridSpan w:val="1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i/>
                <w:color w:val="000000"/>
                <w:sz w:val="24"/>
                <w:szCs w:val="24"/>
              </w:rPr>
            </w:pPr>
          </w:p>
        </w:tc>
        <w:tc>
          <w:tcPr>
            <w:tcW w:w="737"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i/>
                <w:color w:val="000000"/>
                <w:sz w:val="24"/>
                <w:szCs w:val="24"/>
              </w:rPr>
            </w:pPr>
          </w:p>
        </w:tc>
        <w:tc>
          <w:tcPr>
            <w:tcW w:w="685"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i/>
                <w:color w:val="000000"/>
                <w:sz w:val="24"/>
                <w:szCs w:val="24"/>
              </w:rPr>
            </w:pPr>
          </w:p>
        </w:tc>
        <w:tc>
          <w:tcPr>
            <w:tcW w:w="612"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i/>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433"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ind w:firstLine="442" w:firstLineChars="200"/>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年   月～</w:t>
            </w:r>
          </w:p>
          <w:p>
            <w:pPr>
              <w:keepNext w:val="0"/>
              <w:keepLines w:val="0"/>
              <w:pageBreakBefore w:val="0"/>
              <w:widowControl w:val="0"/>
              <w:wordWrap/>
              <w:bidi w:val="0"/>
              <w:spacing w:after="0" w:line="500" w:lineRule="exact"/>
              <w:ind w:firstLine="442" w:firstLineChars="200"/>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年   月</w:t>
            </w:r>
          </w:p>
        </w:tc>
        <w:tc>
          <w:tcPr>
            <w:tcW w:w="1531" w:type="pct"/>
            <w:gridSpan w:val="1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i/>
                <w:color w:val="000000"/>
                <w:sz w:val="24"/>
                <w:szCs w:val="24"/>
              </w:rPr>
            </w:pPr>
          </w:p>
        </w:tc>
        <w:tc>
          <w:tcPr>
            <w:tcW w:w="737"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i/>
                <w:color w:val="000000"/>
                <w:sz w:val="24"/>
                <w:szCs w:val="24"/>
              </w:rPr>
            </w:pPr>
          </w:p>
        </w:tc>
        <w:tc>
          <w:tcPr>
            <w:tcW w:w="685"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i/>
                <w:color w:val="000000"/>
                <w:sz w:val="24"/>
                <w:szCs w:val="24"/>
              </w:rPr>
            </w:pPr>
          </w:p>
        </w:tc>
        <w:tc>
          <w:tcPr>
            <w:tcW w:w="612"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i/>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5000" w:type="pct"/>
            <w:gridSpan w:val="29"/>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b/>
                <w:bCs/>
                <w:color w:val="000000"/>
                <w:sz w:val="24"/>
                <w:szCs w:val="24"/>
              </w:rPr>
              <w:t>家庭情况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002"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婚姻状况</w:t>
            </w:r>
          </w:p>
        </w:tc>
        <w:tc>
          <w:tcPr>
            <w:tcW w:w="3997" w:type="pct"/>
            <w:gridSpan w:val="26"/>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ind w:firstLine="442" w:firstLineChars="200"/>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sym w:font="Wingdings 2" w:char="00A3"/>
            </w:r>
            <w:r>
              <w:rPr>
                <w:rFonts w:hint="eastAsia" w:ascii="仿宋_GB2312" w:hAnsi="仿宋" w:eastAsia="仿宋_GB2312" w:cs="仿宋"/>
                <w:color w:val="000000"/>
                <w:sz w:val="24"/>
                <w:szCs w:val="24"/>
              </w:rPr>
              <w:t xml:space="preserve">未婚          □已婚      </w:t>
            </w:r>
          </w:p>
          <w:p>
            <w:pPr>
              <w:keepNext w:val="0"/>
              <w:keepLines w:val="0"/>
              <w:pageBreakBefore w:val="0"/>
              <w:widowControl w:val="0"/>
              <w:wordWrap/>
              <w:bidi w:val="0"/>
              <w:spacing w:after="0" w:line="500" w:lineRule="exact"/>
              <w:ind w:firstLine="442" w:firstLineChars="200"/>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sym w:font="Wingdings 2" w:char="00A3"/>
            </w:r>
            <w:r>
              <w:rPr>
                <w:rFonts w:hint="eastAsia" w:ascii="仿宋_GB2312" w:hAnsi="仿宋" w:eastAsia="仿宋_GB2312" w:cs="仿宋"/>
                <w:color w:val="000000"/>
                <w:sz w:val="24"/>
                <w:szCs w:val="24"/>
              </w:rPr>
              <w:t>已婚已育      □离异      □丧偶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002"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ind w:firstLine="111" w:firstLineChars="50"/>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关系</w:t>
            </w:r>
          </w:p>
        </w:tc>
        <w:tc>
          <w:tcPr>
            <w:tcW w:w="683" w:type="pct"/>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姓名</w:t>
            </w:r>
          </w:p>
        </w:tc>
        <w:tc>
          <w:tcPr>
            <w:tcW w:w="506"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年龄</w:t>
            </w:r>
          </w:p>
        </w:tc>
        <w:tc>
          <w:tcPr>
            <w:tcW w:w="1882" w:type="pct"/>
            <w:gridSpan w:val="1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工作单位（就读学校）</w:t>
            </w:r>
          </w:p>
        </w:tc>
        <w:tc>
          <w:tcPr>
            <w:tcW w:w="924"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所任岗位</w:t>
            </w:r>
          </w:p>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及职务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002"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iCs/>
                <w:color w:val="000000"/>
                <w:sz w:val="24"/>
                <w:szCs w:val="24"/>
              </w:rPr>
            </w:pPr>
          </w:p>
        </w:tc>
        <w:tc>
          <w:tcPr>
            <w:tcW w:w="683" w:type="pct"/>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iCs/>
                <w:color w:val="000000"/>
                <w:sz w:val="24"/>
                <w:szCs w:val="24"/>
              </w:rPr>
            </w:pPr>
          </w:p>
        </w:tc>
        <w:tc>
          <w:tcPr>
            <w:tcW w:w="506"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i/>
                <w:color w:val="000000"/>
                <w:sz w:val="24"/>
                <w:szCs w:val="24"/>
              </w:rPr>
            </w:pPr>
          </w:p>
        </w:tc>
        <w:tc>
          <w:tcPr>
            <w:tcW w:w="1882" w:type="pct"/>
            <w:gridSpan w:val="1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i/>
                <w:color w:val="000000"/>
                <w:sz w:val="24"/>
                <w:szCs w:val="24"/>
              </w:rPr>
            </w:pPr>
          </w:p>
        </w:tc>
        <w:tc>
          <w:tcPr>
            <w:tcW w:w="924"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i/>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002"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iCs/>
                <w:color w:val="000000"/>
                <w:sz w:val="24"/>
                <w:szCs w:val="24"/>
              </w:rPr>
            </w:pPr>
          </w:p>
        </w:tc>
        <w:tc>
          <w:tcPr>
            <w:tcW w:w="683" w:type="pct"/>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iCs/>
                <w:color w:val="000000"/>
                <w:sz w:val="24"/>
                <w:szCs w:val="24"/>
              </w:rPr>
            </w:pPr>
          </w:p>
        </w:tc>
        <w:tc>
          <w:tcPr>
            <w:tcW w:w="506"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i/>
                <w:color w:val="000000"/>
                <w:sz w:val="24"/>
                <w:szCs w:val="24"/>
              </w:rPr>
            </w:pPr>
          </w:p>
        </w:tc>
        <w:tc>
          <w:tcPr>
            <w:tcW w:w="1882" w:type="pct"/>
            <w:gridSpan w:val="1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i/>
                <w:color w:val="000000"/>
                <w:sz w:val="24"/>
                <w:szCs w:val="24"/>
              </w:rPr>
            </w:pPr>
          </w:p>
        </w:tc>
        <w:tc>
          <w:tcPr>
            <w:tcW w:w="924"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i/>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5000" w:type="pct"/>
            <w:gridSpan w:val="29"/>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b/>
                <w:bCs/>
                <w:color w:val="000000"/>
                <w:sz w:val="24"/>
                <w:szCs w:val="24"/>
              </w:rPr>
              <w:t>紧急联络人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002"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ind w:firstLine="442" w:firstLineChars="200"/>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关系</w:t>
            </w:r>
          </w:p>
          <w:p>
            <w:pPr>
              <w:keepNext w:val="0"/>
              <w:keepLines w:val="0"/>
              <w:pageBreakBefore w:val="0"/>
              <w:widowControl w:val="0"/>
              <w:wordWrap/>
              <w:bidi w:val="0"/>
              <w:spacing w:after="0" w:line="500" w:lineRule="exact"/>
              <w:ind w:firstLine="442" w:firstLineChars="200"/>
              <w:jc w:val="center"/>
              <w:rPr>
                <w:rFonts w:hint="eastAsia" w:ascii="仿宋_GB2312" w:hAnsi="仿宋" w:eastAsia="仿宋_GB2312" w:cs="仿宋"/>
                <w:color w:val="000000"/>
                <w:sz w:val="24"/>
                <w:szCs w:val="24"/>
              </w:rPr>
            </w:pPr>
            <w:r>
              <w:rPr>
                <w:rFonts w:hint="eastAsia" w:ascii="仿宋_GB2312" w:hAnsi="仿宋" w:eastAsia="仿宋_GB2312" w:cs="仿宋"/>
                <w:iCs/>
                <w:color w:val="000000"/>
                <w:sz w:val="24"/>
                <w:szCs w:val="24"/>
              </w:rPr>
              <w:t>（必填）</w:t>
            </w:r>
          </w:p>
        </w:tc>
        <w:tc>
          <w:tcPr>
            <w:tcW w:w="683" w:type="pct"/>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姓名</w:t>
            </w:r>
          </w:p>
        </w:tc>
        <w:tc>
          <w:tcPr>
            <w:tcW w:w="2702" w:type="pct"/>
            <w:gridSpan w:val="20"/>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联系地址及邮编</w:t>
            </w:r>
          </w:p>
        </w:tc>
        <w:tc>
          <w:tcPr>
            <w:tcW w:w="612"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002"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iCs/>
                <w:color w:val="000000"/>
                <w:sz w:val="24"/>
                <w:szCs w:val="24"/>
              </w:rPr>
            </w:pPr>
          </w:p>
        </w:tc>
        <w:tc>
          <w:tcPr>
            <w:tcW w:w="683" w:type="pct"/>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iCs/>
                <w:color w:val="000000"/>
                <w:sz w:val="24"/>
                <w:szCs w:val="24"/>
              </w:rPr>
            </w:pPr>
          </w:p>
        </w:tc>
        <w:tc>
          <w:tcPr>
            <w:tcW w:w="2702" w:type="pct"/>
            <w:gridSpan w:val="20"/>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iCs/>
                <w:color w:val="000000"/>
                <w:sz w:val="24"/>
                <w:szCs w:val="24"/>
              </w:rPr>
            </w:pPr>
          </w:p>
        </w:tc>
        <w:tc>
          <w:tcPr>
            <w:tcW w:w="612" w:type="pct"/>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wordWrap/>
              <w:bidi w:val="0"/>
              <w:spacing w:after="0" w:line="500" w:lineRule="exact"/>
              <w:rPr>
                <w:rFonts w:hint="eastAsia" w:ascii="仿宋_GB2312" w:hAnsi="仿宋" w:eastAsia="仿宋_GB2312" w:cs="仿宋"/>
                <w:i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002"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iCs/>
                <w:color w:val="000000"/>
                <w:sz w:val="24"/>
                <w:szCs w:val="24"/>
              </w:rPr>
            </w:pPr>
          </w:p>
        </w:tc>
        <w:tc>
          <w:tcPr>
            <w:tcW w:w="683" w:type="pct"/>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iCs/>
                <w:color w:val="000000"/>
                <w:sz w:val="24"/>
                <w:szCs w:val="24"/>
              </w:rPr>
            </w:pPr>
          </w:p>
        </w:tc>
        <w:tc>
          <w:tcPr>
            <w:tcW w:w="2702" w:type="pct"/>
            <w:gridSpan w:val="20"/>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iCs/>
                <w:color w:val="000000"/>
                <w:sz w:val="24"/>
                <w:szCs w:val="24"/>
              </w:rPr>
            </w:pPr>
          </w:p>
        </w:tc>
        <w:tc>
          <w:tcPr>
            <w:tcW w:w="612" w:type="pct"/>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wordWrap/>
              <w:bidi w:val="0"/>
              <w:spacing w:after="0" w:line="500" w:lineRule="exact"/>
              <w:rPr>
                <w:rFonts w:hint="eastAsia" w:ascii="仿宋_GB2312" w:hAnsi="仿宋" w:eastAsia="仿宋_GB2312" w:cs="仿宋"/>
                <w:i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trHeight w:val="0" w:hRule="atLeast"/>
        </w:trPr>
        <w:tc>
          <w:tcPr>
            <w:tcW w:w="465"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健</w:t>
            </w:r>
          </w:p>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p>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康</w:t>
            </w:r>
          </w:p>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p>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状</w:t>
            </w:r>
          </w:p>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p>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况</w:t>
            </w:r>
          </w:p>
        </w:tc>
        <w:tc>
          <w:tcPr>
            <w:tcW w:w="22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身高</w:t>
            </w:r>
          </w:p>
        </w:tc>
        <w:tc>
          <w:tcPr>
            <w:tcW w:w="798" w:type="pct"/>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p>
        </w:tc>
        <w:tc>
          <w:tcPr>
            <w:tcW w:w="370" w:type="pct"/>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体重</w:t>
            </w:r>
          </w:p>
        </w:tc>
        <w:tc>
          <w:tcPr>
            <w:tcW w:w="600"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p>
        </w:tc>
        <w:tc>
          <w:tcPr>
            <w:tcW w:w="478"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视力</w:t>
            </w:r>
          </w:p>
        </w:tc>
        <w:tc>
          <w:tcPr>
            <w:tcW w:w="1011" w:type="pct"/>
            <w:gridSpan w:val="7"/>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ind w:firstLine="442" w:firstLineChars="200"/>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sym w:font="Wingdings 2" w:char="00A3"/>
            </w:r>
            <w:r>
              <w:rPr>
                <w:rFonts w:hint="eastAsia" w:ascii="仿宋_GB2312" w:hAnsi="仿宋" w:eastAsia="仿宋_GB2312" w:cs="仿宋"/>
                <w:color w:val="000000"/>
                <w:sz w:val="24"/>
                <w:szCs w:val="24"/>
              </w:rPr>
              <w:t xml:space="preserve">良好  </w:t>
            </w:r>
          </w:p>
          <w:p>
            <w:pPr>
              <w:keepNext w:val="0"/>
              <w:keepLines w:val="0"/>
              <w:pageBreakBefore w:val="0"/>
              <w:widowControl w:val="0"/>
              <w:wordWrap/>
              <w:bidi w:val="0"/>
              <w:spacing w:after="0" w:line="500" w:lineRule="exact"/>
              <w:ind w:firstLine="442" w:firstLineChars="200"/>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sym w:font="Wingdings 2" w:char="00A3"/>
            </w:r>
            <w:r>
              <w:rPr>
                <w:rFonts w:hint="eastAsia" w:ascii="仿宋_GB2312" w:hAnsi="仿宋" w:eastAsia="仿宋_GB2312" w:cs="仿宋"/>
                <w:color w:val="000000"/>
                <w:sz w:val="24"/>
                <w:szCs w:val="24"/>
              </w:rPr>
              <w:t>辅助</w:t>
            </w:r>
          </w:p>
        </w:tc>
        <w:tc>
          <w:tcPr>
            <w:tcW w:w="257"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听力</w:t>
            </w:r>
          </w:p>
        </w:tc>
        <w:tc>
          <w:tcPr>
            <w:tcW w:w="78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both"/>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sym w:font="Wingdings 2" w:char="00A3"/>
            </w:r>
            <w:r>
              <w:rPr>
                <w:rFonts w:hint="eastAsia" w:ascii="仿宋_GB2312" w:hAnsi="仿宋" w:eastAsia="仿宋_GB2312" w:cs="仿宋"/>
                <w:color w:val="000000"/>
                <w:sz w:val="24"/>
                <w:szCs w:val="24"/>
              </w:rPr>
              <w:t xml:space="preserve">良好 </w:t>
            </w:r>
          </w:p>
          <w:p>
            <w:pPr>
              <w:keepNext w:val="0"/>
              <w:keepLines w:val="0"/>
              <w:pageBreakBefore w:val="0"/>
              <w:widowControl w:val="0"/>
              <w:wordWrap/>
              <w:bidi w:val="0"/>
              <w:spacing w:after="0" w:line="500" w:lineRule="exact"/>
              <w:jc w:val="both"/>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sym w:font="Wingdings 2" w:char="00A3"/>
            </w:r>
            <w:r>
              <w:rPr>
                <w:rFonts w:hint="eastAsia" w:ascii="仿宋_GB2312" w:hAnsi="仿宋" w:eastAsia="仿宋_GB2312" w:cs="仿宋"/>
                <w:color w:val="000000"/>
                <w:sz w:val="24"/>
                <w:szCs w:val="24"/>
              </w:rPr>
              <w:t>辅助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trHeight w:val="0" w:hRule="atLeast"/>
        </w:trPr>
        <w:tc>
          <w:tcPr>
            <w:tcW w:w="4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rPr>
                <w:rFonts w:hint="eastAsia" w:ascii="仿宋_GB2312" w:hAnsi="仿宋" w:eastAsia="仿宋_GB2312" w:cs="仿宋"/>
                <w:color w:val="000000"/>
                <w:sz w:val="24"/>
                <w:szCs w:val="24"/>
              </w:rPr>
            </w:pPr>
          </w:p>
        </w:tc>
        <w:tc>
          <w:tcPr>
            <w:tcW w:w="4522" w:type="pct"/>
            <w:gridSpan w:val="27"/>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ind w:right="300"/>
              <w:rPr>
                <w:rFonts w:hint="eastAsia" w:ascii="仿宋_GB2312" w:hAnsi="仿宋" w:eastAsia="仿宋_GB2312" w:cs="仿宋"/>
                <w:color w:val="000000"/>
                <w:sz w:val="24"/>
                <w:szCs w:val="24"/>
                <w:u w:val="single"/>
              </w:rPr>
            </w:pPr>
            <w:r>
              <w:rPr>
                <w:rFonts w:hint="eastAsia" w:ascii="仿宋_GB2312" w:hAnsi="仿宋" w:eastAsia="仿宋_GB2312" w:cs="仿宋"/>
                <w:color w:val="000000"/>
                <w:sz w:val="24"/>
                <w:szCs w:val="24"/>
              </w:rPr>
              <w:t>是否曾被认定为工伤或职业病或持有残疾人证明：</w:t>
            </w:r>
            <w:r>
              <w:rPr>
                <w:rFonts w:hint="eastAsia" w:ascii="仿宋_GB2312" w:hAnsi="仿宋" w:eastAsia="仿宋_GB2312" w:cs="仿宋"/>
                <w:color w:val="000000"/>
                <w:sz w:val="24"/>
                <w:szCs w:val="24"/>
              </w:rPr>
              <w:sym w:font="Wingdings 2" w:char="00A3"/>
            </w:r>
            <w:r>
              <w:rPr>
                <w:rFonts w:hint="eastAsia" w:ascii="仿宋_GB2312" w:hAnsi="仿宋" w:eastAsia="仿宋_GB2312" w:cs="仿宋"/>
                <w:color w:val="000000"/>
                <w:sz w:val="24"/>
                <w:szCs w:val="24"/>
              </w:rPr>
              <w:t xml:space="preserve">是   </w:t>
            </w:r>
            <w:r>
              <w:rPr>
                <w:rFonts w:hint="eastAsia" w:ascii="仿宋_GB2312" w:hAnsi="仿宋" w:eastAsia="仿宋_GB2312" w:cs="仿宋"/>
                <w:color w:val="000000"/>
                <w:sz w:val="24"/>
                <w:szCs w:val="24"/>
              </w:rPr>
              <w:sym w:font="Wingdings 2" w:char="00A3"/>
            </w:r>
            <w:r>
              <w:rPr>
                <w:rFonts w:hint="eastAsia" w:ascii="仿宋_GB2312" w:hAnsi="仿宋" w:eastAsia="仿宋_GB2312" w:cs="仿宋"/>
                <w:color w:val="000000"/>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trHeight w:val="0" w:hRule="atLeast"/>
        </w:trPr>
        <w:tc>
          <w:tcPr>
            <w:tcW w:w="4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rPr>
                <w:rFonts w:hint="eastAsia" w:ascii="仿宋_GB2312" w:hAnsi="仿宋" w:eastAsia="仿宋_GB2312" w:cs="仿宋"/>
                <w:color w:val="000000"/>
                <w:sz w:val="24"/>
                <w:szCs w:val="24"/>
              </w:rPr>
            </w:pPr>
          </w:p>
        </w:tc>
        <w:tc>
          <w:tcPr>
            <w:tcW w:w="4522" w:type="pct"/>
            <w:gridSpan w:val="27"/>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ind w:right="300"/>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是否被劳动能力鉴定委员会鉴定为具有伤残等级以及何级伤残：</w:t>
            </w:r>
          </w:p>
          <w:p>
            <w:pPr>
              <w:keepNext w:val="0"/>
              <w:keepLines w:val="0"/>
              <w:pageBreakBefore w:val="0"/>
              <w:widowControl w:val="0"/>
              <w:wordWrap/>
              <w:bidi w:val="0"/>
              <w:spacing w:after="0" w:line="500" w:lineRule="exact"/>
              <w:ind w:right="300"/>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sym w:font="Wingdings 2" w:char="00A3"/>
            </w:r>
            <w:r>
              <w:rPr>
                <w:rFonts w:hint="eastAsia" w:ascii="仿宋_GB2312" w:hAnsi="仿宋" w:eastAsia="仿宋_GB2312" w:cs="仿宋"/>
                <w:color w:val="000000"/>
                <w:sz w:val="24"/>
                <w:szCs w:val="24"/>
              </w:rPr>
              <w:t xml:space="preserve">是  </w:t>
            </w:r>
            <w:r>
              <w:rPr>
                <w:rFonts w:hint="eastAsia" w:ascii="仿宋_GB2312" w:hAnsi="仿宋" w:eastAsia="仿宋_GB2312" w:cs="仿宋"/>
                <w:color w:val="000000"/>
                <w:sz w:val="24"/>
                <w:szCs w:val="24"/>
              </w:rPr>
              <w:sym w:font="Wingdings 2" w:char="00A3"/>
            </w:r>
            <w:r>
              <w:rPr>
                <w:rFonts w:hint="eastAsia" w:ascii="仿宋_GB2312" w:hAnsi="仿宋" w:eastAsia="仿宋_GB2312" w:cs="仿宋"/>
                <w:color w:val="000000"/>
                <w:sz w:val="24"/>
                <w:szCs w:val="24"/>
              </w:rPr>
              <w:t>否  伤残等级</w:t>
            </w:r>
            <w:r>
              <w:rPr>
                <w:rFonts w:hint="eastAsia" w:ascii="仿宋_GB2312" w:hAnsi="仿宋" w:eastAsia="仿宋_GB2312" w:cs="仿宋"/>
                <w:color w:val="000000"/>
                <w:sz w:val="24"/>
                <w:szCs w:val="24"/>
                <w:u w:val="single"/>
              </w:rPr>
              <w:t xml:space="preserve">        </w:t>
            </w:r>
            <w:r>
              <w:rPr>
                <w:rFonts w:hint="eastAsia" w:ascii="仿宋_GB2312" w:hAnsi="仿宋" w:eastAsia="仿宋_GB2312" w:cs="仿宋"/>
                <w:color w:val="000000"/>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trHeight w:val="0" w:hRule="atLeast"/>
        </w:trPr>
        <w:tc>
          <w:tcPr>
            <w:tcW w:w="4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rPr>
                <w:rFonts w:hint="eastAsia" w:ascii="仿宋_GB2312" w:hAnsi="仿宋" w:eastAsia="仿宋_GB2312" w:cs="仿宋"/>
                <w:color w:val="000000"/>
                <w:sz w:val="24"/>
                <w:szCs w:val="24"/>
              </w:rPr>
            </w:pPr>
          </w:p>
        </w:tc>
        <w:tc>
          <w:tcPr>
            <w:tcW w:w="4522" w:type="pct"/>
            <w:gridSpan w:val="27"/>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ind w:firstLine="442" w:firstLineChars="200"/>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 xml:space="preserve">是否从事过井下、高空、高温、特别繁重体力劳动以及有毒有害工种：     </w:t>
            </w:r>
            <w:r>
              <w:rPr>
                <w:rFonts w:hint="eastAsia" w:ascii="仿宋_GB2312" w:hAnsi="仿宋" w:eastAsia="仿宋_GB2312" w:cs="仿宋"/>
                <w:color w:val="000000"/>
                <w:sz w:val="24"/>
                <w:szCs w:val="24"/>
              </w:rPr>
              <w:sym w:font="Wingdings 2" w:char="00A3"/>
            </w:r>
            <w:r>
              <w:rPr>
                <w:rFonts w:hint="eastAsia" w:ascii="仿宋_GB2312" w:hAnsi="仿宋" w:eastAsia="仿宋_GB2312" w:cs="仿宋"/>
                <w:color w:val="000000"/>
                <w:sz w:val="24"/>
                <w:szCs w:val="24"/>
              </w:rPr>
              <w:t xml:space="preserve">是   </w:t>
            </w:r>
            <w:r>
              <w:rPr>
                <w:rFonts w:hint="eastAsia" w:ascii="仿宋_GB2312" w:hAnsi="仿宋" w:eastAsia="仿宋_GB2312" w:cs="仿宋"/>
                <w:color w:val="000000"/>
                <w:sz w:val="24"/>
                <w:szCs w:val="24"/>
              </w:rPr>
              <w:sym w:font="Wingdings 2" w:char="00A3"/>
            </w:r>
            <w:r>
              <w:rPr>
                <w:rFonts w:hint="eastAsia" w:ascii="仿宋_GB2312" w:hAnsi="仿宋" w:eastAsia="仿宋_GB2312" w:cs="仿宋"/>
                <w:color w:val="000000"/>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trHeight w:val="0" w:hRule="atLeast"/>
        </w:trPr>
        <w:tc>
          <w:tcPr>
            <w:tcW w:w="4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rPr>
                <w:rFonts w:hint="eastAsia" w:ascii="仿宋_GB2312" w:hAnsi="仿宋" w:eastAsia="仿宋_GB2312" w:cs="仿宋"/>
                <w:color w:val="000000"/>
                <w:sz w:val="24"/>
                <w:szCs w:val="24"/>
              </w:rPr>
            </w:pPr>
          </w:p>
        </w:tc>
        <w:tc>
          <w:tcPr>
            <w:tcW w:w="4522" w:type="pct"/>
            <w:gridSpan w:val="27"/>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ind w:right="300"/>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是否有传染性疾病以及何种疾病：</w:t>
            </w:r>
            <w:r>
              <w:rPr>
                <w:rFonts w:hint="eastAsia" w:ascii="仿宋_GB2312" w:hAnsi="仿宋" w:eastAsia="仿宋_GB2312" w:cs="仿宋"/>
                <w:color w:val="000000"/>
                <w:sz w:val="24"/>
                <w:szCs w:val="24"/>
              </w:rPr>
              <w:sym w:font="Wingdings 2" w:char="00A3"/>
            </w:r>
            <w:r>
              <w:rPr>
                <w:rFonts w:hint="eastAsia" w:ascii="仿宋_GB2312" w:hAnsi="仿宋" w:eastAsia="仿宋_GB2312" w:cs="仿宋"/>
                <w:color w:val="000000"/>
                <w:sz w:val="24"/>
                <w:szCs w:val="24"/>
              </w:rPr>
              <w:t xml:space="preserve">是   </w:t>
            </w:r>
            <w:r>
              <w:rPr>
                <w:rFonts w:hint="eastAsia" w:ascii="仿宋_GB2312" w:hAnsi="仿宋" w:eastAsia="仿宋_GB2312" w:cs="仿宋"/>
                <w:color w:val="000000"/>
                <w:sz w:val="24"/>
                <w:szCs w:val="24"/>
              </w:rPr>
              <w:sym w:font="Wingdings 2" w:char="00A3"/>
            </w:r>
            <w:r>
              <w:rPr>
                <w:rFonts w:hint="eastAsia" w:ascii="仿宋_GB2312" w:hAnsi="仿宋" w:eastAsia="仿宋_GB2312" w:cs="仿宋"/>
                <w:color w:val="000000"/>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trHeight w:val="0" w:hRule="atLeast"/>
        </w:trPr>
        <w:tc>
          <w:tcPr>
            <w:tcW w:w="4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rPr>
                <w:rFonts w:hint="eastAsia" w:ascii="仿宋_GB2312" w:hAnsi="仿宋" w:eastAsia="仿宋_GB2312" w:cs="仿宋"/>
                <w:color w:val="000000"/>
                <w:sz w:val="24"/>
                <w:szCs w:val="24"/>
              </w:rPr>
            </w:pPr>
          </w:p>
        </w:tc>
        <w:tc>
          <w:tcPr>
            <w:tcW w:w="4522" w:type="pct"/>
            <w:gridSpan w:val="27"/>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ind w:right="300"/>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是否有精神疾病或家族精神病遗传病史：</w:t>
            </w:r>
            <w:r>
              <w:rPr>
                <w:rFonts w:hint="eastAsia" w:ascii="仿宋_GB2312" w:hAnsi="仿宋" w:eastAsia="仿宋_GB2312" w:cs="仿宋"/>
                <w:color w:val="000000"/>
                <w:sz w:val="24"/>
                <w:szCs w:val="24"/>
              </w:rPr>
              <w:sym w:font="Wingdings 2" w:char="00A3"/>
            </w:r>
            <w:r>
              <w:rPr>
                <w:rFonts w:hint="eastAsia" w:ascii="仿宋_GB2312" w:hAnsi="仿宋" w:eastAsia="仿宋_GB2312" w:cs="仿宋"/>
                <w:color w:val="000000"/>
                <w:sz w:val="24"/>
                <w:szCs w:val="24"/>
              </w:rPr>
              <w:t xml:space="preserve">是   </w:t>
            </w:r>
            <w:r>
              <w:rPr>
                <w:rFonts w:hint="eastAsia" w:ascii="仿宋_GB2312" w:hAnsi="仿宋" w:eastAsia="仿宋_GB2312" w:cs="仿宋"/>
                <w:color w:val="000000"/>
                <w:sz w:val="24"/>
                <w:szCs w:val="24"/>
              </w:rPr>
              <w:sym w:font="Wingdings 2" w:char="00A3"/>
            </w:r>
            <w:r>
              <w:rPr>
                <w:rFonts w:hint="eastAsia" w:ascii="仿宋_GB2312" w:hAnsi="仿宋" w:eastAsia="仿宋_GB2312" w:cs="仿宋"/>
                <w:color w:val="000000"/>
                <w:sz w:val="24"/>
                <w:szCs w:val="24"/>
              </w:rPr>
              <w:t xml:space="preserve">否            </w:t>
            </w:r>
            <w:r>
              <w:rPr>
                <w:rFonts w:hint="eastAsia" w:ascii="仿宋_GB2312" w:hAnsi="仿宋" w:eastAsia="仿宋_GB2312" w:cs="仿宋"/>
                <w:b/>
                <w:i/>
                <w:color w:val="000000"/>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trHeight w:val="0" w:hRule="atLeast"/>
        </w:trPr>
        <w:tc>
          <w:tcPr>
            <w:tcW w:w="687"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前用人</w:t>
            </w:r>
          </w:p>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单位信息</w:t>
            </w:r>
          </w:p>
        </w:tc>
        <w:tc>
          <w:tcPr>
            <w:tcW w:w="1051" w:type="pct"/>
            <w:gridSpan w:val="6"/>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离职时间</w:t>
            </w:r>
          </w:p>
        </w:tc>
        <w:tc>
          <w:tcPr>
            <w:tcW w:w="903" w:type="pct"/>
            <w:gridSpan w:val="7"/>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 xml:space="preserve"> </w:t>
            </w:r>
          </w:p>
        </w:tc>
        <w:tc>
          <w:tcPr>
            <w:tcW w:w="998" w:type="pct"/>
            <w:gridSpan w:val="6"/>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离职原因</w:t>
            </w:r>
          </w:p>
        </w:tc>
        <w:tc>
          <w:tcPr>
            <w:tcW w:w="1346" w:type="pct"/>
            <w:gridSpan w:val="7"/>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trHeight w:val="0" w:hRule="atLeast"/>
        </w:trPr>
        <w:tc>
          <w:tcPr>
            <w:tcW w:w="687"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p>
        </w:tc>
        <w:tc>
          <w:tcPr>
            <w:tcW w:w="4300" w:type="pct"/>
            <w:gridSpan w:val="26"/>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ind w:right="300" w:firstLine="442" w:firstLineChars="200"/>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是否与前用人单位约定了保密协议与竞业限制条款：</w:t>
            </w:r>
          </w:p>
          <w:p>
            <w:pPr>
              <w:keepNext w:val="0"/>
              <w:keepLines w:val="0"/>
              <w:pageBreakBefore w:val="0"/>
              <w:widowControl w:val="0"/>
              <w:wordWrap/>
              <w:bidi w:val="0"/>
              <w:spacing w:before="227" w:beforeLines="50" w:after="227" w:afterLines="50" w:line="500" w:lineRule="exact"/>
              <w:ind w:right="300" w:firstLine="442" w:firstLineChars="200"/>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sym w:font="Wingdings 2" w:char="00A3"/>
            </w:r>
            <w:r>
              <w:rPr>
                <w:rFonts w:hint="eastAsia" w:ascii="仿宋_GB2312" w:hAnsi="仿宋" w:eastAsia="仿宋_GB2312" w:cs="仿宋"/>
                <w:color w:val="000000"/>
                <w:sz w:val="24"/>
                <w:szCs w:val="24"/>
              </w:rPr>
              <w:t xml:space="preserve">是   </w:t>
            </w:r>
            <w:r>
              <w:rPr>
                <w:rFonts w:hint="eastAsia" w:ascii="仿宋_GB2312" w:hAnsi="仿宋" w:eastAsia="仿宋_GB2312" w:cs="仿宋"/>
                <w:color w:val="000000"/>
                <w:sz w:val="24"/>
                <w:szCs w:val="24"/>
              </w:rPr>
              <w:sym w:font="Wingdings 2" w:char="00A3"/>
            </w:r>
            <w:r>
              <w:rPr>
                <w:rFonts w:hint="eastAsia" w:ascii="仿宋_GB2312" w:hAnsi="仿宋" w:eastAsia="仿宋_GB2312" w:cs="仿宋"/>
                <w:color w:val="000000"/>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trHeight w:val="0" w:hRule="atLeast"/>
        </w:trPr>
        <w:tc>
          <w:tcPr>
            <w:tcW w:w="687"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p>
        </w:tc>
        <w:tc>
          <w:tcPr>
            <w:tcW w:w="4300" w:type="pct"/>
            <w:gridSpan w:val="26"/>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ind w:right="300"/>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是否与前用人单位有未尽的法律事宜：</w:t>
            </w:r>
            <w:r>
              <w:rPr>
                <w:rFonts w:hint="eastAsia" w:ascii="仿宋_GB2312" w:hAnsi="仿宋" w:eastAsia="仿宋_GB2312" w:cs="仿宋"/>
                <w:color w:val="000000"/>
                <w:sz w:val="24"/>
                <w:szCs w:val="24"/>
              </w:rPr>
              <w:sym w:font="Wingdings 2" w:char="00A3"/>
            </w:r>
            <w:r>
              <w:rPr>
                <w:rFonts w:hint="eastAsia" w:ascii="仿宋_GB2312" w:hAnsi="仿宋" w:eastAsia="仿宋_GB2312" w:cs="仿宋"/>
                <w:color w:val="000000"/>
                <w:sz w:val="24"/>
                <w:szCs w:val="24"/>
              </w:rPr>
              <w:t xml:space="preserve">是   </w:t>
            </w:r>
            <w:r>
              <w:rPr>
                <w:rFonts w:hint="eastAsia" w:ascii="仿宋_GB2312" w:hAnsi="仿宋" w:eastAsia="仿宋_GB2312" w:cs="仿宋"/>
                <w:color w:val="000000"/>
                <w:sz w:val="24"/>
                <w:szCs w:val="24"/>
              </w:rPr>
              <w:sym w:font="Wingdings 2" w:char="00A3"/>
            </w:r>
            <w:r>
              <w:rPr>
                <w:rFonts w:hint="eastAsia" w:ascii="仿宋_GB2312" w:hAnsi="仿宋" w:eastAsia="仿宋_GB2312" w:cs="仿宋"/>
                <w:color w:val="000000"/>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trHeight w:val="0" w:hRule="atLeast"/>
        </w:trPr>
        <w:tc>
          <w:tcPr>
            <w:tcW w:w="2642" w:type="pct"/>
            <w:gridSpan w:val="1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ind w:firstLine="442" w:firstLineChars="200"/>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是否正在参加相关专业知识学习：</w:t>
            </w:r>
          </w:p>
          <w:p>
            <w:pPr>
              <w:keepNext w:val="0"/>
              <w:keepLines w:val="0"/>
              <w:pageBreakBefore w:val="0"/>
              <w:widowControl w:val="0"/>
              <w:wordWrap/>
              <w:bidi w:val="0"/>
              <w:spacing w:before="227" w:beforeLines="50" w:after="227" w:afterLines="50" w:line="500" w:lineRule="exact"/>
              <w:ind w:firstLine="442" w:firstLineChars="200"/>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sym w:font="Wingdings 2" w:char="00A3"/>
            </w:r>
            <w:r>
              <w:rPr>
                <w:rFonts w:hint="eastAsia" w:ascii="仿宋_GB2312" w:hAnsi="仿宋" w:eastAsia="仿宋_GB2312" w:cs="仿宋"/>
                <w:color w:val="000000"/>
                <w:sz w:val="24"/>
                <w:szCs w:val="24"/>
              </w:rPr>
              <w:t xml:space="preserve">是   </w:t>
            </w:r>
            <w:r>
              <w:rPr>
                <w:rFonts w:hint="eastAsia" w:ascii="仿宋_GB2312" w:hAnsi="仿宋" w:eastAsia="仿宋_GB2312" w:cs="仿宋"/>
                <w:color w:val="000000"/>
                <w:sz w:val="24"/>
                <w:szCs w:val="24"/>
              </w:rPr>
              <w:sym w:font="Wingdings 2" w:char="00A3"/>
            </w:r>
            <w:r>
              <w:rPr>
                <w:rFonts w:hint="eastAsia" w:ascii="仿宋_GB2312" w:hAnsi="仿宋" w:eastAsia="仿宋_GB2312" w:cs="仿宋"/>
                <w:color w:val="000000"/>
                <w:sz w:val="24"/>
                <w:szCs w:val="24"/>
              </w:rPr>
              <w:t>否</w:t>
            </w:r>
          </w:p>
        </w:tc>
        <w:tc>
          <w:tcPr>
            <w:tcW w:w="2345" w:type="pct"/>
            <w:gridSpan w:val="1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ind w:right="300"/>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是否曾经或正在追究与承担过刑事责任：</w:t>
            </w:r>
            <w:r>
              <w:rPr>
                <w:rFonts w:hint="eastAsia" w:ascii="仿宋_GB2312" w:hAnsi="仿宋" w:eastAsia="仿宋_GB2312" w:cs="仿宋"/>
                <w:color w:val="000000"/>
                <w:sz w:val="24"/>
                <w:szCs w:val="24"/>
              </w:rPr>
              <w:sym w:font="Wingdings 2" w:char="0052"/>
            </w:r>
            <w:r>
              <w:rPr>
                <w:rFonts w:hint="eastAsia" w:ascii="仿宋_GB2312" w:hAnsi="仿宋" w:eastAsia="仿宋_GB2312" w:cs="仿宋"/>
                <w:color w:val="000000"/>
                <w:sz w:val="24"/>
                <w:szCs w:val="24"/>
              </w:rPr>
              <w:t xml:space="preserve">是   </w:t>
            </w:r>
            <w:r>
              <w:rPr>
                <w:rFonts w:hint="eastAsia" w:ascii="仿宋_GB2312" w:hAnsi="仿宋" w:eastAsia="仿宋_GB2312" w:cs="仿宋"/>
                <w:color w:val="000000"/>
                <w:sz w:val="24"/>
                <w:szCs w:val="24"/>
              </w:rPr>
              <w:sym w:font="Wingdings 2" w:char="00A3"/>
            </w:r>
            <w:r>
              <w:rPr>
                <w:rFonts w:hint="eastAsia" w:ascii="仿宋_GB2312" w:hAnsi="仿宋" w:eastAsia="仿宋_GB2312" w:cs="仿宋"/>
                <w:color w:val="000000"/>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trHeight w:val="0" w:hRule="atLeast"/>
        </w:trPr>
        <w:tc>
          <w:tcPr>
            <w:tcW w:w="68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应聘信</w:t>
            </w:r>
          </w:p>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息来源</w:t>
            </w:r>
          </w:p>
        </w:tc>
        <w:tc>
          <w:tcPr>
            <w:tcW w:w="1954" w:type="pct"/>
            <w:gridSpan w:val="1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ind w:right="300" w:firstLine="442" w:firstLineChars="200"/>
              <w:rPr>
                <w:rFonts w:hint="eastAsia" w:ascii="仿宋_GB2312" w:hAnsi="仿宋" w:eastAsia="仿宋_GB2312" w:cs="仿宋"/>
                <w:bCs/>
                <w:iCs/>
                <w:color w:val="000000"/>
                <w:sz w:val="24"/>
                <w:szCs w:val="24"/>
              </w:rPr>
            </w:pPr>
            <w:r>
              <w:rPr>
                <w:rFonts w:hint="eastAsia" w:ascii="仿宋_GB2312" w:hAnsi="仿宋" w:eastAsia="仿宋_GB2312" w:cs="仿宋"/>
                <w:color w:val="000000"/>
                <w:sz w:val="24"/>
                <w:szCs w:val="24"/>
              </w:rPr>
              <w:sym w:font="Wingdings 2" w:char="00A3"/>
            </w:r>
            <w:r>
              <w:rPr>
                <w:rFonts w:hint="eastAsia" w:ascii="仿宋_GB2312" w:hAnsi="仿宋" w:eastAsia="仿宋_GB2312" w:cs="仿宋"/>
                <w:color w:val="000000"/>
                <w:sz w:val="24"/>
                <w:szCs w:val="24"/>
              </w:rPr>
              <w:t>人才</w:t>
            </w:r>
            <w:r>
              <w:rPr>
                <w:rFonts w:hint="eastAsia" w:ascii="仿宋_GB2312" w:hAnsi="仿宋" w:eastAsia="仿宋_GB2312" w:cs="仿宋"/>
                <w:bCs/>
                <w:iCs/>
                <w:color w:val="000000"/>
                <w:sz w:val="24"/>
                <w:szCs w:val="24"/>
              </w:rPr>
              <w:t xml:space="preserve">网络  </w:t>
            </w:r>
          </w:p>
          <w:p>
            <w:pPr>
              <w:keepNext w:val="0"/>
              <w:keepLines w:val="0"/>
              <w:pageBreakBefore w:val="0"/>
              <w:widowControl w:val="0"/>
              <w:wordWrap/>
              <w:bidi w:val="0"/>
              <w:spacing w:before="227" w:beforeLines="50" w:after="227" w:afterLines="50" w:line="500" w:lineRule="exact"/>
              <w:ind w:right="300" w:firstLine="442" w:firstLineChars="200"/>
              <w:rPr>
                <w:rFonts w:hint="eastAsia" w:ascii="仿宋_GB2312" w:hAnsi="仿宋" w:eastAsia="仿宋_GB2312" w:cs="仿宋"/>
                <w:b/>
                <w:i/>
                <w:color w:val="000000"/>
                <w:sz w:val="24"/>
                <w:szCs w:val="24"/>
              </w:rPr>
            </w:pPr>
            <w:r>
              <w:rPr>
                <w:rFonts w:hint="eastAsia" w:ascii="仿宋_GB2312" w:hAnsi="仿宋" w:eastAsia="仿宋_GB2312" w:cs="仿宋"/>
                <w:color w:val="000000"/>
                <w:sz w:val="24"/>
                <w:szCs w:val="24"/>
              </w:rPr>
              <w:sym w:font="Wingdings 2" w:char="00A3"/>
            </w:r>
            <w:r>
              <w:rPr>
                <w:rFonts w:hint="eastAsia" w:ascii="仿宋_GB2312" w:hAnsi="仿宋" w:eastAsia="仿宋_GB2312" w:cs="仿宋"/>
                <w:color w:val="000000"/>
                <w:sz w:val="24"/>
                <w:szCs w:val="24"/>
              </w:rPr>
              <w:t xml:space="preserve">内部介绍   </w:t>
            </w:r>
            <w:r>
              <w:rPr>
                <w:rFonts w:hint="eastAsia" w:ascii="仿宋_GB2312" w:hAnsi="仿宋" w:eastAsia="仿宋_GB2312" w:cs="仿宋"/>
                <w:color w:val="000000"/>
                <w:sz w:val="24"/>
                <w:szCs w:val="24"/>
              </w:rPr>
              <w:sym w:font="Wingdings 2" w:char="00A3"/>
            </w:r>
            <w:r>
              <w:rPr>
                <w:rFonts w:hint="eastAsia" w:ascii="仿宋_GB2312" w:hAnsi="仿宋" w:eastAsia="仿宋_GB2312" w:cs="仿宋"/>
                <w:color w:val="000000"/>
                <w:sz w:val="24"/>
                <w:szCs w:val="24"/>
              </w:rPr>
              <w:t>其他</w:t>
            </w:r>
          </w:p>
        </w:tc>
        <w:tc>
          <w:tcPr>
            <w:tcW w:w="2345" w:type="pct"/>
            <w:gridSpan w:val="1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ind w:right="300"/>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是否服从集团公司岗位调整和再分配：</w:t>
            </w:r>
            <w:r>
              <w:rPr>
                <w:rFonts w:hint="eastAsia" w:ascii="仿宋_GB2312" w:hAnsi="仿宋" w:eastAsia="仿宋_GB2312" w:cs="仿宋"/>
                <w:color w:val="000000"/>
                <w:sz w:val="24"/>
                <w:szCs w:val="24"/>
              </w:rPr>
              <w:sym w:font="Wingdings 2" w:char="00A3"/>
            </w:r>
            <w:r>
              <w:rPr>
                <w:rFonts w:hint="eastAsia" w:ascii="仿宋_GB2312" w:hAnsi="仿宋" w:eastAsia="仿宋_GB2312" w:cs="仿宋"/>
                <w:color w:val="000000"/>
                <w:sz w:val="24"/>
                <w:szCs w:val="24"/>
              </w:rPr>
              <w:t xml:space="preserve">是   </w:t>
            </w:r>
            <w:r>
              <w:rPr>
                <w:rFonts w:hint="eastAsia" w:ascii="仿宋_GB2312" w:hAnsi="仿宋" w:eastAsia="仿宋_GB2312" w:cs="仿宋"/>
                <w:color w:val="000000"/>
                <w:sz w:val="24"/>
                <w:szCs w:val="24"/>
              </w:rPr>
              <w:sym w:font="Wingdings 2" w:char="00A3"/>
            </w:r>
            <w:r>
              <w:rPr>
                <w:rFonts w:hint="eastAsia" w:ascii="仿宋_GB2312" w:hAnsi="仿宋" w:eastAsia="仿宋_GB2312" w:cs="仿宋"/>
                <w:color w:val="000000"/>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trHeight w:val="0" w:hRule="atLeast"/>
        </w:trPr>
        <w:tc>
          <w:tcPr>
            <w:tcW w:w="68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员工确认</w:t>
            </w:r>
          </w:p>
        </w:tc>
        <w:tc>
          <w:tcPr>
            <w:tcW w:w="4300" w:type="pct"/>
            <w:gridSpan w:val="26"/>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numPr>
                <w:ilvl w:val="0"/>
                <w:numId w:val="28"/>
              </w:numPr>
              <w:wordWrap/>
              <w:bidi w:val="0"/>
              <w:adjustRightInd/>
              <w:spacing w:before="136" w:beforeLines="30" w:after="136" w:afterLines="30" w:line="500" w:lineRule="exact"/>
              <w:ind w:firstLine="442" w:firstLineChars="200"/>
              <w:jc w:val="both"/>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本人对入职登记表上面登记的全部内容皆已知晓，本人保证所提供以及填写的资料均属实。</w:t>
            </w:r>
          </w:p>
          <w:p>
            <w:pPr>
              <w:keepNext w:val="0"/>
              <w:keepLines w:val="0"/>
              <w:pageBreakBefore w:val="0"/>
              <w:widowControl w:val="0"/>
              <w:numPr>
                <w:ilvl w:val="0"/>
                <w:numId w:val="28"/>
              </w:numPr>
              <w:wordWrap/>
              <w:bidi w:val="0"/>
              <w:adjustRightInd/>
              <w:spacing w:before="136" w:beforeLines="30" w:after="136" w:afterLines="30" w:line="500" w:lineRule="exact"/>
              <w:ind w:firstLine="442" w:firstLineChars="200"/>
              <w:jc w:val="both"/>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本人认真熟读并知晓《员工手则》，理解该规章制度的所有条款，保证严格遵守与执行，如因本人在工作期间的行为违反了该规章制度，本人自愿接受公司作出的任何处理决定。本人确认本人在表格中的陈述及提供的资料属实，并尊重：如有虚报、不实或隐瞒情况的，虽经录用，亦会被立即解雇而不能得到任何补偿或预先通知。</w:t>
            </w:r>
          </w:p>
          <w:p>
            <w:pPr>
              <w:keepNext w:val="0"/>
              <w:keepLines w:val="0"/>
              <w:pageBreakBefore w:val="0"/>
              <w:widowControl w:val="0"/>
              <w:numPr>
                <w:ilvl w:val="0"/>
                <w:numId w:val="28"/>
              </w:numPr>
              <w:wordWrap/>
              <w:bidi w:val="0"/>
              <w:adjustRightInd/>
              <w:spacing w:before="136" w:beforeLines="30" w:after="136" w:afterLines="30" w:line="500" w:lineRule="exact"/>
              <w:ind w:firstLine="442" w:firstLineChars="200"/>
              <w:jc w:val="both"/>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本人授权公司保存、使用本人上述信息，本人认可公司对本人进行背景调查，且允许公司通过背景调查获取本人信息。</w:t>
            </w:r>
          </w:p>
          <w:p>
            <w:pPr>
              <w:keepNext w:val="0"/>
              <w:keepLines w:val="0"/>
              <w:pageBreakBefore w:val="0"/>
              <w:widowControl w:val="0"/>
              <w:wordWrap/>
              <w:bidi w:val="0"/>
              <w:spacing w:before="136" w:beforeLines="30" w:after="136" w:afterLines="30" w:line="500" w:lineRule="exact"/>
              <w:ind w:firstLine="442" w:firstLineChars="200"/>
              <w:rPr>
                <w:rFonts w:hint="eastAsia" w:ascii="仿宋_GB2312" w:hAnsi="仿宋" w:eastAsia="仿宋_GB2312" w:cs="仿宋"/>
                <w:color w:val="000000"/>
                <w:sz w:val="24"/>
                <w:szCs w:val="24"/>
              </w:rPr>
            </w:pPr>
          </w:p>
          <w:p>
            <w:pPr>
              <w:keepNext w:val="0"/>
              <w:keepLines w:val="0"/>
              <w:pageBreakBefore w:val="0"/>
              <w:widowControl w:val="0"/>
              <w:wordWrap/>
              <w:bidi w:val="0"/>
              <w:spacing w:before="136" w:beforeLines="30" w:after="136" w:afterLines="30" w:line="500" w:lineRule="exact"/>
              <w:ind w:firstLine="442" w:firstLineChars="200"/>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 xml:space="preserve">员工签名：             日期：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trHeight w:val="0" w:hRule="atLeast"/>
        </w:trPr>
        <w:tc>
          <w:tcPr>
            <w:tcW w:w="4988" w:type="pct"/>
            <w:gridSpan w:val="28"/>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ind w:right="300" w:firstLine="3094" w:firstLineChars="1400"/>
              <w:jc w:val="both"/>
              <w:rPr>
                <w:rFonts w:hint="eastAsia" w:ascii="仿宋_GB2312" w:hAnsi="仿宋" w:eastAsia="仿宋_GB2312" w:cs="仿宋"/>
                <w:color w:val="000000"/>
                <w:sz w:val="24"/>
                <w:szCs w:val="24"/>
              </w:rPr>
            </w:pPr>
            <w:r>
              <w:rPr>
                <w:rFonts w:hint="eastAsia" w:ascii="仿宋_GB2312" w:hAnsi="仿宋" w:eastAsia="仿宋_GB2312" w:cs="仿宋"/>
                <w:b/>
                <w:bCs/>
                <w:color w:val="000000"/>
                <w:sz w:val="24"/>
                <w:szCs w:val="24"/>
              </w:rPr>
              <w:t>公司填写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trHeight w:val="0" w:hRule="atLeast"/>
        </w:trPr>
        <w:tc>
          <w:tcPr>
            <w:tcW w:w="68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入职部门</w:t>
            </w:r>
          </w:p>
        </w:tc>
        <w:tc>
          <w:tcPr>
            <w:tcW w:w="1121" w:type="pct"/>
            <w:gridSpan w:val="7"/>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ind w:right="300"/>
              <w:jc w:val="center"/>
              <w:rPr>
                <w:rFonts w:hint="eastAsia" w:ascii="仿宋_GB2312" w:hAnsi="仿宋" w:eastAsia="仿宋_GB2312" w:cs="仿宋"/>
                <w:b/>
                <w:i/>
                <w:color w:val="000000"/>
                <w:sz w:val="24"/>
                <w:szCs w:val="24"/>
              </w:rPr>
            </w:pPr>
          </w:p>
        </w:tc>
        <w:tc>
          <w:tcPr>
            <w:tcW w:w="833" w:type="pct"/>
            <w:gridSpan w:val="6"/>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ind w:right="300"/>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入职岗位</w:t>
            </w:r>
          </w:p>
        </w:tc>
        <w:tc>
          <w:tcPr>
            <w:tcW w:w="998" w:type="pct"/>
            <w:gridSpan w:val="6"/>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ind w:right="300"/>
              <w:jc w:val="center"/>
              <w:rPr>
                <w:rFonts w:hint="eastAsia" w:ascii="仿宋_GB2312" w:hAnsi="仿宋" w:eastAsia="仿宋_GB2312" w:cs="仿宋"/>
                <w:b/>
                <w:i/>
                <w:color w:val="000000"/>
                <w:sz w:val="24"/>
                <w:szCs w:val="24"/>
              </w:rPr>
            </w:pPr>
          </w:p>
        </w:tc>
        <w:tc>
          <w:tcPr>
            <w:tcW w:w="561"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入职</w:t>
            </w:r>
          </w:p>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时间</w:t>
            </w:r>
          </w:p>
        </w:tc>
        <w:tc>
          <w:tcPr>
            <w:tcW w:w="78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ind w:right="300"/>
              <w:rPr>
                <w:rFonts w:hint="eastAsia" w:ascii="仿宋_GB2312" w:hAnsi="仿宋" w:eastAsia="仿宋_GB2312"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trHeight w:val="0" w:hRule="atLeast"/>
        </w:trPr>
        <w:tc>
          <w:tcPr>
            <w:tcW w:w="68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试用期限</w:t>
            </w:r>
          </w:p>
        </w:tc>
        <w:tc>
          <w:tcPr>
            <w:tcW w:w="1121" w:type="pct"/>
            <w:gridSpan w:val="7"/>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p>
        </w:tc>
        <w:tc>
          <w:tcPr>
            <w:tcW w:w="833" w:type="pct"/>
            <w:gridSpan w:val="6"/>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试用工资</w:t>
            </w:r>
          </w:p>
        </w:tc>
        <w:tc>
          <w:tcPr>
            <w:tcW w:w="998" w:type="pct"/>
            <w:gridSpan w:val="6"/>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p>
        </w:tc>
        <w:tc>
          <w:tcPr>
            <w:tcW w:w="561"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转正</w:t>
            </w:r>
          </w:p>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工资</w:t>
            </w:r>
          </w:p>
        </w:tc>
        <w:tc>
          <w:tcPr>
            <w:tcW w:w="78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trHeight w:val="0" w:hRule="atLeast"/>
        </w:trPr>
        <w:tc>
          <w:tcPr>
            <w:tcW w:w="68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相关证</w:t>
            </w:r>
          </w:p>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件材料</w:t>
            </w:r>
          </w:p>
        </w:tc>
        <w:tc>
          <w:tcPr>
            <w:tcW w:w="4300" w:type="pct"/>
            <w:gridSpan w:val="26"/>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before="136" w:beforeLines="30" w:after="136" w:afterLines="3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入职表附件情况登记：</w:t>
            </w:r>
          </w:p>
          <w:p>
            <w:pPr>
              <w:keepNext w:val="0"/>
              <w:keepLines w:val="0"/>
              <w:pageBreakBefore w:val="0"/>
              <w:widowControl w:val="0"/>
              <w:numPr>
                <w:ilvl w:val="0"/>
                <w:numId w:val="29"/>
              </w:numPr>
              <w:wordWrap/>
              <w:bidi w:val="0"/>
              <w:adjustRightInd/>
              <w:spacing w:before="136" w:beforeLines="30" w:after="136" w:afterLines="30" w:line="500" w:lineRule="exact"/>
              <w:ind w:left="0" w:firstLine="0"/>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身份证复印件         （     ）份，</w:t>
            </w:r>
          </w:p>
          <w:p>
            <w:pPr>
              <w:keepNext w:val="0"/>
              <w:keepLines w:val="0"/>
              <w:pageBreakBefore w:val="0"/>
              <w:widowControl w:val="0"/>
              <w:wordWrap/>
              <w:bidi w:val="0"/>
              <w:adjustRightInd/>
              <w:spacing w:before="136" w:beforeLines="30" w:after="136" w:afterLines="3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是否核对原件  □是   □否</w:t>
            </w:r>
          </w:p>
          <w:p>
            <w:pPr>
              <w:keepNext w:val="0"/>
              <w:keepLines w:val="0"/>
              <w:pageBreakBefore w:val="0"/>
              <w:widowControl w:val="0"/>
              <w:numPr>
                <w:ilvl w:val="0"/>
                <w:numId w:val="29"/>
              </w:numPr>
              <w:wordWrap/>
              <w:bidi w:val="0"/>
              <w:adjustRightInd/>
              <w:spacing w:before="136" w:beforeLines="30" w:after="136" w:afterLines="30" w:line="500" w:lineRule="exact"/>
              <w:ind w:left="0" w:firstLine="0"/>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学历证书复印件       （     ）份，</w:t>
            </w:r>
          </w:p>
          <w:p>
            <w:pPr>
              <w:keepNext w:val="0"/>
              <w:keepLines w:val="0"/>
              <w:pageBreakBefore w:val="0"/>
              <w:widowControl w:val="0"/>
              <w:wordWrap/>
              <w:bidi w:val="0"/>
              <w:adjustRightInd/>
              <w:spacing w:before="136" w:beforeLines="30" w:after="136" w:afterLines="3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是否核对原件  □是   □否</w:t>
            </w:r>
          </w:p>
          <w:p>
            <w:pPr>
              <w:keepNext w:val="0"/>
              <w:keepLines w:val="0"/>
              <w:pageBreakBefore w:val="0"/>
              <w:widowControl w:val="0"/>
              <w:numPr>
                <w:ilvl w:val="0"/>
                <w:numId w:val="29"/>
              </w:numPr>
              <w:wordWrap/>
              <w:bidi w:val="0"/>
              <w:adjustRightInd/>
              <w:spacing w:before="136" w:beforeLines="30" w:after="136" w:afterLines="30" w:line="500" w:lineRule="exact"/>
              <w:ind w:left="0" w:firstLine="0"/>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银行卡复印件         （     ）份</w:t>
            </w:r>
          </w:p>
          <w:p>
            <w:pPr>
              <w:keepNext w:val="0"/>
              <w:keepLines w:val="0"/>
              <w:pageBreakBefore w:val="0"/>
              <w:widowControl w:val="0"/>
              <w:numPr>
                <w:ilvl w:val="0"/>
                <w:numId w:val="29"/>
              </w:numPr>
              <w:wordWrap/>
              <w:bidi w:val="0"/>
              <w:adjustRightInd/>
              <w:spacing w:before="136" w:beforeLines="30" w:after="136" w:afterLines="30" w:line="500" w:lineRule="exact"/>
              <w:ind w:left="0" w:firstLine="0"/>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各种资格证书复印件   （     ）份，</w:t>
            </w:r>
          </w:p>
          <w:p>
            <w:pPr>
              <w:keepNext w:val="0"/>
              <w:keepLines w:val="0"/>
              <w:pageBreakBefore w:val="0"/>
              <w:widowControl w:val="0"/>
              <w:wordWrap/>
              <w:bidi w:val="0"/>
              <w:adjustRightInd/>
              <w:spacing w:before="136" w:beforeLines="30" w:after="136" w:afterLines="3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是否核对原件  □是   □否</w:t>
            </w:r>
          </w:p>
          <w:p>
            <w:pPr>
              <w:keepNext w:val="0"/>
              <w:keepLines w:val="0"/>
              <w:pageBreakBefore w:val="0"/>
              <w:widowControl w:val="0"/>
              <w:numPr>
                <w:ilvl w:val="0"/>
                <w:numId w:val="29"/>
              </w:numPr>
              <w:wordWrap/>
              <w:bidi w:val="0"/>
              <w:adjustRightInd/>
              <w:spacing w:before="136" w:beforeLines="30" w:after="136" w:afterLines="30" w:line="500" w:lineRule="exact"/>
              <w:ind w:left="0" w:firstLine="0"/>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一寸照片             （     ）份</w:t>
            </w:r>
          </w:p>
          <w:p>
            <w:pPr>
              <w:keepNext w:val="0"/>
              <w:keepLines w:val="0"/>
              <w:pageBreakBefore w:val="0"/>
              <w:widowControl w:val="0"/>
              <w:numPr>
                <w:ilvl w:val="0"/>
                <w:numId w:val="29"/>
              </w:numPr>
              <w:wordWrap/>
              <w:bidi w:val="0"/>
              <w:adjustRightInd/>
              <w:spacing w:before="136" w:beforeLines="30" w:after="136" w:afterLines="30" w:line="500" w:lineRule="exact"/>
              <w:ind w:left="0" w:firstLine="0"/>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其他资料：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trHeight w:val="0" w:hRule="atLeast"/>
        </w:trPr>
        <w:tc>
          <w:tcPr>
            <w:tcW w:w="68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其他补充</w:t>
            </w:r>
          </w:p>
        </w:tc>
        <w:tc>
          <w:tcPr>
            <w:tcW w:w="4300" w:type="pct"/>
            <w:gridSpan w:val="26"/>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双方特殊约定：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trHeight w:val="0" w:hRule="atLeast"/>
        </w:trPr>
        <w:tc>
          <w:tcPr>
            <w:tcW w:w="687" w:type="pct"/>
            <w:gridSpan w:val="2"/>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审核栏</w:t>
            </w:r>
          </w:p>
        </w:tc>
        <w:tc>
          <w:tcPr>
            <w:tcW w:w="2375" w:type="pct"/>
            <w:gridSpan w:val="16"/>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部门负责人</w:t>
            </w:r>
          </w:p>
        </w:tc>
        <w:tc>
          <w:tcPr>
            <w:tcW w:w="1924" w:type="pct"/>
            <w:gridSpan w:val="10"/>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行政人事部意见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pct"/>
          <w:trHeight w:val="0" w:hRule="atLeast"/>
        </w:trPr>
        <w:tc>
          <w:tcPr>
            <w:tcW w:w="687" w:type="pct"/>
            <w:gridSpan w:val="2"/>
            <w:vMerge w:val="continue"/>
            <w:tcBorders>
              <w:top w:val="single" w:color="auto" w:sz="4" w:space="0"/>
              <w:left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p>
        </w:tc>
        <w:tc>
          <w:tcPr>
            <w:tcW w:w="2375" w:type="pct"/>
            <w:gridSpan w:val="16"/>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p>
        </w:tc>
        <w:tc>
          <w:tcPr>
            <w:tcW w:w="1924" w:type="pct"/>
            <w:gridSpan w:val="10"/>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p>
        </w:tc>
      </w:tr>
    </w:tbl>
    <w:p>
      <w:pPr>
        <w:pStyle w:val="3"/>
        <w:keepNext w:val="0"/>
        <w:keepLines w:val="0"/>
        <w:pageBreakBefore w:val="0"/>
        <w:widowControl w:val="0"/>
        <w:wordWrap/>
        <w:bidi w:val="0"/>
        <w:spacing w:before="0" w:after="0" w:line="500" w:lineRule="exact"/>
        <w:jc w:val="center"/>
        <w:rPr>
          <w:rFonts w:hint="eastAsia" w:ascii="方正小标宋简体" w:hAnsi="方正小标宋简体" w:eastAsia="方正小标宋简体" w:cs="方正小标宋简体"/>
          <w:color w:val="000000"/>
          <w:sz w:val="40"/>
          <w:szCs w:val="40"/>
        </w:rPr>
      </w:pPr>
      <w:r>
        <w:rPr>
          <w:rFonts w:hint="eastAsia" w:ascii="仿宋_GB2312" w:hAnsi="华文仿宋" w:eastAsia="仿宋_GB2312"/>
          <w:color w:val="000000"/>
          <w:sz w:val="28"/>
          <w:szCs w:val="28"/>
        </w:rPr>
        <w:br w:type="page"/>
      </w:r>
      <w:bookmarkStart w:id="96" w:name="_Toc75811724"/>
      <w:r>
        <w:rPr>
          <w:rFonts w:hint="eastAsia" w:ascii="方正小标宋简体" w:hAnsi="方正小标宋简体" w:eastAsia="方正小标宋简体" w:cs="方正小标宋简体"/>
          <w:b w:val="0"/>
          <w:bCs w:val="0"/>
          <w:color w:val="000000"/>
          <w:sz w:val="40"/>
          <w:szCs w:val="40"/>
        </w:rPr>
        <w:t>劳 动 合 同 书</w:t>
      </w:r>
      <w:bookmarkEnd w:id="96"/>
    </w:p>
    <w:p>
      <w:pPr>
        <w:keepNext w:val="0"/>
        <w:keepLines w:val="0"/>
        <w:pageBreakBefore w:val="0"/>
        <w:widowControl w:val="0"/>
        <w:wordWrap/>
        <w:autoSpaceDN w:val="0"/>
        <w:bidi w:val="0"/>
        <w:spacing w:before="227" w:beforeLines="50" w:after="227" w:afterLines="50" w:line="500" w:lineRule="exact"/>
        <w:ind w:firstLine="522" w:firstLineChars="200"/>
        <w:jc w:val="center"/>
        <w:outlineLvl w:val="0"/>
        <w:rPr>
          <w:rFonts w:ascii="仿宋_GB2312" w:hAnsi="仿宋_GB2312" w:eastAsia="仿宋_GB2312"/>
          <w:b/>
          <w:bCs/>
          <w:color w:val="000000"/>
          <w:sz w:val="28"/>
          <w:szCs w:val="28"/>
        </w:rPr>
      </w:pPr>
      <w:r>
        <w:rPr>
          <w:rFonts w:hint="eastAsia" w:ascii="仿宋_GB2312" w:hAnsi="仿宋_GB2312" w:eastAsia="仿宋_GB2312"/>
          <w:b/>
          <w:bCs/>
          <w:color w:val="000000"/>
          <w:sz w:val="28"/>
          <w:szCs w:val="28"/>
        </w:rPr>
        <w:t xml:space="preserve">                        </w:t>
      </w:r>
      <w:r>
        <w:rPr>
          <w:rFonts w:hint="eastAsia" w:ascii="楷体" w:hAnsi="楷体" w:eastAsia="楷体" w:cs="楷体"/>
          <w:b/>
          <w:bCs/>
          <w:color w:val="000000"/>
          <w:sz w:val="28"/>
          <w:szCs w:val="28"/>
        </w:rPr>
        <w:t xml:space="preserve">  </w:t>
      </w:r>
      <w:bookmarkStart w:id="97" w:name="_Toc28375"/>
      <w:r>
        <w:rPr>
          <w:rFonts w:hint="eastAsia" w:ascii="楷体" w:hAnsi="楷体" w:eastAsia="楷体" w:cs="楷体"/>
          <w:b/>
          <w:bCs/>
          <w:color w:val="000000"/>
          <w:sz w:val="28"/>
          <w:szCs w:val="28"/>
        </w:rPr>
        <w:t>合同编号：</w:t>
      </w:r>
      <w:bookmarkEnd w:id="97"/>
      <w:r>
        <w:rPr>
          <w:rFonts w:hint="eastAsia" w:ascii="楷体" w:hAnsi="楷体" w:eastAsia="楷体" w:cs="楷体"/>
          <w:b/>
          <w:bCs/>
          <w:color w:val="000000"/>
          <w:sz w:val="28"/>
          <w:szCs w:val="28"/>
          <w:u w:val="single"/>
        </w:rPr>
        <w:t xml:space="preserve"> </w:t>
      </w:r>
      <w:r>
        <w:rPr>
          <w:rFonts w:hint="eastAsia" w:ascii="仿宋_GB2312" w:hAnsi="仿宋_GB2312" w:eastAsia="仿宋_GB2312"/>
          <w:b/>
          <w:bCs/>
          <w:color w:val="000000"/>
          <w:sz w:val="28"/>
          <w:szCs w:val="28"/>
          <w:u w:val="single"/>
        </w:rPr>
        <w:t xml:space="preserve">            </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b/>
          <w:bCs/>
          <w:color w:val="000000"/>
          <w:spacing w:val="100"/>
          <w:sz w:val="28"/>
          <w:szCs w:val="28"/>
          <w:u w:val="single"/>
        </w:rPr>
      </w:pPr>
      <w:r>
        <w:rPr>
          <w:rFonts w:hint="eastAsia" w:ascii="仿宋_GB2312" w:hAnsi="仿宋" w:eastAsia="仿宋_GB2312" w:cs="仿宋"/>
          <w:b/>
          <w:bCs/>
          <w:color w:val="000000"/>
          <w:sz w:val="28"/>
          <w:szCs w:val="28"/>
        </w:rPr>
        <w:t>用人单位（甲方）</w:t>
      </w:r>
      <w:r>
        <w:rPr>
          <w:rFonts w:hint="eastAsia" w:ascii="仿宋_GB2312" w:hAnsi="仿宋" w:eastAsia="仿宋_GB2312" w:cs="仿宋"/>
          <w:color w:val="000000"/>
          <w:sz w:val="28"/>
          <w:szCs w:val="28"/>
        </w:rPr>
        <w:t xml:space="preserve">： </w:t>
      </w:r>
      <w:r>
        <w:rPr>
          <w:rFonts w:hint="eastAsia" w:ascii="仿宋_GB2312" w:hAnsi="仿宋" w:eastAsia="仿宋_GB2312" w:cs="仿宋"/>
          <w:color w:val="000000"/>
          <w:sz w:val="28"/>
          <w:szCs w:val="28"/>
          <w:u w:val="single"/>
        </w:rPr>
        <w:t xml:space="preserve">                                     </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地    址： </w:t>
      </w:r>
      <w:r>
        <w:rPr>
          <w:rFonts w:hint="eastAsia" w:ascii="仿宋_GB2312" w:hAnsi="仿宋" w:eastAsia="仿宋_GB2312" w:cs="仿宋"/>
          <w:color w:val="000000"/>
          <w:sz w:val="28"/>
          <w:szCs w:val="28"/>
          <w:u w:val="single"/>
        </w:rPr>
        <w:t xml:space="preserve">                                            </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法人代表： </w:t>
      </w:r>
      <w:r>
        <w:rPr>
          <w:rFonts w:hint="eastAsia" w:ascii="仿宋_GB2312" w:hAnsi="仿宋" w:eastAsia="仿宋_GB2312" w:cs="仿宋"/>
          <w:color w:val="000000"/>
          <w:sz w:val="28"/>
          <w:szCs w:val="28"/>
          <w:u w:val="single"/>
        </w:rPr>
        <w:t xml:space="preserve">                                            </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b/>
          <w:bCs/>
          <w:color w:val="000000"/>
          <w:sz w:val="28"/>
          <w:szCs w:val="28"/>
        </w:rPr>
      </w:pPr>
      <w:r>
        <w:rPr>
          <w:rFonts w:hint="eastAsia" w:ascii="仿宋_GB2312" w:hAnsi="仿宋" w:eastAsia="仿宋_GB2312" w:cs="仿宋"/>
          <w:b/>
          <w:bCs/>
          <w:color w:val="000000"/>
          <w:sz w:val="28"/>
          <w:szCs w:val="28"/>
        </w:rPr>
        <w:t>员工（乙方）：</w:t>
      </w:r>
      <w:r>
        <w:rPr>
          <w:rFonts w:hint="eastAsia" w:ascii="仿宋_GB2312" w:hAnsi="仿宋" w:eastAsia="仿宋_GB2312" w:cs="仿宋"/>
          <w:color w:val="000000"/>
          <w:sz w:val="28"/>
          <w:szCs w:val="28"/>
          <w:u w:val="single"/>
        </w:rPr>
        <w:t xml:space="preserve">                                          </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u w:val="dotted"/>
        </w:rPr>
      </w:pPr>
      <w:r>
        <w:rPr>
          <w:rFonts w:hint="eastAsia" w:ascii="仿宋_GB2312" w:hAnsi="仿宋" w:eastAsia="仿宋_GB2312" w:cs="仿宋"/>
          <w:color w:val="000000"/>
          <w:sz w:val="28"/>
          <w:szCs w:val="28"/>
        </w:rPr>
        <w:t>身份证号码：</w:t>
      </w:r>
      <w:r>
        <w:rPr>
          <w:rFonts w:hint="eastAsia" w:ascii="仿宋_GB2312" w:hAnsi="仿宋" w:eastAsia="仿宋_GB2312" w:cs="仿宋"/>
          <w:color w:val="000000"/>
          <w:sz w:val="28"/>
          <w:szCs w:val="28"/>
          <w:u w:val="single"/>
        </w:rPr>
        <w:t xml:space="preserve">                 </w:t>
      </w:r>
      <w:r>
        <w:rPr>
          <w:rFonts w:hint="eastAsia" w:ascii="仿宋_GB2312" w:hAnsi="仿宋" w:eastAsia="仿宋_GB2312" w:cs="仿宋"/>
          <w:color w:val="000000"/>
          <w:sz w:val="28"/>
          <w:szCs w:val="28"/>
        </w:rPr>
        <w:t>电子邮箱：</w:t>
      </w:r>
      <w:r>
        <w:rPr>
          <w:rFonts w:hint="eastAsia" w:ascii="仿宋_GB2312" w:hAnsi="仿宋" w:eastAsia="仿宋_GB2312" w:cs="仿宋"/>
          <w:color w:val="000000"/>
          <w:sz w:val="28"/>
          <w:szCs w:val="28"/>
          <w:u w:val="single"/>
        </w:rPr>
        <w:t xml:space="preserve">                </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u w:val="dotted"/>
        </w:rPr>
      </w:pPr>
      <w:r>
        <w:rPr>
          <w:rFonts w:hint="eastAsia" w:ascii="仿宋_GB2312" w:hAnsi="仿宋" w:eastAsia="仿宋_GB2312" w:cs="仿宋"/>
          <w:color w:val="000000"/>
          <w:sz w:val="28"/>
          <w:szCs w:val="28"/>
        </w:rPr>
        <w:t>联系地址：</w:t>
      </w:r>
      <w:r>
        <w:rPr>
          <w:rFonts w:hint="eastAsia" w:ascii="仿宋_GB2312" w:hAnsi="仿宋" w:eastAsia="仿宋_GB2312" w:cs="仿宋"/>
          <w:color w:val="000000"/>
          <w:sz w:val="28"/>
          <w:szCs w:val="28"/>
          <w:u w:val="single"/>
        </w:rPr>
        <w:t xml:space="preserve">                                             </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u w:val="single"/>
        </w:rPr>
      </w:pPr>
      <w:r>
        <w:rPr>
          <w:rFonts w:hint="eastAsia" w:ascii="仿宋_GB2312" w:hAnsi="仿宋" w:eastAsia="仿宋_GB2312" w:cs="仿宋"/>
          <w:color w:val="000000"/>
          <w:sz w:val="28"/>
          <w:szCs w:val="28"/>
        </w:rPr>
        <w:t>联系电话：</w:t>
      </w:r>
      <w:r>
        <w:rPr>
          <w:rFonts w:hint="eastAsia" w:ascii="仿宋_GB2312" w:hAnsi="仿宋" w:eastAsia="仿宋_GB2312" w:cs="仿宋"/>
          <w:color w:val="000000"/>
          <w:sz w:val="28"/>
          <w:szCs w:val="28"/>
          <w:u w:val="single"/>
        </w:rPr>
        <w:t xml:space="preserve">               </w:t>
      </w:r>
      <w:r>
        <w:rPr>
          <w:rFonts w:hint="eastAsia" w:ascii="仿宋_GB2312" w:hAnsi="仿宋" w:eastAsia="仿宋_GB2312" w:cs="仿宋"/>
          <w:color w:val="000000"/>
          <w:sz w:val="28"/>
          <w:szCs w:val="28"/>
        </w:rPr>
        <w:t>紧急联系人电话：</w:t>
      </w:r>
      <w:r>
        <w:rPr>
          <w:rFonts w:hint="eastAsia" w:ascii="仿宋_GB2312" w:hAnsi="仿宋" w:eastAsia="仿宋_GB2312" w:cs="仿宋"/>
          <w:color w:val="000000"/>
          <w:sz w:val="28"/>
          <w:szCs w:val="28"/>
          <w:u w:val="single"/>
        </w:rPr>
        <w:t xml:space="preserve">              </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bCs/>
          <w:color w:val="000000"/>
          <w:sz w:val="28"/>
          <w:szCs w:val="28"/>
        </w:rPr>
      </w:pPr>
      <w:r>
        <w:rPr>
          <w:rFonts w:hint="eastAsia" w:ascii="仿宋_GB2312" w:hAnsi="仿宋" w:eastAsia="仿宋_GB2312" w:cs="仿宋"/>
          <w:bCs/>
          <w:color w:val="000000"/>
          <w:sz w:val="28"/>
          <w:szCs w:val="28"/>
        </w:rPr>
        <w:t xml:space="preserve">    </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bCs/>
          <w:color w:val="000000"/>
          <w:sz w:val="28"/>
          <w:szCs w:val="28"/>
        </w:rPr>
      </w:pPr>
      <w:r>
        <w:rPr>
          <w:rFonts w:hint="eastAsia" w:ascii="仿宋_GB2312" w:hAnsi="仿宋" w:eastAsia="仿宋_GB2312" w:cs="仿宋"/>
          <w:bCs/>
          <w:color w:val="000000"/>
          <w:sz w:val="28"/>
          <w:szCs w:val="28"/>
        </w:rPr>
        <w:t>甲乙双方根据《中华人民共和国劳动法》和《中华人民共和国劳动合同法》等法律、法规、规章的规定，经协商一致，自愿订立本劳动合同。</w:t>
      </w:r>
    </w:p>
    <w:p>
      <w:pPr>
        <w:keepNext w:val="0"/>
        <w:keepLines w:val="0"/>
        <w:pageBreakBefore w:val="0"/>
        <w:widowControl w:val="0"/>
        <w:wordWrap/>
        <w:bidi w:val="0"/>
        <w:spacing w:after="0" w:line="500" w:lineRule="exact"/>
        <w:ind w:firstLine="522" w:firstLineChars="200"/>
        <w:jc w:val="both"/>
        <w:outlineLvl w:val="0"/>
        <w:rPr>
          <w:rFonts w:hint="eastAsia" w:ascii="黑体" w:hAnsi="黑体" w:eastAsia="黑体" w:cs="黑体"/>
          <w:color w:val="000000"/>
          <w:sz w:val="28"/>
          <w:szCs w:val="28"/>
        </w:rPr>
      </w:pPr>
      <w:bookmarkStart w:id="98" w:name="_Toc12984"/>
      <w:r>
        <w:rPr>
          <w:rFonts w:hint="eastAsia" w:ascii="黑体" w:hAnsi="黑体" w:eastAsia="黑体" w:cs="黑体"/>
          <w:color w:val="000000"/>
          <w:sz w:val="28"/>
          <w:szCs w:val="28"/>
        </w:rPr>
        <w:t>一、合同期限</w:t>
      </w:r>
      <w:bookmarkEnd w:id="98"/>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1.本合同类型为：有固定期限合同。本合同自</w:t>
      </w:r>
      <w:r>
        <w:rPr>
          <w:rFonts w:hint="eastAsia" w:ascii="仿宋_GB2312" w:hAnsi="仿宋" w:eastAsia="仿宋_GB2312" w:cs="仿宋"/>
          <w:color w:val="000000"/>
          <w:sz w:val="28"/>
          <w:szCs w:val="28"/>
          <w:u w:val="single"/>
        </w:rPr>
        <w:t xml:space="preserve">     </w:t>
      </w:r>
      <w:r>
        <w:rPr>
          <w:rFonts w:hint="eastAsia" w:ascii="仿宋_GB2312" w:hAnsi="仿宋" w:eastAsia="仿宋_GB2312" w:cs="仿宋"/>
          <w:color w:val="000000"/>
          <w:sz w:val="28"/>
          <w:szCs w:val="28"/>
        </w:rPr>
        <w:t>年</w:t>
      </w:r>
      <w:r>
        <w:rPr>
          <w:rFonts w:hint="eastAsia" w:ascii="仿宋_GB2312" w:hAnsi="仿宋" w:eastAsia="仿宋_GB2312" w:cs="仿宋"/>
          <w:color w:val="000000"/>
          <w:sz w:val="28"/>
          <w:szCs w:val="28"/>
          <w:u w:val="single"/>
        </w:rPr>
        <w:t xml:space="preserve">    </w:t>
      </w:r>
      <w:r>
        <w:rPr>
          <w:rFonts w:hint="eastAsia" w:ascii="仿宋_GB2312" w:hAnsi="仿宋" w:eastAsia="仿宋_GB2312" w:cs="仿宋"/>
          <w:color w:val="000000"/>
          <w:sz w:val="28"/>
          <w:szCs w:val="28"/>
        </w:rPr>
        <w:t>月</w:t>
      </w:r>
      <w:r>
        <w:rPr>
          <w:rFonts w:hint="eastAsia" w:ascii="仿宋_GB2312" w:hAnsi="仿宋" w:eastAsia="仿宋_GB2312" w:cs="仿宋"/>
          <w:color w:val="000000"/>
          <w:sz w:val="28"/>
          <w:szCs w:val="28"/>
          <w:u w:val="single"/>
        </w:rPr>
        <w:t xml:space="preserve">    </w:t>
      </w:r>
      <w:r>
        <w:rPr>
          <w:rFonts w:hint="eastAsia" w:ascii="仿宋_GB2312" w:hAnsi="仿宋" w:eastAsia="仿宋_GB2312" w:cs="仿宋"/>
          <w:color w:val="000000"/>
          <w:sz w:val="28"/>
          <w:szCs w:val="28"/>
        </w:rPr>
        <w:t>日至</w:t>
      </w:r>
      <w:r>
        <w:rPr>
          <w:rFonts w:hint="eastAsia" w:ascii="仿宋_GB2312" w:hAnsi="仿宋" w:eastAsia="仿宋_GB2312" w:cs="仿宋"/>
          <w:color w:val="000000"/>
          <w:sz w:val="28"/>
          <w:szCs w:val="28"/>
          <w:u w:val="single"/>
        </w:rPr>
        <w:t xml:space="preserve">     </w:t>
      </w:r>
      <w:r>
        <w:rPr>
          <w:rFonts w:hint="eastAsia" w:ascii="仿宋_GB2312" w:hAnsi="仿宋" w:eastAsia="仿宋_GB2312" w:cs="仿宋"/>
          <w:color w:val="000000"/>
          <w:sz w:val="28"/>
          <w:szCs w:val="28"/>
        </w:rPr>
        <w:t>年</w:t>
      </w:r>
      <w:r>
        <w:rPr>
          <w:rFonts w:hint="eastAsia" w:ascii="仿宋_GB2312" w:hAnsi="仿宋" w:eastAsia="仿宋_GB2312" w:cs="仿宋"/>
          <w:color w:val="000000"/>
          <w:sz w:val="28"/>
          <w:szCs w:val="28"/>
          <w:u w:val="single"/>
        </w:rPr>
        <w:t xml:space="preserve">     </w:t>
      </w:r>
      <w:r>
        <w:rPr>
          <w:rFonts w:hint="eastAsia" w:ascii="仿宋_GB2312" w:hAnsi="仿宋" w:eastAsia="仿宋_GB2312" w:cs="仿宋"/>
          <w:color w:val="000000"/>
          <w:sz w:val="28"/>
          <w:szCs w:val="28"/>
        </w:rPr>
        <w:t>月</w:t>
      </w:r>
      <w:r>
        <w:rPr>
          <w:rFonts w:hint="eastAsia" w:ascii="仿宋_GB2312" w:hAnsi="仿宋" w:eastAsia="仿宋_GB2312" w:cs="仿宋"/>
          <w:color w:val="000000"/>
          <w:sz w:val="28"/>
          <w:szCs w:val="28"/>
          <w:u w:val="single"/>
        </w:rPr>
        <w:t xml:space="preserve">    </w:t>
      </w:r>
      <w:r>
        <w:rPr>
          <w:rFonts w:hint="eastAsia" w:ascii="仿宋_GB2312" w:hAnsi="仿宋" w:eastAsia="仿宋_GB2312" w:cs="仿宋"/>
          <w:color w:val="000000"/>
          <w:sz w:val="28"/>
          <w:szCs w:val="28"/>
        </w:rPr>
        <w:t>日止。（</w:t>
      </w:r>
      <w:r>
        <w:rPr>
          <w:rFonts w:hint="eastAsia" w:ascii="仿宋_GB2312" w:hAnsi="仿宋" w:eastAsia="仿宋_GB2312" w:cs="仿宋"/>
          <w:color w:val="000000"/>
          <w:spacing w:val="-6"/>
          <w:sz w:val="28"/>
          <w:szCs w:val="28"/>
        </w:rPr>
        <w:t>其中试用期自</w:t>
      </w:r>
      <w:r>
        <w:rPr>
          <w:rFonts w:hint="eastAsia" w:ascii="仿宋_GB2312" w:hAnsi="仿宋" w:eastAsia="仿宋_GB2312" w:cs="仿宋"/>
          <w:color w:val="000000"/>
          <w:spacing w:val="-6"/>
          <w:sz w:val="28"/>
          <w:szCs w:val="28"/>
          <w:u w:val="single"/>
        </w:rPr>
        <w:t xml:space="preserve">       </w:t>
      </w:r>
      <w:r>
        <w:rPr>
          <w:rFonts w:hint="eastAsia" w:ascii="仿宋_GB2312" w:hAnsi="仿宋" w:eastAsia="仿宋_GB2312" w:cs="仿宋"/>
          <w:color w:val="000000"/>
          <w:spacing w:val="-6"/>
          <w:sz w:val="28"/>
          <w:szCs w:val="28"/>
        </w:rPr>
        <w:t>年</w:t>
      </w:r>
      <w:r>
        <w:rPr>
          <w:rFonts w:hint="eastAsia" w:ascii="仿宋_GB2312" w:hAnsi="仿宋" w:eastAsia="仿宋_GB2312" w:cs="仿宋"/>
          <w:color w:val="000000"/>
          <w:spacing w:val="-6"/>
          <w:sz w:val="28"/>
          <w:szCs w:val="28"/>
          <w:u w:val="single"/>
        </w:rPr>
        <w:t xml:space="preserve">    </w:t>
      </w:r>
      <w:r>
        <w:rPr>
          <w:rFonts w:hint="eastAsia" w:ascii="仿宋_GB2312" w:hAnsi="仿宋" w:eastAsia="仿宋_GB2312" w:cs="仿宋"/>
          <w:color w:val="000000"/>
          <w:spacing w:val="-6"/>
          <w:sz w:val="28"/>
          <w:szCs w:val="28"/>
        </w:rPr>
        <w:t>月</w:t>
      </w:r>
      <w:r>
        <w:rPr>
          <w:rFonts w:hint="eastAsia" w:ascii="仿宋_GB2312" w:hAnsi="仿宋" w:eastAsia="仿宋_GB2312" w:cs="仿宋"/>
          <w:color w:val="000000"/>
          <w:spacing w:val="-6"/>
          <w:sz w:val="28"/>
          <w:szCs w:val="28"/>
          <w:u w:val="single"/>
        </w:rPr>
        <w:t xml:space="preserve">    </w:t>
      </w:r>
      <w:r>
        <w:rPr>
          <w:rFonts w:hint="eastAsia" w:ascii="仿宋_GB2312" w:hAnsi="仿宋" w:eastAsia="仿宋_GB2312" w:cs="仿宋"/>
          <w:color w:val="000000"/>
          <w:spacing w:val="-6"/>
          <w:sz w:val="28"/>
          <w:szCs w:val="28"/>
        </w:rPr>
        <w:t>日至</w:t>
      </w:r>
      <w:r>
        <w:rPr>
          <w:rFonts w:hint="eastAsia" w:ascii="仿宋_GB2312" w:hAnsi="仿宋" w:eastAsia="仿宋_GB2312" w:cs="仿宋"/>
          <w:color w:val="000000"/>
          <w:spacing w:val="-6"/>
          <w:sz w:val="28"/>
          <w:szCs w:val="28"/>
          <w:u w:val="single"/>
        </w:rPr>
        <w:t xml:space="preserve">      </w:t>
      </w:r>
      <w:r>
        <w:rPr>
          <w:rFonts w:hint="eastAsia" w:ascii="仿宋_GB2312" w:hAnsi="仿宋" w:eastAsia="仿宋_GB2312" w:cs="仿宋"/>
          <w:color w:val="000000"/>
          <w:spacing w:val="-6"/>
          <w:sz w:val="28"/>
          <w:szCs w:val="28"/>
        </w:rPr>
        <w:t>年</w:t>
      </w:r>
      <w:r>
        <w:rPr>
          <w:rFonts w:hint="eastAsia" w:ascii="仿宋_GB2312" w:hAnsi="仿宋" w:eastAsia="仿宋_GB2312" w:cs="仿宋"/>
          <w:color w:val="000000"/>
          <w:spacing w:val="-6"/>
          <w:sz w:val="28"/>
          <w:szCs w:val="28"/>
          <w:u w:val="single"/>
        </w:rPr>
        <w:t xml:space="preserve">     </w:t>
      </w:r>
      <w:r>
        <w:rPr>
          <w:rFonts w:hint="eastAsia" w:ascii="仿宋_GB2312" w:hAnsi="仿宋" w:eastAsia="仿宋_GB2312" w:cs="仿宋"/>
          <w:color w:val="000000"/>
          <w:spacing w:val="-6"/>
          <w:sz w:val="28"/>
          <w:szCs w:val="28"/>
        </w:rPr>
        <w:t>月</w:t>
      </w:r>
      <w:r>
        <w:rPr>
          <w:rFonts w:hint="eastAsia" w:ascii="仿宋_GB2312" w:hAnsi="仿宋" w:eastAsia="仿宋_GB2312" w:cs="仿宋"/>
          <w:color w:val="000000"/>
          <w:spacing w:val="-6"/>
          <w:sz w:val="28"/>
          <w:szCs w:val="28"/>
          <w:u w:val="single"/>
        </w:rPr>
        <w:t xml:space="preserve">     </w:t>
      </w:r>
      <w:r>
        <w:rPr>
          <w:rFonts w:hint="eastAsia" w:ascii="仿宋_GB2312" w:hAnsi="仿宋" w:eastAsia="仿宋_GB2312" w:cs="仿宋"/>
          <w:color w:val="000000"/>
          <w:spacing w:val="-6"/>
          <w:sz w:val="28"/>
          <w:szCs w:val="28"/>
        </w:rPr>
        <w:t>日止，期限为</w:t>
      </w:r>
      <w:r>
        <w:rPr>
          <w:rFonts w:hint="eastAsia" w:ascii="仿宋_GB2312" w:hAnsi="仿宋" w:eastAsia="仿宋_GB2312" w:cs="仿宋"/>
          <w:color w:val="000000"/>
          <w:spacing w:val="-6"/>
          <w:sz w:val="28"/>
          <w:szCs w:val="28"/>
          <w:u w:val="single"/>
        </w:rPr>
        <w:t xml:space="preserve">     </w:t>
      </w:r>
      <w:r>
        <w:rPr>
          <w:rFonts w:hint="eastAsia" w:ascii="仿宋_GB2312" w:hAnsi="仿宋" w:eastAsia="仿宋_GB2312" w:cs="仿宋"/>
          <w:color w:val="000000"/>
          <w:spacing w:val="-6"/>
          <w:sz w:val="28"/>
          <w:szCs w:val="28"/>
        </w:rPr>
        <w:t>个月）</w:t>
      </w:r>
      <w:r>
        <w:rPr>
          <w:rFonts w:hint="eastAsia" w:ascii="仿宋_GB2312" w:hAnsi="仿宋" w:eastAsia="仿宋_GB2312" w:cs="仿宋"/>
          <w:color w:val="000000"/>
          <w:sz w:val="28"/>
          <w:szCs w:val="28"/>
        </w:rPr>
        <w:t>。</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2.试用期内，甲方有权对乙方的工作表现和能力进行考核，如经考核乙方被认定为“不符合录用条件”的，甲方有权随时解除本合同。“不符合录用条件”包括但不限于下述情形：</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（1）乙方不能按时、按质、按量完成工作任务，或者未能通过甲方的试用期考核和表现评估，或被认定为不能满足劳动合同约定的岗位要求或岗位说明中规定的岗位职责的；</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乙方违反诚实信用原则对影响劳动合同履行的自身基本情况有隐瞒或虚构的，或在应聘时提供的个人资料是虚假的，包括提供虚假学历证书、虚假职业资格证明、假身份证、假护照、假户籍证明等个人重要证件以及伪造的离职证明、体检证明等；对工作履历、知识、技能、业绩、健康等个人情况说明与事实明显不符或有重大出入的；或个人简历等填写内容不真实的，或没有如实说明与应聘岗位相关的情况的；</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（3）乙方与其他公司存在未尽法律义务，或与其他公司存在法律纠纷尚未处理完毕并且影响工作的；</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（4）在甲方指定的机构所进行的体检结果不符合本行业所规定的卫生标准和体检要求的，或患有精神病或不适合从事劳动合同约定岗位工作的疾病或缺陷的；</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（5）乙方曾受到其他公司书面警告或辞退等严重处分而在应聘时未声明的，曾被行政拘留或者依法追究刑事责任而在应聘时未声明的，或曾有、仍有吸毒等行为而在应聘时未声明的；</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（6）隐瞒与其他公司存在劳动关系或竞业限制约定的；</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（7）乙方在试用期内有任何违法违纪行为或受到公司任何类型的纪律处分的；</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（8）乙方在试用期内存在重大工作失误的；</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（9）乙方未能在甲方规定的期限内提供用于办理法定劳动用工手续的全部材料的；</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（10）其他不符合甲方录用条件的情形的。</w:t>
      </w:r>
    </w:p>
    <w:p>
      <w:pPr>
        <w:keepNext w:val="0"/>
        <w:keepLines w:val="0"/>
        <w:pageBreakBefore w:val="0"/>
        <w:widowControl w:val="0"/>
        <w:wordWrap/>
        <w:bidi w:val="0"/>
        <w:spacing w:after="0" w:line="500" w:lineRule="exact"/>
        <w:ind w:firstLine="522" w:firstLineChars="200"/>
        <w:jc w:val="both"/>
        <w:outlineLvl w:val="0"/>
        <w:rPr>
          <w:rFonts w:hint="eastAsia" w:ascii="黑体" w:hAnsi="黑体" w:eastAsia="黑体" w:cs="黑体"/>
          <w:color w:val="000000"/>
          <w:sz w:val="28"/>
          <w:szCs w:val="28"/>
        </w:rPr>
      </w:pPr>
      <w:bookmarkStart w:id="99" w:name="_Toc32280"/>
      <w:r>
        <w:rPr>
          <w:rFonts w:hint="eastAsia" w:ascii="黑体" w:hAnsi="黑体" w:eastAsia="黑体" w:cs="黑体"/>
          <w:color w:val="000000"/>
          <w:sz w:val="28"/>
          <w:szCs w:val="28"/>
        </w:rPr>
        <w:t>二、工作内容和工作地点</w:t>
      </w:r>
      <w:bookmarkEnd w:id="99"/>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1.乙方在公司</w:t>
      </w:r>
      <w:r>
        <w:rPr>
          <w:rFonts w:hint="eastAsia" w:ascii="仿宋_GB2312" w:hAnsi="仿宋" w:eastAsia="仿宋_GB2312" w:cs="仿宋"/>
          <w:color w:val="000000"/>
          <w:sz w:val="28"/>
          <w:szCs w:val="28"/>
          <w:u w:val="single"/>
        </w:rPr>
        <w:t xml:space="preserve">          </w:t>
      </w:r>
      <w:r>
        <w:rPr>
          <w:rFonts w:hint="eastAsia" w:ascii="仿宋_GB2312" w:hAnsi="仿宋" w:eastAsia="仿宋_GB2312" w:cs="仿宋"/>
          <w:color w:val="000000"/>
          <w:sz w:val="28"/>
          <w:szCs w:val="28"/>
        </w:rPr>
        <w:t>部门任职</w:t>
      </w:r>
      <w:r>
        <w:rPr>
          <w:rFonts w:hint="eastAsia" w:ascii="仿宋_GB2312" w:hAnsi="仿宋" w:eastAsia="仿宋_GB2312" w:cs="仿宋"/>
          <w:color w:val="000000"/>
          <w:sz w:val="28"/>
          <w:szCs w:val="28"/>
          <w:u w:val="single"/>
        </w:rPr>
        <w:t xml:space="preserve">             </w:t>
      </w:r>
      <w:r>
        <w:rPr>
          <w:rFonts w:hint="eastAsia" w:ascii="仿宋_GB2312" w:hAnsi="仿宋" w:eastAsia="仿宋_GB2312" w:cs="仿宋"/>
          <w:color w:val="000000"/>
          <w:sz w:val="28"/>
          <w:szCs w:val="28"/>
        </w:rPr>
        <w:t>岗位。</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2.乙方工作地点为:甲方的注册地或其他经营场所内。鉴于甲方所处行业的特殊性，乙方同意：因工作需要，甲方可委派乙方至客户公司、关联公司等处或者其他业务开展地从事相关工作。</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3.乙方应履行甲方制定的规章制度及所在岗位的关键业绩指标要求和内容，恪守职业道德，按时、按质、按量全面完成各项工作任务。未经甲方书面同意，乙方不得兼职其他公司或岗位。</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4.甲方可以根据业务经营的需要，参照乙方的专业、经验、能力和考核表现，与乙方协商调整乙方的工作岗位、工作内容、工作地点，乙方的薪酬根据情况进行调整。乙方也可根据自身能力和专业，向甲方提出调整工作岗位的申请，但在甲方给予回复意见前不得擅自离岗。</w:t>
      </w:r>
    </w:p>
    <w:p>
      <w:pPr>
        <w:keepNext w:val="0"/>
        <w:keepLines w:val="0"/>
        <w:pageBreakBefore w:val="0"/>
        <w:widowControl w:val="0"/>
        <w:wordWrap/>
        <w:bidi w:val="0"/>
        <w:spacing w:after="0" w:line="500" w:lineRule="exact"/>
        <w:ind w:firstLine="522" w:firstLineChars="200"/>
        <w:jc w:val="both"/>
        <w:outlineLvl w:val="0"/>
        <w:rPr>
          <w:rFonts w:hint="eastAsia" w:ascii="黑体" w:hAnsi="黑体" w:eastAsia="黑体" w:cs="黑体"/>
          <w:color w:val="000000"/>
          <w:sz w:val="28"/>
          <w:szCs w:val="28"/>
        </w:rPr>
      </w:pPr>
      <w:bookmarkStart w:id="100" w:name="_Toc11614"/>
      <w:r>
        <w:rPr>
          <w:rFonts w:hint="eastAsia" w:ascii="黑体" w:hAnsi="黑体" w:eastAsia="黑体" w:cs="黑体"/>
          <w:color w:val="000000"/>
          <w:sz w:val="28"/>
          <w:szCs w:val="28"/>
        </w:rPr>
        <w:t>三、乙方的具体职责</w:t>
      </w:r>
      <w:bookmarkEnd w:id="100"/>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乙方的具体工作职责根据乙方所在部门及岗位确定，甲方可安排乙方从事与岗位有关的相关工作。</w:t>
      </w:r>
    </w:p>
    <w:p>
      <w:pPr>
        <w:keepNext w:val="0"/>
        <w:keepLines w:val="0"/>
        <w:pageBreakBefore w:val="0"/>
        <w:widowControl w:val="0"/>
        <w:wordWrap/>
        <w:bidi w:val="0"/>
        <w:spacing w:after="0" w:line="500" w:lineRule="exact"/>
        <w:ind w:firstLine="522" w:firstLineChars="200"/>
        <w:jc w:val="both"/>
        <w:outlineLvl w:val="0"/>
        <w:rPr>
          <w:rFonts w:hint="eastAsia" w:ascii="黑体" w:hAnsi="黑体" w:eastAsia="黑体" w:cs="黑体"/>
          <w:color w:val="000000"/>
          <w:sz w:val="28"/>
          <w:szCs w:val="28"/>
        </w:rPr>
      </w:pPr>
      <w:bookmarkStart w:id="101" w:name="_Toc10246"/>
      <w:r>
        <w:rPr>
          <w:rFonts w:hint="eastAsia" w:ascii="黑体" w:hAnsi="黑体" w:eastAsia="黑体" w:cs="黑体"/>
          <w:color w:val="000000"/>
          <w:sz w:val="28"/>
          <w:szCs w:val="28"/>
        </w:rPr>
        <w:t>四、工作时间和休息休假</w:t>
      </w:r>
      <w:bookmarkEnd w:id="101"/>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1.本合同实行标准工时制。</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2.乙方享有国家规定的相关节假日。</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3.乙方实行工作责任制，加班按照甲方规章制度执行，实行审批制加班，即未经审批与公司安排不视为加班。如有加班，乙方同意优先调休。</w:t>
      </w:r>
    </w:p>
    <w:p>
      <w:pPr>
        <w:keepNext w:val="0"/>
        <w:keepLines w:val="0"/>
        <w:pageBreakBefore w:val="0"/>
        <w:widowControl w:val="0"/>
        <w:wordWrap/>
        <w:bidi w:val="0"/>
        <w:spacing w:after="0" w:line="500" w:lineRule="exact"/>
        <w:ind w:firstLine="522" w:firstLineChars="200"/>
        <w:jc w:val="both"/>
        <w:outlineLvl w:val="0"/>
        <w:rPr>
          <w:rFonts w:hint="eastAsia" w:ascii="黑体" w:hAnsi="黑体" w:eastAsia="黑体" w:cs="黑体"/>
          <w:color w:val="000000"/>
          <w:sz w:val="28"/>
          <w:szCs w:val="28"/>
        </w:rPr>
      </w:pPr>
      <w:bookmarkStart w:id="102" w:name="_Toc10386"/>
      <w:r>
        <w:rPr>
          <w:rFonts w:hint="eastAsia" w:ascii="黑体" w:hAnsi="黑体" w:eastAsia="黑体" w:cs="黑体"/>
          <w:color w:val="000000"/>
          <w:sz w:val="28"/>
          <w:szCs w:val="28"/>
        </w:rPr>
        <w:t>五、劳动保护和劳动条件</w:t>
      </w:r>
      <w:bookmarkEnd w:id="102"/>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1.乙方享有在符合法定安全和卫生标准的条件和场所工作的权利。</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2.乙方有责任和义务正常使用必要的劳动保护用品，并爱护工具和设备，关爱自己及其他同事的健康和安全。</w:t>
      </w:r>
    </w:p>
    <w:p>
      <w:pPr>
        <w:keepNext w:val="0"/>
        <w:keepLines w:val="0"/>
        <w:pageBreakBefore w:val="0"/>
        <w:widowControl w:val="0"/>
        <w:wordWrap/>
        <w:bidi w:val="0"/>
        <w:spacing w:after="0" w:line="500" w:lineRule="exact"/>
        <w:ind w:firstLine="522" w:firstLineChars="200"/>
        <w:jc w:val="both"/>
        <w:outlineLvl w:val="0"/>
        <w:rPr>
          <w:rFonts w:hint="eastAsia" w:ascii="黑体" w:hAnsi="黑体" w:eastAsia="黑体" w:cs="黑体"/>
          <w:color w:val="000000"/>
          <w:sz w:val="28"/>
          <w:szCs w:val="28"/>
        </w:rPr>
      </w:pPr>
      <w:bookmarkStart w:id="103" w:name="_Toc30615"/>
      <w:r>
        <w:rPr>
          <w:rFonts w:hint="eastAsia" w:ascii="黑体" w:hAnsi="黑体" w:eastAsia="黑体" w:cs="黑体"/>
          <w:color w:val="000000"/>
          <w:sz w:val="28"/>
          <w:szCs w:val="28"/>
        </w:rPr>
        <w:t>六、劳动报酬</w:t>
      </w:r>
      <w:bookmarkEnd w:id="103"/>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1.聘用期间乙方的报酬为基本工资、绩效工资和年度奖金三部分组成：</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（1）基本工资：乙方基本工资为：</w:t>
      </w:r>
      <w:r>
        <w:rPr>
          <w:rFonts w:hint="eastAsia" w:ascii="仿宋_GB2312" w:hAnsi="仿宋" w:eastAsia="仿宋_GB2312" w:cs="仿宋"/>
          <w:color w:val="000000"/>
          <w:sz w:val="28"/>
          <w:szCs w:val="28"/>
          <w:u w:val="single"/>
        </w:rPr>
        <w:t xml:space="preserve">    </w:t>
      </w:r>
      <w:r>
        <w:rPr>
          <w:rFonts w:hint="eastAsia" w:ascii="仿宋_GB2312" w:hAnsi="仿宋" w:eastAsia="仿宋_GB2312" w:cs="仿宋"/>
          <w:color w:val="000000"/>
          <w:sz w:val="28"/>
          <w:szCs w:val="28"/>
        </w:rPr>
        <w:t>元/月（含税），试用期工资为：</w:t>
      </w:r>
      <w:r>
        <w:rPr>
          <w:rFonts w:hint="eastAsia" w:ascii="仿宋_GB2312" w:hAnsi="仿宋" w:eastAsia="仿宋_GB2312" w:cs="仿宋"/>
          <w:color w:val="000000"/>
          <w:sz w:val="28"/>
          <w:szCs w:val="28"/>
          <w:u w:val="single"/>
        </w:rPr>
        <w:t xml:space="preserve">     </w:t>
      </w:r>
      <w:r>
        <w:rPr>
          <w:rFonts w:hint="eastAsia" w:ascii="仿宋_GB2312" w:hAnsi="仿宋" w:eastAsia="仿宋_GB2312" w:cs="仿宋"/>
          <w:color w:val="000000"/>
          <w:sz w:val="28"/>
          <w:szCs w:val="28"/>
        </w:rPr>
        <w:t>元/月（含税）。甲方于每月</w:t>
      </w:r>
      <w:r>
        <w:rPr>
          <w:rFonts w:hint="eastAsia" w:ascii="仿宋_GB2312" w:hAnsi="仿宋" w:eastAsia="仿宋_GB2312" w:cs="仿宋"/>
          <w:color w:val="000000"/>
          <w:sz w:val="28"/>
          <w:szCs w:val="28"/>
          <w:u w:val="single"/>
        </w:rPr>
        <w:t xml:space="preserve"> 10 </w:t>
      </w:r>
      <w:r>
        <w:rPr>
          <w:rFonts w:hint="eastAsia" w:ascii="仿宋_GB2312" w:hAnsi="仿宋" w:eastAsia="仿宋_GB2312" w:cs="仿宋"/>
          <w:color w:val="000000"/>
          <w:sz w:val="28"/>
          <w:szCs w:val="28"/>
        </w:rPr>
        <w:t>日前，以货币形式支付工资，如遇节假日或休息日，甲方可以顺延至工作日支付；若乙方对领取当月全部收入项目有异议的，必须在甲方发放工资后五日内，向甲方书面提出，否则视为甲方全额发放。</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（2）绩效奖金：乙方绩效考核合格有权获得绩效奖金，绩效奖金的计算和领取依照甲方的考核制度执行。</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考核范围包括但不限于：年度经营计划的实现、风险控制率、决策执行率、企业价值观契合程度等指标。</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（3）年度奖金：甲方根据公司当年经营状况自主决定。</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绩效奖金与年度奖金分两次发放：履行本合同期满一年之日起10日内支付70%，剩余30%在期满一年之日起60日内支付，以后每年的绩效奖金与年度奖金发放时间依此类推。年度奖金以年度为单位进行发放，未满一年不享有当年绩效奖金与年度奖金。</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2.乙方知悉并认可，在职期间如有甲方额外发放的保密费等不属于甲方支付给乙方的标准工资范畴。</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3.甲方支付乙方劳动报酬，乙方应尽公民义务，依法缴纳个人所得税，费用由乙方承担，甲方代为缴纳。</w:t>
      </w:r>
    </w:p>
    <w:p>
      <w:pPr>
        <w:keepNext w:val="0"/>
        <w:keepLines w:val="0"/>
        <w:pageBreakBefore w:val="0"/>
        <w:widowControl w:val="0"/>
        <w:wordWrap/>
        <w:bidi w:val="0"/>
        <w:spacing w:after="0" w:line="500" w:lineRule="exact"/>
        <w:ind w:firstLine="522" w:firstLineChars="200"/>
        <w:jc w:val="both"/>
        <w:outlineLvl w:val="0"/>
        <w:rPr>
          <w:rFonts w:hint="eastAsia" w:ascii="黑体" w:hAnsi="黑体" w:eastAsia="黑体" w:cs="黑体"/>
          <w:color w:val="000000"/>
          <w:sz w:val="28"/>
          <w:szCs w:val="28"/>
        </w:rPr>
      </w:pPr>
      <w:bookmarkStart w:id="104" w:name="_Toc29184"/>
      <w:r>
        <w:rPr>
          <w:rFonts w:hint="eastAsia" w:ascii="黑体" w:hAnsi="黑体" w:eastAsia="黑体" w:cs="黑体"/>
          <w:color w:val="000000"/>
          <w:sz w:val="28"/>
          <w:szCs w:val="28"/>
        </w:rPr>
        <w:t>七、保密费（如有）</w:t>
      </w:r>
      <w:bookmarkEnd w:id="104"/>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自本合同订立生效之日起，乙方需依约履行保密义务（具体保密内容见本合同第十二条），甲方向乙方支付保密费：</w:t>
      </w:r>
      <w:r>
        <w:rPr>
          <w:rFonts w:hint="eastAsia" w:ascii="仿宋_GB2312" w:hAnsi="仿宋" w:eastAsia="仿宋_GB2312" w:cs="仿宋"/>
          <w:color w:val="000000"/>
          <w:sz w:val="28"/>
          <w:szCs w:val="28"/>
          <w:u w:val="single"/>
        </w:rPr>
        <w:t xml:space="preserve">     </w:t>
      </w:r>
      <w:r>
        <w:rPr>
          <w:rFonts w:hint="eastAsia" w:ascii="仿宋_GB2312" w:hAnsi="仿宋" w:eastAsia="仿宋_GB2312" w:cs="仿宋"/>
          <w:color w:val="000000"/>
          <w:sz w:val="28"/>
          <w:szCs w:val="28"/>
        </w:rPr>
        <w:t>元/月，在工资发放时一并支付至乙方。</w:t>
      </w:r>
    </w:p>
    <w:p>
      <w:pPr>
        <w:keepNext w:val="0"/>
        <w:keepLines w:val="0"/>
        <w:pageBreakBefore w:val="0"/>
        <w:widowControl w:val="0"/>
        <w:wordWrap/>
        <w:bidi w:val="0"/>
        <w:spacing w:after="0" w:line="500" w:lineRule="exact"/>
        <w:ind w:firstLine="522" w:firstLineChars="200"/>
        <w:jc w:val="both"/>
        <w:outlineLvl w:val="0"/>
        <w:rPr>
          <w:rFonts w:hint="eastAsia" w:ascii="黑体" w:hAnsi="黑体" w:eastAsia="黑体" w:cs="黑体"/>
          <w:color w:val="000000"/>
          <w:sz w:val="28"/>
          <w:szCs w:val="28"/>
        </w:rPr>
      </w:pPr>
      <w:bookmarkStart w:id="105" w:name="_Toc9"/>
      <w:r>
        <w:rPr>
          <w:rFonts w:hint="eastAsia" w:ascii="黑体" w:hAnsi="黑体" w:eastAsia="黑体" w:cs="黑体"/>
          <w:color w:val="000000"/>
          <w:sz w:val="28"/>
          <w:szCs w:val="28"/>
        </w:rPr>
        <w:t>八、社会保险和福利待遇</w:t>
      </w:r>
      <w:bookmarkEnd w:id="105"/>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1.甲方依照国家规定为乙方缴纳社会保险费等，社会保险费个人缴纳部分，甲方从乙方工资中代扣代缴。</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2.乙方患病或非因工负伤的医疗待遇按国家有关规定执行。</w:t>
      </w:r>
    </w:p>
    <w:p>
      <w:pPr>
        <w:keepNext w:val="0"/>
        <w:keepLines w:val="0"/>
        <w:pageBreakBefore w:val="0"/>
        <w:widowControl w:val="0"/>
        <w:wordWrap/>
        <w:bidi w:val="0"/>
        <w:spacing w:after="0" w:line="500" w:lineRule="exact"/>
        <w:ind w:firstLine="522" w:firstLineChars="200"/>
        <w:jc w:val="both"/>
        <w:outlineLvl w:val="0"/>
        <w:rPr>
          <w:rFonts w:hint="eastAsia" w:ascii="黑体" w:hAnsi="黑体" w:eastAsia="黑体" w:cs="黑体"/>
          <w:color w:val="000000"/>
          <w:sz w:val="28"/>
          <w:szCs w:val="28"/>
        </w:rPr>
      </w:pPr>
      <w:bookmarkStart w:id="106" w:name="_Toc785"/>
      <w:r>
        <w:rPr>
          <w:rFonts w:hint="eastAsia" w:ascii="黑体" w:hAnsi="黑体" w:eastAsia="黑体" w:cs="黑体"/>
          <w:color w:val="000000"/>
          <w:sz w:val="28"/>
          <w:szCs w:val="28"/>
        </w:rPr>
        <w:t>九、劳动合同的续订</w:t>
      </w:r>
      <w:bookmarkEnd w:id="106"/>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b/>
          <w:color w:val="000000"/>
          <w:sz w:val="28"/>
          <w:szCs w:val="28"/>
        </w:rPr>
      </w:pPr>
      <w:r>
        <w:rPr>
          <w:rFonts w:hint="eastAsia" w:ascii="仿宋_GB2312" w:hAnsi="仿宋" w:eastAsia="仿宋_GB2312" w:cs="仿宋"/>
          <w:color w:val="000000"/>
          <w:sz w:val="28"/>
          <w:szCs w:val="28"/>
        </w:rPr>
        <w:t>本合同期满前，双方均有义务提前告知对方是否有续签意愿，经双方协商一致续订合同的，应在原合同期满前完成续订。</w:t>
      </w:r>
    </w:p>
    <w:p>
      <w:pPr>
        <w:keepNext w:val="0"/>
        <w:keepLines w:val="0"/>
        <w:pageBreakBefore w:val="0"/>
        <w:widowControl w:val="0"/>
        <w:wordWrap/>
        <w:bidi w:val="0"/>
        <w:spacing w:after="0" w:line="500" w:lineRule="exact"/>
        <w:ind w:firstLine="522" w:firstLineChars="200"/>
        <w:jc w:val="both"/>
        <w:outlineLvl w:val="0"/>
        <w:rPr>
          <w:rFonts w:hint="eastAsia" w:ascii="黑体" w:hAnsi="黑体" w:eastAsia="黑体" w:cs="黑体"/>
          <w:color w:val="000000"/>
          <w:sz w:val="28"/>
          <w:szCs w:val="28"/>
        </w:rPr>
      </w:pPr>
      <w:bookmarkStart w:id="107" w:name="_Toc17346"/>
      <w:r>
        <w:rPr>
          <w:rFonts w:hint="eastAsia" w:ascii="黑体" w:hAnsi="黑体" w:eastAsia="黑体" w:cs="黑体"/>
          <w:color w:val="000000"/>
          <w:sz w:val="28"/>
          <w:szCs w:val="28"/>
        </w:rPr>
        <w:t>十、劳动合同的履行</w:t>
      </w:r>
      <w:bookmarkEnd w:id="107"/>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乙方承诺有能力履行合同，能胜任工作岗位与要求，并自觉遵守国家的法律、法规和社会公德，接受甲方的培训和考核，自觉遵守甲方的工作程序、劳动纪律。珍惜甲方的声誉，维护甲方利益，爱护甲方财产，保守甲方的商业秘密。</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乙方签订此合同时，已经知悉公司已有的规章制度，并愿意遵守甲方的规章制度。甲方有权根据经营需要和国家法律法规的规定，制定或修改适用于乙方的包括员工手册在内的各项规章制度，乙方应当阅读、理解并予以严格遵守。如果乙方违反或拒绝接受甲方的规章制度，甲方有权依照规定对乙方进行处罚，直至解除劳动合同。</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3.乙方因违反有关法律、劳动纪律和甲方内部规章制度而给甲方造成经济损失的，甲方有权要求乙方赔偿其损失，并有权依法对乙方工资进行损失的扣减。</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4.承担专业技术工作的受聘人员，如提前解除或终止聘用合同，可能给公司代理技术项目终止、引发知识产权纠纷、技术泄密造成较大经济损失的，在聘用合同解除或终止的条件未具备时，不得提前解除或终止聘用合同。</w:t>
      </w:r>
    </w:p>
    <w:p>
      <w:pPr>
        <w:keepNext w:val="0"/>
        <w:keepLines w:val="0"/>
        <w:pageBreakBefore w:val="0"/>
        <w:widowControl w:val="0"/>
        <w:wordWrap/>
        <w:bidi w:val="0"/>
        <w:spacing w:after="0" w:line="500" w:lineRule="exact"/>
        <w:ind w:firstLine="522" w:firstLineChars="200"/>
        <w:jc w:val="both"/>
        <w:outlineLvl w:val="0"/>
        <w:rPr>
          <w:rFonts w:hint="eastAsia" w:ascii="黑体" w:hAnsi="黑体" w:eastAsia="黑体" w:cs="黑体"/>
          <w:color w:val="000000"/>
          <w:sz w:val="28"/>
          <w:szCs w:val="28"/>
        </w:rPr>
      </w:pPr>
      <w:bookmarkStart w:id="108" w:name="_Toc28869"/>
      <w:r>
        <w:rPr>
          <w:rFonts w:hint="eastAsia" w:ascii="黑体" w:hAnsi="黑体" w:eastAsia="黑体" w:cs="黑体"/>
          <w:color w:val="000000"/>
          <w:sz w:val="28"/>
          <w:szCs w:val="28"/>
        </w:rPr>
        <w:t>十一、知识产权归属</w:t>
      </w:r>
      <w:bookmarkEnd w:id="108"/>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1.本合同所称的知识产权包括：著作权、专利、注册商标权专用权和专有技术等。</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2.乙方为完成甲方的工作任务或者主要利用甲方的物质条件所创作的作品、发明创造、专有技术，是履行职务的行为，其知识产权归属甲方，乙方无权主张相关权利。</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3.对乙方的职务发明创造，甲方可视该发明创造对甲方的贡献大小，给乙方予以奖励。</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4.乙方在完成本职工作的情况下，欲就与甲方有一定竞争关系的课题自行研究开发的，应事先与甲方就利用甲方物质技术的范围及补偿办法以及所完成的技术成果的使用权、转让权、申请权和申请的权利归属达成书面协议。否则，均视作乙方的职务行为，相关权利均归属甲方。</w:t>
      </w:r>
    </w:p>
    <w:p>
      <w:pPr>
        <w:keepNext w:val="0"/>
        <w:keepLines w:val="0"/>
        <w:pageBreakBefore w:val="0"/>
        <w:widowControl w:val="0"/>
        <w:wordWrap/>
        <w:bidi w:val="0"/>
        <w:spacing w:after="0" w:line="500" w:lineRule="exact"/>
        <w:ind w:firstLine="522" w:firstLineChars="200"/>
        <w:jc w:val="both"/>
        <w:outlineLvl w:val="0"/>
        <w:rPr>
          <w:rFonts w:hint="eastAsia" w:ascii="黑体" w:hAnsi="黑体" w:eastAsia="黑体" w:cs="黑体"/>
          <w:color w:val="000000"/>
          <w:sz w:val="28"/>
          <w:szCs w:val="28"/>
        </w:rPr>
      </w:pPr>
      <w:bookmarkStart w:id="109" w:name="_Toc30502"/>
      <w:r>
        <w:rPr>
          <w:rFonts w:hint="eastAsia" w:ascii="黑体" w:hAnsi="黑体" w:eastAsia="黑体" w:cs="黑体"/>
          <w:color w:val="000000"/>
          <w:sz w:val="28"/>
          <w:szCs w:val="28"/>
        </w:rPr>
        <w:t>十二、保密义务</w:t>
      </w:r>
      <w:bookmarkEnd w:id="109"/>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1.本合同存续期内，乙方对在工作过程中接触到的或知悉的商业秘密承担保密义务，不得复制、不当使用、直接或间接向他人</w:t>
      </w:r>
      <w:r>
        <w:rPr>
          <w:rFonts w:hint="eastAsia" w:ascii="仿宋_GB2312" w:hAnsi="仿宋" w:eastAsia="仿宋_GB2312" w:cs="仿宋"/>
          <w:bCs/>
          <w:color w:val="000000"/>
          <w:sz w:val="28"/>
          <w:szCs w:val="28"/>
        </w:rPr>
        <w:t>（包括根据保密要求不得接触该项秘密信息的甲方的其他职员）</w:t>
      </w:r>
      <w:r>
        <w:rPr>
          <w:rFonts w:hint="eastAsia" w:ascii="仿宋_GB2312" w:hAnsi="仿宋" w:eastAsia="仿宋_GB2312" w:cs="仿宋"/>
          <w:color w:val="000000"/>
          <w:sz w:val="28"/>
          <w:szCs w:val="28"/>
        </w:rPr>
        <w:t>泄露或使他人获得上述商业秘密。无论本合同基于何种原因终止，乙方必须继续履行前款约定的保密义务，严格保守乙方在甲方任职期间所知悉的甲方的全部商业秘密。本款所述“商业秘密”包括但不限于：</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甲方的经营信息，包括但不限于经营方针、管理思路、公司发展计划、资本运作情况、新产品及服务项目开发情况、投资决策意向、市场分析、广告策略、现有客户及可能客户的名单与需求、营销计划、采购资料、产品服务定价及定价政策、进货渠道、产销策略、投标中的标底与标书内容等；</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甲方的技术信息，包括但不限于调查研究、模式、计划、汇编物、发明与创造、产品、配方、公式、设计、模型、方法、过程、程序、计算机程序及软件（源代码、目标代码等）、数据库、开发计划、研究开发记录、科研项目进度、技术方案、技术指标、技术报告、检测报告、实验数据、试验结果、操作手册、技术文档、技术、硬件配置信息、产量、设备变更、服务、工程设计、电路设计、制造方法、工艺流程、图纸、样品、样机、模型、模具等，以及技术合作中第三方要求甲方保密的内容；</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（3）甲方的管理信息，包括但不限于未公开的财务信息、人事信息、公司内部规章制度、工资薪酬信息、内部业务流程、物流资料、会议纪要等所有内部资料，以及其他列入甲方保密制度文件的秘密事项；</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（4）甲方依照法律规定或者协议约定对第三方负有保密义务的信息；</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（5）甲乙双方附件或者补充协议另行约定的其他相关保密信息。</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乙方同意，本合同终止或解除时，无论其记录或存储在任何媒介上，乙方应立即向甲方交还其获得的有关甲方经营、技术和管理等保密信息的全部文件，包括但不限于报表、信件、图纸、工作证件、电子存储数据和任何其他材料。</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bCs/>
          <w:color w:val="000000"/>
          <w:sz w:val="28"/>
          <w:szCs w:val="28"/>
        </w:rPr>
      </w:pPr>
      <w:r>
        <w:rPr>
          <w:rFonts w:hint="eastAsia" w:ascii="仿宋_GB2312" w:hAnsi="仿宋" w:eastAsia="仿宋_GB2312" w:cs="仿宋"/>
          <w:bCs/>
          <w:color w:val="000000"/>
          <w:sz w:val="28"/>
          <w:szCs w:val="28"/>
        </w:rPr>
        <w:t>4.乙方离职之后五年内仍对其在甲方任职期间接触、知悉的保密信息，承担如同任职期间一样的保密义务和不擅自使用有关保密信息的义务。</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bCs/>
          <w:color w:val="000000"/>
          <w:sz w:val="28"/>
          <w:szCs w:val="28"/>
        </w:rPr>
      </w:pPr>
      <w:r>
        <w:rPr>
          <w:rFonts w:hint="eastAsia" w:ascii="仿宋_GB2312" w:hAnsi="仿宋" w:eastAsia="仿宋_GB2312" w:cs="仿宋"/>
          <w:bCs/>
          <w:color w:val="000000"/>
          <w:sz w:val="28"/>
          <w:szCs w:val="28"/>
        </w:rPr>
        <w:t>5.若乙方违反上述保密条款，甲方有权要求乙方退回甲方已支付的保密费并赔偿由此给甲方造成的所有损失，损失无法计算的按</w:t>
      </w:r>
      <w:r>
        <w:rPr>
          <w:rFonts w:hint="eastAsia" w:ascii="仿宋_GB2312" w:hAnsi="仿宋" w:eastAsia="仿宋_GB2312" w:cs="仿宋"/>
          <w:bCs/>
          <w:color w:val="000000"/>
          <w:sz w:val="28"/>
          <w:szCs w:val="28"/>
          <w:u w:val="single"/>
        </w:rPr>
        <w:t xml:space="preserve">      </w:t>
      </w:r>
      <w:r>
        <w:rPr>
          <w:rFonts w:hint="eastAsia" w:ascii="仿宋_GB2312" w:hAnsi="仿宋" w:eastAsia="仿宋_GB2312" w:cs="仿宋"/>
          <w:bCs/>
          <w:color w:val="000000"/>
          <w:sz w:val="28"/>
          <w:szCs w:val="28"/>
        </w:rPr>
        <w:t>元计算。</w:t>
      </w:r>
    </w:p>
    <w:p>
      <w:pPr>
        <w:keepNext w:val="0"/>
        <w:keepLines w:val="0"/>
        <w:pageBreakBefore w:val="0"/>
        <w:widowControl w:val="0"/>
        <w:wordWrap/>
        <w:bidi w:val="0"/>
        <w:spacing w:after="0" w:line="500" w:lineRule="exact"/>
        <w:ind w:firstLine="522" w:firstLineChars="200"/>
        <w:jc w:val="both"/>
        <w:rPr>
          <w:rFonts w:hint="eastAsia" w:ascii="仿宋" w:hAnsi="仿宋" w:eastAsia="仿宋" w:cs="仿宋"/>
          <w:bCs/>
          <w:color w:val="000000"/>
          <w:sz w:val="28"/>
          <w:szCs w:val="28"/>
        </w:rPr>
      </w:pPr>
    </w:p>
    <w:p>
      <w:pPr>
        <w:keepNext w:val="0"/>
        <w:keepLines w:val="0"/>
        <w:pageBreakBefore w:val="0"/>
        <w:widowControl w:val="0"/>
        <w:wordWrap/>
        <w:bidi w:val="0"/>
        <w:spacing w:after="0" w:line="500" w:lineRule="exact"/>
        <w:ind w:firstLine="522" w:firstLineChars="200"/>
        <w:jc w:val="both"/>
        <w:outlineLvl w:val="0"/>
        <w:rPr>
          <w:rFonts w:hint="eastAsia" w:ascii="黑体" w:hAnsi="黑体" w:eastAsia="黑体" w:cs="黑体"/>
          <w:color w:val="000000"/>
          <w:sz w:val="28"/>
          <w:szCs w:val="28"/>
        </w:rPr>
      </w:pPr>
      <w:bookmarkStart w:id="110" w:name="_Toc27570"/>
      <w:r>
        <w:rPr>
          <w:rFonts w:hint="eastAsia" w:ascii="黑体" w:hAnsi="黑体" w:eastAsia="黑体" w:cs="黑体"/>
          <w:color w:val="000000"/>
          <w:sz w:val="28"/>
          <w:szCs w:val="28"/>
        </w:rPr>
        <w:t>十三、劳动合同的解除与终止</w:t>
      </w:r>
      <w:bookmarkEnd w:id="110"/>
    </w:p>
    <w:p>
      <w:pPr>
        <w:keepNext w:val="0"/>
        <w:keepLines w:val="0"/>
        <w:pageBreakBefore w:val="0"/>
        <w:widowControl w:val="0"/>
        <w:tabs>
          <w:tab w:val="left" w:pos="0"/>
        </w:tabs>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1.经双方协商一致，本合同可以解除。</w:t>
      </w:r>
    </w:p>
    <w:p>
      <w:pPr>
        <w:keepNext w:val="0"/>
        <w:keepLines w:val="0"/>
        <w:pageBreakBefore w:val="0"/>
        <w:widowControl w:val="0"/>
        <w:tabs>
          <w:tab w:val="left" w:pos="0"/>
        </w:tabs>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乙方原因提出解除或终止劳动合同，应当提前45日以书面形式通知甲方行政人事部门，在得到甲方批准并办理完离职手续后方可离职。如乙方不经离职流程连续旷工达3个工作日，视为擅自离职，若乙方因擅自离职给甲方造成严重损失的，甲方还有权要求赔偿。</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3.乙方有下列情形之一或违反国家法律法规的，甲方可以即行解除劳动合同，双方依法办理解约手续：</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（1）试用期内，乙方被证明不符合录用条件或岗位要求的；</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（2）乙方虚假提供个人资料或相关证明，或者隐瞒重大疾病史及其他重要情况的；</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（3）未经甲方批准，乙方连续旷工达3个工作日以上（含本数）的；</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（4）乙方严重违反规章制度的；</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（5）乙方因严重失职、徇私舞弊给甲方利益造成重大损害，给公司造成可计算经济损失达三万元以上（含本数）的；</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（6）没有按规定如期交接工作，对部门工作造成重大影响；</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（7）乙方被依法追究刑事责任的；</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（8）乙方具有法律、法规或者甲方规章制度规定的可以解除劳动合同的其他相应情形的。</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4.有下列情形之一，甲方提前三十日以书面形式通知乙方或者额外支付乙方一个月工资的，可以解除劳动合同：</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（1）乙方患病或非因工负伤，医疗期满后不能从事原工作，也不能从事甲方另行安排的其他工作的；</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（2）乙方不能胜任本职工作，经过培训或者调整岗位后，仍不能胜任工作的；</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（3）因劳动合同订立时所依据的客观情况发生重大变化，致使本合同无法继续履行，经甲乙双方协商，不能就变更本合同达成协议的。</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5.在试用期内的，乙方可以解除本合同，但应至少提前三天通知甲方，以便甲方为其办理相关手续：</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6.经甲方批准辞职并办理完所有离职手续的员工，可在提出辞职申请一个月后，获取最后一个月内按实际工作天数计算的薪资。</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7.有下列情形之一的，劳动合同终止：</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（1）《劳动合同》期满的；</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（2）劳动者开始依法享受基本养老保险待遇的；</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（3）用人单位破产、解散或者被撤销的；</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（4）劳动者退休、退职的。</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8.为避免工作交接不畅所造成损失，乙方同意自提出解约日起，其所有薪资及福利费发放，一并在离职手续办理完毕后的工资结算时付清。</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9.甲乙双方解除、终止劳动关系前，乙方须交回原由甲方提供的工作用品、客户资料、记录、证件等。</w:t>
      </w:r>
    </w:p>
    <w:p>
      <w:pPr>
        <w:keepNext w:val="0"/>
        <w:keepLines w:val="0"/>
        <w:pageBreakBefore w:val="0"/>
        <w:widowControl w:val="0"/>
        <w:wordWrap/>
        <w:bidi w:val="0"/>
        <w:spacing w:after="0" w:line="500" w:lineRule="exact"/>
        <w:ind w:firstLine="522" w:firstLineChars="200"/>
        <w:jc w:val="both"/>
        <w:outlineLvl w:val="0"/>
        <w:rPr>
          <w:rFonts w:hint="eastAsia" w:ascii="仿宋" w:hAnsi="仿宋" w:eastAsia="仿宋" w:cs="仿宋"/>
          <w:b/>
          <w:bCs/>
          <w:color w:val="000000"/>
          <w:sz w:val="28"/>
          <w:szCs w:val="28"/>
        </w:rPr>
      </w:pPr>
      <w:bookmarkStart w:id="111" w:name="_Toc10034"/>
      <w:r>
        <w:rPr>
          <w:rFonts w:hint="eastAsia" w:ascii="黑体" w:hAnsi="黑体" w:eastAsia="黑体" w:cs="黑体"/>
          <w:color w:val="000000"/>
          <w:sz w:val="28"/>
          <w:szCs w:val="28"/>
        </w:rPr>
        <w:t>十四、经济补偿与赔偿</w:t>
      </w:r>
      <w:bookmarkEnd w:id="111"/>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1.乙方解除《劳动合同》时有下列情形之一的，应协助甲方妥善处理相关事宜，造成甲方经济损失的，应给予相应的经济补偿：</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（1）乙方给甲方造成经济损失未处理完毕的；</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（2）乙方被有关国家机关依法审查未结案的；</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（3）乙方与甲方就股份赠与、出资培训、购房补贴等特殊约定的服务期限尚未期满的；</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（4）国家或甲方所在地有特别规定的。</w:t>
      </w:r>
    </w:p>
    <w:p>
      <w:pPr>
        <w:pStyle w:val="25"/>
        <w:keepNext w:val="0"/>
        <w:keepLines w:val="0"/>
        <w:pageBreakBefore w:val="0"/>
        <w:widowControl w:val="0"/>
        <w:numPr>
          <w:ilvl w:val="0"/>
          <w:numId w:val="0"/>
        </w:numPr>
        <w:wordWrap/>
        <w:bidi w:val="0"/>
        <w:snapToGri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（5）乙方违反本合同约定的保密义务，给甲方造成损失的，应当承担赔偿责任。</w:t>
      </w:r>
    </w:p>
    <w:p>
      <w:pPr>
        <w:keepNext w:val="0"/>
        <w:keepLines w:val="0"/>
        <w:pageBreakBefore w:val="0"/>
        <w:widowControl w:val="0"/>
        <w:wordWrap/>
        <w:bidi w:val="0"/>
        <w:spacing w:after="0" w:line="500" w:lineRule="exact"/>
        <w:ind w:firstLine="522" w:firstLineChars="200"/>
        <w:jc w:val="both"/>
        <w:outlineLvl w:val="0"/>
        <w:rPr>
          <w:rFonts w:hint="eastAsia" w:ascii="仿宋" w:hAnsi="仿宋" w:eastAsia="仿宋" w:cs="仿宋"/>
          <w:b/>
          <w:bCs/>
          <w:color w:val="000000"/>
          <w:sz w:val="28"/>
          <w:szCs w:val="28"/>
        </w:rPr>
      </w:pPr>
      <w:bookmarkStart w:id="112" w:name="_Toc22708"/>
      <w:r>
        <w:rPr>
          <w:rFonts w:hint="eastAsia" w:ascii="黑体" w:hAnsi="黑体" w:eastAsia="黑体" w:cs="黑体"/>
          <w:color w:val="000000"/>
          <w:sz w:val="28"/>
          <w:szCs w:val="28"/>
        </w:rPr>
        <w:t>十五、劳动争议处理</w:t>
      </w:r>
      <w:bookmarkEnd w:id="112"/>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本合同未尽事宜，双方本着有利于维护和谐劳动关系原则协商确定。协商不成的，按国家法律、法规、规章和政策办理。</w:t>
      </w:r>
    </w:p>
    <w:p>
      <w:pPr>
        <w:keepNext w:val="0"/>
        <w:keepLines w:val="0"/>
        <w:pageBreakBefore w:val="0"/>
        <w:widowControl w:val="0"/>
        <w:wordWrap/>
        <w:bidi w:val="0"/>
        <w:spacing w:after="0" w:line="500" w:lineRule="exact"/>
        <w:ind w:firstLine="522" w:firstLineChars="200"/>
        <w:jc w:val="both"/>
        <w:outlineLvl w:val="0"/>
        <w:rPr>
          <w:rFonts w:hint="eastAsia" w:ascii="仿宋" w:hAnsi="仿宋" w:eastAsia="仿宋" w:cs="仿宋"/>
          <w:b/>
          <w:bCs/>
          <w:color w:val="000000"/>
          <w:sz w:val="28"/>
          <w:szCs w:val="28"/>
        </w:rPr>
      </w:pPr>
      <w:bookmarkStart w:id="113" w:name="_Toc18910"/>
      <w:r>
        <w:rPr>
          <w:rFonts w:hint="eastAsia" w:ascii="黑体" w:hAnsi="黑体" w:eastAsia="黑体" w:cs="黑体"/>
          <w:color w:val="000000"/>
          <w:sz w:val="28"/>
          <w:szCs w:val="28"/>
        </w:rPr>
        <w:t>十六、其他</w:t>
      </w:r>
      <w:bookmarkEnd w:id="113"/>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1.乙方必须在到达甲方工作当日向甲方递交以下相关人事关系资料并保证资料的真实性：</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（1）人事档案存放证明；（2）身份证（验原件、留复印件）；（3）居住证（验原件、留复印件）；（4）学历证书（验原件、留复印件）；（5）退工单/离职证明；（6）体检证明。</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2.本合同如因法律、法规、规章或政策变更而不一致的，以新的法律、法规、规章和政策为准。</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b/>
          <w:bCs/>
          <w:color w:val="000000"/>
          <w:sz w:val="28"/>
          <w:szCs w:val="28"/>
        </w:rPr>
      </w:pPr>
      <w:r>
        <w:rPr>
          <w:rFonts w:hint="eastAsia" w:ascii="仿宋_GB2312" w:hAnsi="仿宋" w:eastAsia="仿宋_GB2312" w:cs="仿宋"/>
          <w:color w:val="000000"/>
          <w:sz w:val="28"/>
          <w:szCs w:val="28"/>
        </w:rPr>
        <w:t>3.如乙方与甲方有其他特殊约定，如培训协议等，将另立《合同补充条款》，乙方应严格遵守（特殊约定及相关违约金责任在《合同补充条款》中规定）。</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Cs/>
          <w:color w:val="000000"/>
          <w:sz w:val="28"/>
          <w:szCs w:val="28"/>
        </w:rPr>
        <w:t>4.</w:t>
      </w:r>
      <w:r>
        <w:rPr>
          <w:rFonts w:hint="eastAsia" w:ascii="仿宋_GB2312" w:hAnsi="仿宋" w:eastAsia="仿宋_GB2312" w:cs="仿宋"/>
          <w:color w:val="000000"/>
          <w:sz w:val="28"/>
          <w:szCs w:val="28"/>
        </w:rPr>
        <w:t>本合同自双方签订之日起生效，一式两份，甲乙双方各持一份，具有同等法律效力。</w:t>
      </w:r>
    </w:p>
    <w:p>
      <w:pPr>
        <w:keepNext w:val="0"/>
        <w:keepLines w:val="0"/>
        <w:pageBreakBefore w:val="0"/>
        <w:widowControl w:val="0"/>
        <w:wordWrap/>
        <w:bidi w:val="0"/>
        <w:spacing w:after="0" w:line="500" w:lineRule="exact"/>
        <w:ind w:firstLine="480"/>
        <w:jc w:val="both"/>
        <w:rPr>
          <w:rFonts w:hint="eastAsia" w:ascii="仿宋_GB2312" w:hAnsi="仿宋" w:eastAsia="仿宋_GB2312" w:cs="仿宋"/>
          <w:color w:val="000000"/>
          <w:sz w:val="28"/>
          <w:szCs w:val="28"/>
        </w:rPr>
      </w:pP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u w:val="single"/>
        </w:rPr>
      </w:pPr>
      <w:r>
        <w:rPr>
          <w:rFonts w:hint="eastAsia" w:ascii="仿宋_GB2312" w:hAnsi="仿宋" w:eastAsia="仿宋_GB2312" w:cs="仿宋"/>
          <w:color w:val="000000"/>
          <w:sz w:val="28"/>
          <w:szCs w:val="28"/>
        </w:rPr>
        <w:t>甲方（盖章）：</w:t>
      </w:r>
      <w:r>
        <w:rPr>
          <w:rFonts w:hint="eastAsia" w:ascii="仿宋_GB2312" w:hAnsi="仿宋" w:eastAsia="仿宋_GB2312" w:cs="仿宋"/>
          <w:color w:val="000000"/>
          <w:sz w:val="28"/>
          <w:szCs w:val="28"/>
          <w:u w:val="single"/>
        </w:rPr>
        <w:t xml:space="preserve">            </w:t>
      </w:r>
      <w:r>
        <w:rPr>
          <w:rFonts w:hint="eastAsia" w:ascii="仿宋_GB2312" w:hAnsi="仿宋" w:eastAsia="仿宋_GB2312" w:cs="仿宋"/>
          <w:color w:val="000000"/>
          <w:sz w:val="28"/>
          <w:szCs w:val="28"/>
        </w:rPr>
        <w:t xml:space="preserve">   乙方（签字）：</w:t>
      </w:r>
      <w:r>
        <w:rPr>
          <w:rFonts w:hint="eastAsia" w:ascii="仿宋_GB2312" w:hAnsi="仿宋" w:eastAsia="仿宋_GB2312" w:cs="仿宋"/>
          <w:color w:val="000000"/>
          <w:sz w:val="28"/>
          <w:szCs w:val="28"/>
          <w:u w:val="single"/>
        </w:rPr>
        <w:t xml:space="preserve">            </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u w:val="single"/>
        </w:rPr>
        <w:t xml:space="preserve">      </w:t>
      </w:r>
      <w:r>
        <w:rPr>
          <w:rFonts w:hint="eastAsia" w:ascii="仿宋_GB2312" w:hAnsi="仿宋" w:eastAsia="仿宋_GB2312" w:cs="仿宋"/>
          <w:color w:val="000000"/>
          <w:sz w:val="28"/>
          <w:szCs w:val="28"/>
        </w:rPr>
        <w:t>年</w:t>
      </w:r>
      <w:r>
        <w:rPr>
          <w:rFonts w:hint="eastAsia" w:ascii="仿宋_GB2312" w:hAnsi="仿宋" w:eastAsia="仿宋_GB2312" w:cs="仿宋"/>
          <w:color w:val="000000"/>
          <w:sz w:val="28"/>
          <w:szCs w:val="28"/>
          <w:u w:val="single"/>
        </w:rPr>
        <w:t xml:space="preserve">     </w:t>
      </w:r>
      <w:r>
        <w:rPr>
          <w:rFonts w:hint="eastAsia" w:ascii="仿宋_GB2312" w:hAnsi="仿宋" w:eastAsia="仿宋_GB2312" w:cs="仿宋"/>
          <w:color w:val="000000"/>
          <w:sz w:val="28"/>
          <w:szCs w:val="28"/>
        </w:rPr>
        <w:t>月</w:t>
      </w:r>
      <w:r>
        <w:rPr>
          <w:rFonts w:hint="eastAsia" w:ascii="仿宋_GB2312" w:hAnsi="仿宋" w:eastAsia="仿宋_GB2312" w:cs="仿宋"/>
          <w:color w:val="000000"/>
          <w:sz w:val="28"/>
          <w:szCs w:val="28"/>
          <w:u w:val="single"/>
        </w:rPr>
        <w:t xml:space="preserve">      </w:t>
      </w:r>
      <w:r>
        <w:rPr>
          <w:rFonts w:hint="eastAsia" w:ascii="仿宋_GB2312" w:hAnsi="仿宋" w:eastAsia="仿宋_GB2312" w:cs="仿宋"/>
          <w:color w:val="000000"/>
          <w:sz w:val="28"/>
          <w:szCs w:val="28"/>
        </w:rPr>
        <w:t xml:space="preserve">日       </w:t>
      </w:r>
      <w:r>
        <w:rPr>
          <w:rFonts w:hint="eastAsia" w:ascii="仿宋_GB2312" w:hAnsi="仿宋" w:eastAsia="仿宋_GB2312" w:cs="仿宋"/>
          <w:color w:val="000000"/>
          <w:sz w:val="28"/>
          <w:szCs w:val="28"/>
          <w:u w:val="single"/>
        </w:rPr>
        <w:t xml:space="preserve">     </w:t>
      </w:r>
      <w:r>
        <w:rPr>
          <w:rFonts w:hint="eastAsia" w:ascii="仿宋_GB2312" w:hAnsi="仿宋" w:eastAsia="仿宋_GB2312" w:cs="仿宋"/>
          <w:color w:val="000000"/>
          <w:sz w:val="28"/>
          <w:szCs w:val="28"/>
        </w:rPr>
        <w:t>年</w:t>
      </w:r>
      <w:r>
        <w:rPr>
          <w:rFonts w:hint="eastAsia" w:ascii="仿宋_GB2312" w:hAnsi="仿宋" w:eastAsia="仿宋_GB2312" w:cs="仿宋"/>
          <w:color w:val="000000"/>
          <w:sz w:val="28"/>
          <w:szCs w:val="28"/>
          <w:u w:val="single"/>
        </w:rPr>
        <w:t xml:space="preserve">     </w:t>
      </w:r>
      <w:r>
        <w:rPr>
          <w:rFonts w:hint="eastAsia" w:ascii="仿宋_GB2312" w:hAnsi="仿宋" w:eastAsia="仿宋_GB2312" w:cs="仿宋"/>
          <w:color w:val="000000"/>
          <w:sz w:val="28"/>
          <w:szCs w:val="28"/>
        </w:rPr>
        <w:t>月</w:t>
      </w:r>
      <w:r>
        <w:rPr>
          <w:rFonts w:hint="eastAsia" w:ascii="仿宋_GB2312" w:hAnsi="仿宋" w:eastAsia="仿宋_GB2312" w:cs="仿宋"/>
          <w:color w:val="000000"/>
          <w:sz w:val="28"/>
          <w:szCs w:val="28"/>
          <w:u w:val="single"/>
        </w:rPr>
        <w:t xml:space="preserve">     </w:t>
      </w:r>
      <w:r>
        <w:rPr>
          <w:rFonts w:hint="eastAsia" w:ascii="仿宋_GB2312" w:hAnsi="仿宋" w:eastAsia="仿宋_GB2312" w:cs="仿宋"/>
          <w:color w:val="000000"/>
          <w:sz w:val="28"/>
          <w:szCs w:val="28"/>
        </w:rPr>
        <w:t>日</w:t>
      </w:r>
    </w:p>
    <w:p>
      <w:pPr>
        <w:keepNext w:val="0"/>
        <w:keepLines w:val="0"/>
        <w:pageBreakBefore w:val="0"/>
        <w:widowControl w:val="0"/>
        <w:wordWrap/>
        <w:bidi w:val="0"/>
        <w:spacing w:after="0" w:line="500" w:lineRule="exact"/>
        <w:jc w:val="center"/>
        <w:outlineLvl w:val="0"/>
        <w:rPr>
          <w:rFonts w:hint="eastAsia" w:ascii="方正小标宋简体" w:hAnsi="方正小标宋简体" w:eastAsia="方正小标宋简体" w:cs="方正小标宋简体"/>
          <w:color w:val="000000"/>
          <w:sz w:val="40"/>
          <w:szCs w:val="40"/>
        </w:rPr>
      </w:pPr>
      <w:r>
        <w:rPr>
          <w:rFonts w:hint="eastAsia" w:ascii="仿宋_GB2312" w:hAnsi="仿宋_GB2312" w:eastAsia="仿宋_GB2312" w:cs="宋体"/>
          <w:color w:val="000000"/>
          <w:sz w:val="28"/>
          <w:szCs w:val="28"/>
        </w:rPr>
        <w:br w:type="page"/>
      </w:r>
      <w:bookmarkStart w:id="114" w:name="_Toc75811725"/>
      <w:bookmarkStart w:id="115" w:name="_Toc4165"/>
      <w:r>
        <w:rPr>
          <w:rFonts w:hint="eastAsia" w:ascii="方正小标宋简体" w:hAnsi="方正小标宋简体" w:eastAsia="方正小标宋简体" w:cs="方正小标宋简体"/>
          <w:color w:val="000000"/>
          <w:spacing w:val="6"/>
          <w:sz w:val="40"/>
          <w:szCs w:val="40"/>
        </w:rPr>
        <w:t>试用及转正管理制度</w:t>
      </w:r>
      <w:bookmarkEnd w:id="114"/>
      <w:bookmarkEnd w:id="115"/>
    </w:p>
    <w:p>
      <w:pPr>
        <w:keepNext w:val="0"/>
        <w:keepLines w:val="0"/>
        <w:pageBreakBefore w:val="0"/>
        <w:widowControl w:val="0"/>
        <w:wordWrap/>
        <w:bidi w:val="0"/>
        <w:spacing w:before="227" w:beforeLines="50" w:after="227" w:afterLines="50" w:line="500" w:lineRule="exact"/>
        <w:ind w:firstLine="614" w:firstLineChars="235"/>
        <w:rPr>
          <w:rFonts w:hint="eastAsia" w:ascii="仿宋_GB2312" w:hAnsi="仿宋_GB2312" w:eastAsia="仿宋_GB2312" w:cs="仿宋"/>
          <w:b/>
          <w:color w:val="000000"/>
          <w:sz w:val="28"/>
          <w:szCs w:val="28"/>
        </w:rPr>
      </w:pPr>
    </w:p>
    <w:p>
      <w:pPr>
        <w:keepNext w:val="0"/>
        <w:keepLines w:val="0"/>
        <w:pageBreakBefore w:val="0"/>
        <w:widowControl w:val="0"/>
        <w:wordWrap/>
        <w:bidi w:val="0"/>
        <w:spacing w:after="0" w:line="500" w:lineRule="exact"/>
        <w:ind w:firstLine="522" w:firstLineChars="200"/>
        <w:jc w:val="both"/>
        <w:rPr>
          <w:rFonts w:hint="eastAsia" w:ascii="黑体" w:hAnsi="黑体" w:eastAsia="黑体" w:cs="仿宋"/>
          <w:color w:val="000000"/>
          <w:sz w:val="28"/>
          <w:szCs w:val="28"/>
        </w:rPr>
      </w:pPr>
      <w:r>
        <w:rPr>
          <w:rFonts w:hint="eastAsia" w:ascii="黑体" w:hAnsi="黑体" w:eastAsia="黑体" w:cs="仿宋"/>
          <w:color w:val="000000"/>
          <w:sz w:val="28"/>
          <w:szCs w:val="28"/>
        </w:rPr>
        <w:t>第一条  目的</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为规范员工在试用期内达到转正的要求及办理程序,明确相关部门的工作职责,特制订本制度。</w:t>
      </w:r>
    </w:p>
    <w:p>
      <w:pPr>
        <w:keepNext w:val="0"/>
        <w:keepLines w:val="0"/>
        <w:pageBreakBefore w:val="0"/>
        <w:widowControl w:val="0"/>
        <w:wordWrap/>
        <w:bidi w:val="0"/>
        <w:spacing w:after="0" w:line="500" w:lineRule="exact"/>
        <w:ind w:firstLine="522" w:firstLineChars="200"/>
        <w:jc w:val="both"/>
        <w:rPr>
          <w:rFonts w:hint="eastAsia" w:ascii="仿宋" w:hAnsi="仿宋" w:eastAsia="仿宋" w:cs="仿宋"/>
          <w:b/>
          <w:color w:val="000000"/>
          <w:sz w:val="28"/>
          <w:szCs w:val="28"/>
        </w:rPr>
      </w:pPr>
      <w:r>
        <w:rPr>
          <w:rFonts w:hint="eastAsia" w:ascii="黑体" w:hAnsi="黑体" w:eastAsia="黑体" w:cs="仿宋"/>
          <w:color w:val="000000"/>
          <w:sz w:val="28"/>
          <w:szCs w:val="28"/>
        </w:rPr>
        <w:t>第二条  适用范围</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适用于公司所有试用期员工。</w:t>
      </w:r>
    </w:p>
    <w:p>
      <w:pPr>
        <w:keepNext w:val="0"/>
        <w:keepLines w:val="0"/>
        <w:pageBreakBefore w:val="0"/>
        <w:widowControl w:val="0"/>
        <w:wordWrap/>
        <w:bidi w:val="0"/>
        <w:spacing w:after="0" w:line="500" w:lineRule="exact"/>
        <w:ind w:firstLine="522" w:firstLineChars="200"/>
        <w:jc w:val="both"/>
        <w:rPr>
          <w:rFonts w:hint="eastAsia" w:ascii="黑体" w:hAnsi="黑体" w:eastAsia="黑体" w:cs="仿宋"/>
          <w:color w:val="000000"/>
          <w:sz w:val="28"/>
          <w:szCs w:val="28"/>
        </w:rPr>
      </w:pPr>
      <w:r>
        <w:rPr>
          <w:rFonts w:hint="eastAsia" w:ascii="黑体" w:hAnsi="黑体" w:eastAsia="黑体" w:cs="仿宋"/>
          <w:color w:val="000000"/>
          <w:sz w:val="28"/>
          <w:szCs w:val="28"/>
        </w:rPr>
        <w:t>第三条  权责</w:t>
      </w:r>
    </w:p>
    <w:p>
      <w:pPr>
        <w:keepNext w:val="0"/>
        <w:keepLines w:val="0"/>
        <w:pageBreakBefore w:val="0"/>
        <w:widowControl w:val="0"/>
        <w:tabs>
          <w:tab w:val="left" w:pos="0"/>
        </w:tabs>
        <w:wordWrap/>
        <w:bidi w:val="0"/>
        <w:spacing w:after="0" w:line="500" w:lineRule="exact"/>
        <w:ind w:left="604"/>
        <w:jc w:val="both"/>
        <w:outlineLvl w:val="0"/>
        <w:rPr>
          <w:rFonts w:hint="eastAsia" w:ascii="楷体" w:hAnsi="楷体" w:eastAsia="楷体" w:cs="仿宋"/>
          <w:b/>
          <w:bCs/>
          <w:color w:val="000000"/>
          <w:sz w:val="28"/>
          <w:szCs w:val="28"/>
        </w:rPr>
      </w:pPr>
      <w:bookmarkStart w:id="116" w:name="_Toc11917"/>
      <w:r>
        <w:rPr>
          <w:rFonts w:hint="eastAsia" w:ascii="楷体" w:hAnsi="楷体" w:eastAsia="楷体" w:cs="仿宋"/>
          <w:b/>
          <w:bCs/>
          <w:color w:val="000000"/>
          <w:sz w:val="28"/>
          <w:szCs w:val="28"/>
        </w:rPr>
        <w:t>（一）试用期员工的权责</w:t>
      </w:r>
      <w:bookmarkEnd w:id="116"/>
    </w:p>
    <w:p>
      <w:pPr>
        <w:keepNext w:val="0"/>
        <w:keepLines w:val="0"/>
        <w:pageBreakBefore w:val="0"/>
        <w:widowControl w:val="0"/>
        <w:numPr>
          <w:ilvl w:val="0"/>
          <w:numId w:val="30"/>
        </w:numPr>
        <w:tabs>
          <w:tab w:val="left" w:pos="0"/>
        </w:tabs>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主动了解自己的工作职责与工作内容、工作目标、公司的规章制度等;</w:t>
      </w:r>
    </w:p>
    <w:p>
      <w:pPr>
        <w:keepNext w:val="0"/>
        <w:keepLines w:val="0"/>
        <w:pageBreakBefore w:val="0"/>
        <w:widowControl w:val="0"/>
        <w:numPr>
          <w:ilvl w:val="0"/>
          <w:numId w:val="30"/>
        </w:numPr>
        <w:tabs>
          <w:tab w:val="left" w:pos="0"/>
        </w:tabs>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接受行政人事部的入职培训及相关考核。</w:t>
      </w:r>
    </w:p>
    <w:p>
      <w:pPr>
        <w:keepNext w:val="0"/>
        <w:keepLines w:val="0"/>
        <w:pageBreakBefore w:val="0"/>
        <w:widowControl w:val="0"/>
        <w:tabs>
          <w:tab w:val="left" w:pos="0"/>
        </w:tabs>
        <w:wordWrap/>
        <w:bidi w:val="0"/>
        <w:spacing w:after="0" w:line="500" w:lineRule="exact"/>
        <w:ind w:left="604"/>
        <w:jc w:val="both"/>
        <w:outlineLvl w:val="0"/>
        <w:rPr>
          <w:rFonts w:hint="eastAsia" w:ascii="楷体" w:hAnsi="楷体" w:eastAsia="楷体" w:cs="仿宋"/>
          <w:b/>
          <w:bCs/>
          <w:color w:val="000000"/>
          <w:sz w:val="28"/>
          <w:szCs w:val="28"/>
        </w:rPr>
      </w:pPr>
      <w:bookmarkStart w:id="117" w:name="_Toc427"/>
      <w:r>
        <w:rPr>
          <w:rFonts w:hint="eastAsia" w:ascii="楷体" w:hAnsi="楷体" w:eastAsia="楷体" w:cs="仿宋"/>
          <w:b/>
          <w:bCs/>
          <w:color w:val="000000"/>
          <w:sz w:val="28"/>
          <w:szCs w:val="28"/>
        </w:rPr>
        <w:t>（二）试用期直属领导的权责</w:t>
      </w:r>
      <w:bookmarkEnd w:id="117"/>
    </w:p>
    <w:p>
      <w:pPr>
        <w:keepNext w:val="0"/>
        <w:keepLines w:val="0"/>
        <w:pageBreakBefore w:val="0"/>
        <w:widowControl w:val="0"/>
        <w:numPr>
          <w:ilvl w:val="0"/>
          <w:numId w:val="31"/>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工作中引导新员工领悟公司的文化、督促并指导其执行公司各项管理制度以及日常办公、工作须知等;</w:t>
      </w:r>
    </w:p>
    <w:p>
      <w:pPr>
        <w:keepNext w:val="0"/>
        <w:keepLines w:val="0"/>
        <w:pageBreakBefore w:val="0"/>
        <w:widowControl w:val="0"/>
        <w:numPr>
          <w:ilvl w:val="0"/>
          <w:numId w:val="31"/>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培训新员工工作职责、内容与目标及岗位必须的知识与技能。</w:t>
      </w:r>
    </w:p>
    <w:p>
      <w:pPr>
        <w:keepNext w:val="0"/>
        <w:keepLines w:val="0"/>
        <w:pageBreakBefore w:val="0"/>
        <w:widowControl w:val="0"/>
        <w:tabs>
          <w:tab w:val="left" w:pos="0"/>
        </w:tabs>
        <w:wordWrap/>
        <w:bidi w:val="0"/>
        <w:spacing w:after="0" w:line="500" w:lineRule="exact"/>
        <w:ind w:left="604"/>
        <w:jc w:val="both"/>
        <w:outlineLvl w:val="0"/>
        <w:rPr>
          <w:rFonts w:hint="eastAsia" w:ascii="楷体" w:hAnsi="楷体" w:eastAsia="楷体" w:cs="仿宋"/>
          <w:b/>
          <w:bCs/>
          <w:color w:val="000000"/>
          <w:sz w:val="28"/>
          <w:szCs w:val="28"/>
        </w:rPr>
      </w:pPr>
      <w:bookmarkStart w:id="118" w:name="_Toc14111"/>
      <w:r>
        <w:rPr>
          <w:rFonts w:hint="eastAsia" w:ascii="楷体" w:hAnsi="楷体" w:eastAsia="楷体" w:cs="仿宋"/>
          <w:b/>
          <w:bCs/>
          <w:color w:val="000000"/>
          <w:sz w:val="28"/>
          <w:szCs w:val="28"/>
        </w:rPr>
        <w:t>（三）行政人事部的权责</w:t>
      </w:r>
      <w:bookmarkEnd w:id="118"/>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1.培训新员工有关公司的文化、公司各项管理制度以及日常办公、工作须知等;</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2.负责试用期员工的最终考核;</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3.负责面谈试用期转正的员工并审核其申请;</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4.负责与试用期员工签订劳动</w:t>
      </w: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"http://www.fdcew.com/gw/List_211.html"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合同</w:t>
      </w:r>
      <w:r>
        <w:rPr>
          <w:rFonts w:hint="eastAsia" w:ascii="仿宋_GB2312" w:hAnsi="仿宋" w:eastAsia="仿宋_GB2312" w:cs="仿宋"/>
          <w:color w:val="000000"/>
          <w:sz w:val="28"/>
          <w:szCs w:val="28"/>
        </w:rPr>
        <w:fldChar w:fldCharType="end"/>
      </w:r>
      <w:r>
        <w:rPr>
          <w:rFonts w:hint="eastAsia" w:ascii="仿宋_GB2312" w:hAnsi="仿宋" w:eastAsia="仿宋_GB2312" w:cs="仿宋"/>
          <w:color w:val="000000"/>
          <w:sz w:val="28"/>
          <w:szCs w:val="28"/>
        </w:rPr>
        <w:t>;</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5.新进员工入职的三天内须持有并由其签名的《岗位说明书》。该“岗位说明书”是其工作的要求与标准。</w:t>
      </w:r>
    </w:p>
    <w:p>
      <w:pPr>
        <w:keepNext w:val="0"/>
        <w:keepLines w:val="0"/>
        <w:pageBreakBefore w:val="0"/>
        <w:widowControl w:val="0"/>
        <w:tabs>
          <w:tab w:val="left" w:pos="0"/>
        </w:tabs>
        <w:wordWrap/>
        <w:bidi w:val="0"/>
        <w:spacing w:after="0" w:line="500" w:lineRule="exact"/>
        <w:ind w:left="604"/>
        <w:jc w:val="both"/>
        <w:rPr>
          <w:rFonts w:hint="eastAsia" w:ascii="楷体" w:hAnsi="楷体" w:eastAsia="楷体" w:cs="仿宋"/>
          <w:b/>
          <w:bCs/>
          <w:color w:val="000000"/>
          <w:sz w:val="28"/>
          <w:szCs w:val="28"/>
        </w:rPr>
      </w:pPr>
      <w:r>
        <w:rPr>
          <w:rFonts w:hint="eastAsia" w:ascii="楷体" w:hAnsi="楷体" w:eastAsia="楷体" w:cs="仿宋"/>
          <w:b/>
          <w:bCs/>
          <w:color w:val="000000"/>
          <w:sz w:val="28"/>
          <w:szCs w:val="28"/>
        </w:rPr>
        <w:t>转正申请的批准</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总经理负责审批公司所有试用期人员的转正申请。</w:t>
      </w:r>
    </w:p>
    <w:p>
      <w:pPr>
        <w:keepNext w:val="0"/>
        <w:keepLines w:val="0"/>
        <w:pageBreakBefore w:val="0"/>
        <w:widowControl w:val="0"/>
        <w:wordWrap/>
        <w:bidi w:val="0"/>
        <w:spacing w:after="0" w:line="500" w:lineRule="exact"/>
        <w:ind w:firstLine="522" w:firstLineChars="200"/>
        <w:jc w:val="both"/>
        <w:rPr>
          <w:rFonts w:hint="eastAsia" w:ascii="黑体" w:hAnsi="黑体" w:eastAsia="黑体" w:cs="仿宋"/>
          <w:color w:val="000000"/>
          <w:sz w:val="28"/>
          <w:szCs w:val="28"/>
        </w:rPr>
      </w:pPr>
      <w:r>
        <w:rPr>
          <w:rFonts w:hint="eastAsia" w:ascii="黑体" w:hAnsi="黑体" w:eastAsia="黑体" w:cs="仿宋"/>
          <w:color w:val="000000"/>
          <w:sz w:val="28"/>
          <w:szCs w:val="28"/>
        </w:rPr>
        <w:t>第四条  内容</w:t>
      </w:r>
    </w:p>
    <w:p>
      <w:pPr>
        <w:keepNext w:val="0"/>
        <w:keepLines w:val="0"/>
        <w:pageBreakBefore w:val="0"/>
        <w:widowControl w:val="0"/>
        <w:tabs>
          <w:tab w:val="left" w:pos="0"/>
        </w:tabs>
        <w:wordWrap/>
        <w:bidi w:val="0"/>
        <w:spacing w:after="0" w:line="500" w:lineRule="exact"/>
        <w:ind w:left="604"/>
        <w:jc w:val="both"/>
        <w:rPr>
          <w:rFonts w:hint="eastAsia" w:ascii="楷体" w:hAnsi="楷体" w:eastAsia="楷体" w:cs="仿宋"/>
          <w:b/>
          <w:bCs/>
          <w:color w:val="000000"/>
          <w:sz w:val="28"/>
          <w:szCs w:val="28"/>
        </w:rPr>
      </w:pPr>
      <w:r>
        <w:rPr>
          <w:rFonts w:hint="eastAsia" w:ascii="楷体" w:hAnsi="楷体" w:eastAsia="楷体" w:cs="仿宋"/>
          <w:b/>
          <w:bCs/>
          <w:color w:val="000000"/>
          <w:sz w:val="28"/>
          <w:szCs w:val="28"/>
        </w:rPr>
        <w:t>（一）试用期管理规定</w:t>
      </w:r>
    </w:p>
    <w:p>
      <w:pPr>
        <w:keepNext w:val="0"/>
        <w:keepLines w:val="0"/>
        <w:pageBreakBefore w:val="0"/>
        <w:widowControl w:val="0"/>
        <w:numPr>
          <w:ilvl w:val="0"/>
          <w:numId w:val="32"/>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员工入职当天,填写《入职登记表》，同时填写《新员工试用期工作规划表》</w:t>
      </w:r>
    </w:p>
    <w:p>
      <w:pPr>
        <w:keepNext w:val="0"/>
        <w:keepLines w:val="0"/>
        <w:pageBreakBefore w:val="0"/>
        <w:widowControl w:val="0"/>
        <w:numPr>
          <w:ilvl w:val="0"/>
          <w:numId w:val="32"/>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试用期内离职</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（1）辞职:试用期员工由于个人原因提出辞职,须提前3天填写《离职申请表》，通知所属部门的负责人,并督促所属部门在2个工作日之内加注意见后递交至行政人事部,经批准,员工可办理离职手续；</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（2）辞退:因违反公司规章制度、违反国家法律或试用不合格而辞退员工。所属部门负责人必须有明确的不合格证据说明,并将员工不合格的事例填写在相关考核报告中。</w:t>
      </w:r>
    </w:p>
    <w:p>
      <w:pPr>
        <w:keepNext w:val="0"/>
        <w:keepLines w:val="0"/>
        <w:pageBreakBefore w:val="0"/>
        <w:widowControl w:val="0"/>
        <w:numPr>
          <w:ilvl w:val="0"/>
          <w:numId w:val="32"/>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试用期内请假</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试用期员工非旷工缺勤时间（因事、病或其他请假）累计达到5天视为不符合录用条件。</w:t>
      </w:r>
    </w:p>
    <w:p>
      <w:pPr>
        <w:keepNext w:val="0"/>
        <w:keepLines w:val="0"/>
        <w:pageBreakBefore w:val="0"/>
        <w:widowControl w:val="0"/>
        <w:numPr>
          <w:ilvl w:val="0"/>
          <w:numId w:val="32"/>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试用期考核</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（1）新员工入职,行政人事部须在其入职的三个工作日内将《员工转正考核表》交给其直接领导,所属部门负责人在其试用期满前的三个工作日内将提交到行政人事部;</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（2）试用人员在试用阶段品行不良或工作能力欠佳、考勤未达标,部门负责人须如实记录在《员工转正考核表》中,以作为其解聘的依据。如给公司造成经济损失者要给予赔偿或追究其法律责任。</w:t>
      </w:r>
    </w:p>
    <w:p>
      <w:pPr>
        <w:keepNext w:val="0"/>
        <w:keepLines w:val="0"/>
        <w:pageBreakBefore w:val="0"/>
        <w:widowControl w:val="0"/>
        <w:numPr>
          <w:ilvl w:val="0"/>
          <w:numId w:val="32"/>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发现试用期员工在应聘过程中有隐瞒、欺骗现象,视为不符合录用条件，公司有权立即解除劳动合同，并无任何赔偿责任。</w:t>
      </w:r>
    </w:p>
    <w:p>
      <w:pPr>
        <w:keepNext w:val="0"/>
        <w:keepLines w:val="0"/>
        <w:pageBreakBefore w:val="0"/>
        <w:widowControl w:val="0"/>
        <w:tabs>
          <w:tab w:val="left" w:pos="0"/>
        </w:tabs>
        <w:wordWrap/>
        <w:bidi w:val="0"/>
        <w:spacing w:after="0" w:line="500" w:lineRule="exact"/>
        <w:ind w:left="604"/>
        <w:jc w:val="both"/>
        <w:rPr>
          <w:rFonts w:hint="eastAsia" w:ascii="楷体" w:hAnsi="楷体" w:eastAsia="楷体" w:cs="仿宋"/>
          <w:b/>
          <w:bCs/>
          <w:color w:val="000000"/>
          <w:sz w:val="28"/>
          <w:szCs w:val="28"/>
        </w:rPr>
      </w:pPr>
      <w:r>
        <w:rPr>
          <w:rFonts w:hint="eastAsia" w:ascii="楷体" w:hAnsi="楷体" w:eastAsia="楷体" w:cs="仿宋"/>
          <w:b/>
          <w:bCs/>
          <w:color w:val="000000"/>
          <w:sz w:val="28"/>
          <w:szCs w:val="28"/>
        </w:rPr>
        <w:t>（二）转正管理规定</w:t>
      </w:r>
    </w:p>
    <w:p>
      <w:pPr>
        <w:keepNext w:val="0"/>
        <w:keepLines w:val="0"/>
        <w:pageBreakBefore w:val="0"/>
        <w:widowControl w:val="0"/>
        <w:numPr>
          <w:ilvl w:val="0"/>
          <w:numId w:val="33"/>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各用人部门须在约定的试用期届满前或试用者满足转正条件时提交《员工转正考核表》至行政人事部，如实记录员工在试用期的表现情况并签署意见，经总经理批示后生效。员工试用期转正须同时满足如下条件：</w:t>
      </w:r>
    </w:p>
    <w:p>
      <w:pPr>
        <w:keepNext w:val="0"/>
        <w:keepLines w:val="0"/>
        <w:pageBreakBefore w:val="0"/>
        <w:widowControl w:val="0"/>
        <w:wordWrap/>
        <w:bidi w:val="0"/>
        <w:spacing w:after="0" w:line="500" w:lineRule="exact"/>
        <w:ind w:left="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（1）无劳动合同中关于不符合录用条件之情形；</w:t>
      </w:r>
    </w:p>
    <w:p>
      <w:pPr>
        <w:keepNext w:val="0"/>
        <w:keepLines w:val="0"/>
        <w:pageBreakBefore w:val="0"/>
        <w:widowControl w:val="0"/>
        <w:wordWrap/>
        <w:bidi w:val="0"/>
        <w:spacing w:after="0" w:line="500" w:lineRule="exact"/>
        <w:ind w:left="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（2）完成《新员工试用期工作规划表》中的工作内容；</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（3）《员工转正考核表》中考核结果达到一般及以上水平的。</w:t>
      </w:r>
    </w:p>
    <w:p>
      <w:pPr>
        <w:keepNext w:val="0"/>
        <w:keepLines w:val="0"/>
        <w:pageBreakBefore w:val="0"/>
        <w:widowControl w:val="0"/>
        <w:numPr>
          <w:ilvl w:val="0"/>
          <w:numId w:val="33"/>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试用期考核合格的员工，按规定办理转正手续；试用期考核不合格员工，公司不予录用。</w:t>
      </w:r>
    </w:p>
    <w:p>
      <w:pPr>
        <w:keepNext w:val="0"/>
        <w:keepLines w:val="0"/>
        <w:pageBreakBefore w:val="0"/>
        <w:widowControl w:val="0"/>
        <w:numPr>
          <w:ilvl w:val="0"/>
          <w:numId w:val="33"/>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试用期考核不合格的员工，确定解除劳动关系的，由行政人事部在试用期满前一天内(最迟不得超过期满的当天)为其核算工资办理离职手续。</w:t>
      </w:r>
    </w:p>
    <w:p>
      <w:pPr>
        <w:keepNext w:val="0"/>
        <w:keepLines w:val="0"/>
        <w:pageBreakBefore w:val="0"/>
        <w:widowControl w:val="0"/>
        <w:numPr>
          <w:ilvl w:val="0"/>
          <w:numId w:val="33"/>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免试用期程序</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所有免试用期者必须满足以下条件之一:</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（1）曾在我司工作，没有被考评不合格或没有受行政处罚，再次应聘原岗位的;</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（2）特殊人才有免试用期的特殊要求者;</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（3）满足上述2个条件,本人在入职时申请,由行政人事部向报总经理同意,可免试用期。</w:t>
      </w:r>
    </w:p>
    <w:p>
      <w:pPr>
        <w:keepNext w:val="0"/>
        <w:keepLines w:val="0"/>
        <w:pageBreakBefore w:val="0"/>
        <w:widowControl w:val="0"/>
        <w:wordWrap/>
        <w:bidi w:val="0"/>
        <w:spacing w:after="0" w:line="500" w:lineRule="exact"/>
        <w:ind w:firstLine="522" w:firstLineChars="200"/>
        <w:jc w:val="both"/>
        <w:rPr>
          <w:rFonts w:hint="eastAsia" w:ascii="黑体" w:hAnsi="黑体" w:eastAsia="黑体" w:cs="仿宋"/>
          <w:color w:val="000000"/>
          <w:sz w:val="28"/>
          <w:szCs w:val="28"/>
        </w:rPr>
      </w:pPr>
      <w:r>
        <w:rPr>
          <w:rFonts w:hint="eastAsia" w:ascii="黑体" w:hAnsi="黑体" w:eastAsia="黑体" w:cs="仿宋"/>
          <w:color w:val="000000"/>
          <w:sz w:val="28"/>
          <w:szCs w:val="28"/>
        </w:rPr>
        <w:t>第五条  附则</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本制度自   年   月   日正式施行，原有制度自行终止。如另有与本制度相抵触的规定，一律以本制度为准。</w:t>
      </w:r>
    </w:p>
    <w:p>
      <w:pPr>
        <w:keepNext w:val="0"/>
        <w:keepLines w:val="0"/>
        <w:pageBreakBefore w:val="0"/>
        <w:widowControl w:val="0"/>
        <w:wordWrap/>
        <w:bidi w:val="0"/>
        <w:spacing w:after="0" w:line="500" w:lineRule="exact"/>
        <w:ind w:firstLine="522" w:firstLineChars="200"/>
        <w:jc w:val="both"/>
        <w:rPr>
          <w:rFonts w:hint="eastAsia" w:ascii="黑体" w:hAnsi="黑体" w:eastAsia="黑体" w:cs="仿宋"/>
          <w:color w:val="000000"/>
          <w:sz w:val="28"/>
          <w:szCs w:val="28"/>
        </w:rPr>
      </w:pPr>
      <w:r>
        <w:rPr>
          <w:rFonts w:hint="eastAsia" w:ascii="黑体" w:hAnsi="黑体" w:eastAsia="黑体" w:cs="仿宋"/>
          <w:color w:val="000000"/>
          <w:sz w:val="28"/>
          <w:szCs w:val="28"/>
        </w:rPr>
        <w:t>第六条  附件</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1、《新员工试用期工作规划表》</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2、《员工转正考核表》</w:t>
      </w:r>
    </w:p>
    <w:p>
      <w:pPr>
        <w:keepNext w:val="0"/>
        <w:keepLines w:val="0"/>
        <w:pageBreakBefore w:val="0"/>
        <w:widowControl w:val="0"/>
        <w:wordWrap/>
        <w:bidi w:val="0"/>
        <w:spacing w:before="227" w:beforeLines="50" w:after="227" w:afterLines="50" w:line="500" w:lineRule="exact"/>
        <w:rPr>
          <w:rFonts w:hint="eastAsia" w:ascii="仿宋_GB2312" w:hAnsi="宋体" w:eastAsia="仿宋_GB2312" w:cs="宋体"/>
          <w:color w:val="000000"/>
          <w:sz w:val="28"/>
          <w:szCs w:val="28"/>
        </w:rPr>
      </w:pPr>
    </w:p>
    <w:p>
      <w:pPr>
        <w:keepNext w:val="0"/>
        <w:keepLines w:val="0"/>
        <w:pageBreakBefore w:val="0"/>
        <w:widowControl w:val="0"/>
        <w:wordWrap/>
        <w:bidi w:val="0"/>
        <w:spacing w:after="0" w:line="500" w:lineRule="exact"/>
        <w:outlineLvl w:val="0"/>
        <w:rPr>
          <w:rFonts w:hint="eastAsia" w:ascii="黑体" w:hAnsi="黑体" w:eastAsia="黑体" w:cs="黑体"/>
          <w:color w:val="000000"/>
          <w:sz w:val="28"/>
          <w:szCs w:val="28"/>
        </w:rPr>
      </w:pPr>
      <w:r>
        <w:rPr>
          <w:rFonts w:hint="eastAsia" w:ascii="仿宋_GB2312" w:hAnsi="宋体" w:eastAsia="仿宋_GB2312" w:cs="宋体"/>
          <w:color w:val="000000"/>
          <w:sz w:val="28"/>
          <w:szCs w:val="28"/>
        </w:rPr>
        <w:br w:type="page"/>
      </w:r>
      <w:bookmarkStart w:id="119" w:name="_Toc8268"/>
      <w:r>
        <w:rPr>
          <w:rFonts w:hint="eastAsia" w:ascii="黑体" w:hAnsi="黑体" w:eastAsia="黑体" w:cs="黑体"/>
          <w:color w:val="000000"/>
          <w:sz w:val="28"/>
          <w:szCs w:val="28"/>
        </w:rPr>
        <w:t>附件一:《新员工试用期工作规划表》</w:t>
      </w:r>
      <w:bookmarkEnd w:id="119"/>
    </w:p>
    <w:p>
      <w:pPr>
        <w:keepNext w:val="0"/>
        <w:keepLines w:val="0"/>
        <w:pageBreakBefore w:val="0"/>
        <w:widowControl w:val="0"/>
        <w:shd w:val="solid" w:color="FFFFFF" w:fill="auto"/>
        <w:kinsoku/>
        <w:wordWrap/>
        <w:overflowPunct/>
        <w:topLinePunct w:val="0"/>
        <w:autoSpaceDE/>
        <w:autoSpaceDN w:val="0"/>
        <w:bidi w:val="0"/>
        <w:adjustRightInd/>
        <w:snapToGrid/>
        <w:spacing w:before="229" w:beforeLines="50" w:after="229" w:afterLines="50" w:line="500" w:lineRule="exact"/>
        <w:jc w:val="center"/>
        <w:textAlignment w:val="auto"/>
        <w:rPr>
          <w:rFonts w:hint="eastAsia" w:ascii="方正小标宋简体" w:hAnsi="方正小标宋简体" w:eastAsia="方正小标宋简体" w:cs="方正小标宋简体"/>
          <w:color w:val="000000"/>
          <w:sz w:val="40"/>
          <w:szCs w:val="40"/>
          <w:shd w:val="clear" w:color="auto" w:fill="FFFFFF"/>
        </w:rPr>
      </w:pPr>
      <w:r>
        <w:rPr>
          <w:rFonts w:hint="eastAsia" w:ascii="方正小标宋简体" w:hAnsi="方正小标宋简体" w:eastAsia="方正小标宋简体" w:cs="方正小标宋简体"/>
          <w:color w:val="000000"/>
          <w:sz w:val="40"/>
          <w:szCs w:val="40"/>
          <w:shd w:val="clear" w:color="auto" w:fill="FFFFFF"/>
        </w:rPr>
        <w:t>新员工试用期工作规划表</w:t>
      </w:r>
    </w:p>
    <w:tbl>
      <w:tblPr>
        <w:tblStyle w:val="15"/>
        <w:tblW w:w="762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04"/>
        <w:gridCol w:w="1908"/>
        <w:gridCol w:w="1860"/>
        <w:gridCol w:w="345"/>
        <w:gridCol w:w="22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0" w:hRule="atLeast"/>
        </w:trPr>
        <w:tc>
          <w:tcPr>
            <w:tcW w:w="129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办公室填写</w:t>
            </w:r>
          </w:p>
        </w:tc>
        <w:tc>
          <w:tcPr>
            <w:tcW w:w="186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部门：</w:t>
            </w:r>
          </w:p>
        </w:tc>
        <w:tc>
          <w:tcPr>
            <w:tcW w:w="2232"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新员工姓名：</w:t>
            </w:r>
          </w:p>
        </w:tc>
        <w:tc>
          <w:tcPr>
            <w:tcW w:w="222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入职日期：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0" w:hRule="atLeast"/>
        </w:trPr>
        <w:tc>
          <w:tcPr>
            <w:tcW w:w="129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_GB2312" w:hAnsi="仿宋" w:eastAsia="仿宋_GB2312" w:cs="仿宋"/>
                <w:color w:val="000000"/>
                <w:sz w:val="24"/>
                <w:szCs w:val="24"/>
              </w:rPr>
            </w:pPr>
          </w:p>
        </w:tc>
        <w:tc>
          <w:tcPr>
            <w:tcW w:w="186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职位：</w:t>
            </w:r>
          </w:p>
        </w:tc>
        <w:tc>
          <w:tcPr>
            <w:tcW w:w="4460"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直接上司：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12" w:hRule="atLeast"/>
        </w:trPr>
        <w:tc>
          <w:tcPr>
            <w:tcW w:w="129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入职</w:t>
            </w:r>
          </w:p>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时直</w:t>
            </w:r>
          </w:p>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接上</w:t>
            </w:r>
          </w:p>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司填</w:t>
            </w:r>
          </w:p>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写</w:t>
            </w:r>
          </w:p>
        </w:tc>
        <w:tc>
          <w:tcPr>
            <w:tcW w:w="186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试用期间</w:t>
            </w:r>
          </w:p>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需达到的</w:t>
            </w:r>
          </w:p>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工作目标</w:t>
            </w:r>
          </w:p>
        </w:tc>
        <w:tc>
          <w:tcPr>
            <w:tcW w:w="4460" w:type="dxa"/>
            <w:gridSpan w:val="3"/>
            <w:vMerge w:val="restart"/>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仿宋_GB2312" w:hAnsi="仿宋" w:eastAsia="仿宋_GB2312" w:cs="仿宋"/>
                <w:color w:val="000000"/>
                <w:sz w:val="24"/>
                <w:szCs w:val="24"/>
              </w:rPr>
            </w:pPr>
          </w:p>
          <w:p>
            <w:pPr>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仿宋_GB2312" w:hAnsi="仿宋" w:eastAsia="仿宋_GB2312" w:cs="仿宋"/>
                <w:color w:val="000000"/>
                <w:sz w:val="24"/>
                <w:szCs w:val="24"/>
              </w:rPr>
            </w:pPr>
          </w:p>
          <w:p>
            <w:pPr>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仿宋_GB2312" w:hAnsi="仿宋" w:eastAsia="仿宋_GB2312" w:cs="仿宋"/>
                <w:color w:val="000000"/>
                <w:sz w:val="24"/>
                <w:szCs w:val="24"/>
              </w:rPr>
            </w:pPr>
          </w:p>
          <w:p>
            <w:pPr>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仿宋_GB2312" w:hAnsi="仿宋" w:eastAsia="仿宋_GB2312" w:cs="仿宋"/>
                <w:color w:val="000000"/>
                <w:sz w:val="24"/>
                <w:szCs w:val="24"/>
              </w:rPr>
            </w:pPr>
          </w:p>
          <w:p>
            <w:pPr>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仿宋_GB2312" w:hAnsi="仿宋" w:eastAsia="仿宋_GB2312"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12" w:hRule="atLeast"/>
        </w:trPr>
        <w:tc>
          <w:tcPr>
            <w:tcW w:w="129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_GB2312" w:hAnsi="仿宋" w:eastAsia="仿宋_GB2312" w:cs="仿宋"/>
                <w:color w:val="000000"/>
                <w:sz w:val="24"/>
                <w:szCs w:val="24"/>
              </w:rPr>
            </w:pPr>
          </w:p>
        </w:tc>
        <w:tc>
          <w:tcPr>
            <w:tcW w:w="186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_GB2312" w:hAnsi="仿宋" w:eastAsia="仿宋_GB2312" w:cs="仿宋"/>
                <w:color w:val="000000"/>
                <w:sz w:val="24"/>
                <w:szCs w:val="24"/>
              </w:rPr>
            </w:pPr>
          </w:p>
        </w:tc>
        <w:tc>
          <w:tcPr>
            <w:tcW w:w="4460" w:type="dxa"/>
            <w:gridSpan w:val="3"/>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仿宋_GB2312" w:hAnsi="仿宋" w:eastAsia="仿宋_GB2312"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12" w:hRule="atLeast"/>
        </w:trPr>
        <w:tc>
          <w:tcPr>
            <w:tcW w:w="129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_GB2312" w:hAnsi="仿宋" w:eastAsia="仿宋_GB2312" w:cs="仿宋"/>
                <w:color w:val="000000"/>
                <w:sz w:val="24"/>
                <w:szCs w:val="24"/>
              </w:rPr>
            </w:pPr>
          </w:p>
        </w:tc>
        <w:tc>
          <w:tcPr>
            <w:tcW w:w="186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_GB2312" w:hAnsi="仿宋" w:eastAsia="仿宋_GB2312" w:cs="仿宋"/>
                <w:color w:val="000000"/>
                <w:sz w:val="24"/>
                <w:szCs w:val="24"/>
              </w:rPr>
            </w:pPr>
          </w:p>
        </w:tc>
        <w:tc>
          <w:tcPr>
            <w:tcW w:w="4460" w:type="dxa"/>
            <w:gridSpan w:val="3"/>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仿宋_GB2312" w:hAnsi="仿宋" w:eastAsia="仿宋_GB2312"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12" w:hRule="atLeast"/>
        </w:trPr>
        <w:tc>
          <w:tcPr>
            <w:tcW w:w="129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_GB2312" w:hAnsi="仿宋" w:eastAsia="仿宋_GB2312" w:cs="仿宋"/>
                <w:color w:val="000000"/>
                <w:sz w:val="24"/>
                <w:szCs w:val="24"/>
              </w:rPr>
            </w:pPr>
          </w:p>
        </w:tc>
        <w:tc>
          <w:tcPr>
            <w:tcW w:w="186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_GB2312" w:hAnsi="仿宋" w:eastAsia="仿宋_GB2312" w:cs="仿宋"/>
                <w:color w:val="000000"/>
                <w:sz w:val="24"/>
                <w:szCs w:val="24"/>
              </w:rPr>
            </w:pPr>
          </w:p>
        </w:tc>
        <w:tc>
          <w:tcPr>
            <w:tcW w:w="4460" w:type="dxa"/>
            <w:gridSpan w:val="3"/>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仿宋_GB2312" w:hAnsi="仿宋" w:eastAsia="仿宋_GB2312"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12" w:hRule="atLeast"/>
        </w:trPr>
        <w:tc>
          <w:tcPr>
            <w:tcW w:w="129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_GB2312" w:hAnsi="仿宋" w:eastAsia="仿宋_GB2312" w:cs="仿宋"/>
                <w:color w:val="000000"/>
                <w:sz w:val="24"/>
                <w:szCs w:val="24"/>
              </w:rPr>
            </w:pPr>
          </w:p>
        </w:tc>
        <w:tc>
          <w:tcPr>
            <w:tcW w:w="186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_GB2312" w:hAnsi="仿宋" w:eastAsia="仿宋_GB2312" w:cs="仿宋"/>
                <w:color w:val="000000"/>
                <w:sz w:val="24"/>
                <w:szCs w:val="24"/>
              </w:rPr>
            </w:pPr>
          </w:p>
        </w:tc>
        <w:tc>
          <w:tcPr>
            <w:tcW w:w="4460" w:type="dxa"/>
            <w:gridSpan w:val="3"/>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仿宋_GB2312" w:hAnsi="仿宋" w:eastAsia="仿宋_GB2312"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12" w:hRule="atLeast"/>
        </w:trPr>
        <w:tc>
          <w:tcPr>
            <w:tcW w:w="129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_GB2312" w:hAnsi="仿宋" w:eastAsia="仿宋_GB2312" w:cs="仿宋"/>
                <w:color w:val="000000"/>
                <w:sz w:val="24"/>
                <w:szCs w:val="24"/>
              </w:rPr>
            </w:pPr>
          </w:p>
        </w:tc>
        <w:tc>
          <w:tcPr>
            <w:tcW w:w="186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试用期间</w:t>
            </w:r>
          </w:p>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工作规划</w:t>
            </w:r>
          </w:p>
        </w:tc>
        <w:tc>
          <w:tcPr>
            <w:tcW w:w="182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第   个月</w:t>
            </w:r>
          </w:p>
        </w:tc>
        <w:tc>
          <w:tcPr>
            <w:tcW w:w="2634"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 w:eastAsia="仿宋_GB2312"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12" w:hRule="atLeast"/>
        </w:trPr>
        <w:tc>
          <w:tcPr>
            <w:tcW w:w="129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_GB2312" w:hAnsi="仿宋" w:eastAsia="仿宋_GB2312" w:cs="仿宋"/>
                <w:color w:val="000000"/>
                <w:sz w:val="24"/>
                <w:szCs w:val="24"/>
              </w:rPr>
            </w:pPr>
          </w:p>
        </w:tc>
        <w:tc>
          <w:tcPr>
            <w:tcW w:w="186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_GB2312" w:hAnsi="仿宋" w:eastAsia="仿宋_GB2312" w:cs="仿宋"/>
                <w:color w:val="000000"/>
                <w:sz w:val="24"/>
                <w:szCs w:val="24"/>
              </w:rPr>
            </w:pPr>
          </w:p>
        </w:tc>
        <w:tc>
          <w:tcPr>
            <w:tcW w:w="182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_GB2312" w:hAnsi="仿宋" w:eastAsia="仿宋_GB2312" w:cs="仿宋"/>
                <w:color w:val="000000"/>
                <w:sz w:val="24"/>
                <w:szCs w:val="24"/>
              </w:rPr>
            </w:pPr>
          </w:p>
        </w:tc>
        <w:tc>
          <w:tcPr>
            <w:tcW w:w="2634"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_GB2312" w:hAnsi="仿宋" w:eastAsia="仿宋_GB2312"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12" w:hRule="atLeast"/>
        </w:trPr>
        <w:tc>
          <w:tcPr>
            <w:tcW w:w="129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_GB2312" w:hAnsi="仿宋" w:eastAsia="仿宋_GB2312" w:cs="仿宋"/>
                <w:color w:val="000000"/>
                <w:sz w:val="24"/>
                <w:szCs w:val="24"/>
              </w:rPr>
            </w:pPr>
          </w:p>
        </w:tc>
        <w:tc>
          <w:tcPr>
            <w:tcW w:w="186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_GB2312" w:hAnsi="仿宋" w:eastAsia="仿宋_GB2312" w:cs="仿宋"/>
                <w:color w:val="000000"/>
                <w:sz w:val="24"/>
                <w:szCs w:val="24"/>
              </w:rPr>
            </w:pPr>
          </w:p>
        </w:tc>
        <w:tc>
          <w:tcPr>
            <w:tcW w:w="182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第    个月</w:t>
            </w:r>
          </w:p>
        </w:tc>
        <w:tc>
          <w:tcPr>
            <w:tcW w:w="2634"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 w:eastAsia="仿宋_GB2312"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12" w:hRule="atLeast"/>
        </w:trPr>
        <w:tc>
          <w:tcPr>
            <w:tcW w:w="129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_GB2312" w:hAnsi="仿宋" w:eastAsia="仿宋_GB2312" w:cs="仿宋"/>
                <w:color w:val="000000"/>
                <w:sz w:val="24"/>
                <w:szCs w:val="24"/>
              </w:rPr>
            </w:pPr>
          </w:p>
        </w:tc>
        <w:tc>
          <w:tcPr>
            <w:tcW w:w="186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_GB2312" w:hAnsi="仿宋" w:eastAsia="仿宋_GB2312" w:cs="仿宋"/>
                <w:color w:val="000000"/>
                <w:sz w:val="24"/>
                <w:szCs w:val="24"/>
              </w:rPr>
            </w:pPr>
          </w:p>
        </w:tc>
        <w:tc>
          <w:tcPr>
            <w:tcW w:w="182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_GB2312" w:hAnsi="仿宋" w:eastAsia="仿宋_GB2312" w:cs="仿宋"/>
                <w:color w:val="000000"/>
                <w:sz w:val="24"/>
                <w:szCs w:val="24"/>
              </w:rPr>
            </w:pPr>
          </w:p>
        </w:tc>
        <w:tc>
          <w:tcPr>
            <w:tcW w:w="2634"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_GB2312" w:hAnsi="仿宋" w:eastAsia="仿宋_GB2312"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12" w:hRule="atLeast"/>
        </w:trPr>
        <w:tc>
          <w:tcPr>
            <w:tcW w:w="129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_GB2312" w:hAnsi="仿宋" w:eastAsia="仿宋_GB2312" w:cs="仿宋"/>
                <w:color w:val="000000"/>
                <w:sz w:val="24"/>
                <w:szCs w:val="24"/>
              </w:rPr>
            </w:pPr>
          </w:p>
        </w:tc>
        <w:tc>
          <w:tcPr>
            <w:tcW w:w="186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_GB2312" w:hAnsi="仿宋" w:eastAsia="仿宋_GB2312" w:cs="仿宋"/>
                <w:color w:val="000000"/>
                <w:sz w:val="24"/>
                <w:szCs w:val="24"/>
              </w:rPr>
            </w:pPr>
          </w:p>
        </w:tc>
        <w:tc>
          <w:tcPr>
            <w:tcW w:w="182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第    个月</w:t>
            </w:r>
          </w:p>
        </w:tc>
        <w:tc>
          <w:tcPr>
            <w:tcW w:w="2634"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 w:eastAsia="仿宋_GB2312"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12" w:hRule="atLeast"/>
        </w:trPr>
        <w:tc>
          <w:tcPr>
            <w:tcW w:w="129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_GB2312" w:hAnsi="仿宋" w:eastAsia="仿宋_GB2312" w:cs="仿宋"/>
                <w:color w:val="000000"/>
                <w:sz w:val="24"/>
                <w:szCs w:val="24"/>
              </w:rPr>
            </w:pPr>
          </w:p>
        </w:tc>
        <w:tc>
          <w:tcPr>
            <w:tcW w:w="186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_GB2312" w:hAnsi="仿宋" w:eastAsia="仿宋_GB2312" w:cs="仿宋"/>
                <w:color w:val="000000"/>
                <w:sz w:val="24"/>
                <w:szCs w:val="24"/>
              </w:rPr>
            </w:pPr>
          </w:p>
        </w:tc>
        <w:tc>
          <w:tcPr>
            <w:tcW w:w="182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_GB2312" w:hAnsi="仿宋" w:eastAsia="仿宋_GB2312" w:cs="仿宋"/>
                <w:color w:val="000000"/>
                <w:sz w:val="24"/>
                <w:szCs w:val="24"/>
              </w:rPr>
            </w:pPr>
          </w:p>
        </w:tc>
        <w:tc>
          <w:tcPr>
            <w:tcW w:w="2634"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_GB2312" w:hAnsi="仿宋" w:eastAsia="仿宋_GB2312"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12" w:hRule="atLeast"/>
        </w:trPr>
        <w:tc>
          <w:tcPr>
            <w:tcW w:w="129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转正</w:t>
            </w:r>
          </w:p>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时直</w:t>
            </w:r>
          </w:p>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接上</w:t>
            </w:r>
          </w:p>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司填</w:t>
            </w:r>
          </w:p>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写</w:t>
            </w:r>
          </w:p>
        </w:tc>
        <w:tc>
          <w:tcPr>
            <w:tcW w:w="186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试用期间</w:t>
            </w:r>
          </w:p>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工作完成</w:t>
            </w:r>
          </w:p>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情况</w:t>
            </w:r>
          </w:p>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（具体量化）</w:t>
            </w:r>
          </w:p>
        </w:tc>
        <w:tc>
          <w:tcPr>
            <w:tcW w:w="182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工作质量</w:t>
            </w:r>
          </w:p>
        </w:tc>
        <w:tc>
          <w:tcPr>
            <w:tcW w:w="2634"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 w:eastAsia="仿宋_GB2312"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312" w:hRule="atLeast"/>
        </w:trPr>
        <w:tc>
          <w:tcPr>
            <w:tcW w:w="129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_GB2312" w:hAnsi="仿宋" w:eastAsia="仿宋_GB2312" w:cs="仿宋"/>
                <w:color w:val="000000"/>
                <w:sz w:val="24"/>
                <w:szCs w:val="24"/>
              </w:rPr>
            </w:pPr>
          </w:p>
        </w:tc>
        <w:tc>
          <w:tcPr>
            <w:tcW w:w="186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_GB2312" w:hAnsi="仿宋" w:eastAsia="仿宋_GB2312" w:cs="仿宋"/>
                <w:color w:val="000000"/>
                <w:sz w:val="24"/>
                <w:szCs w:val="24"/>
              </w:rPr>
            </w:pPr>
          </w:p>
        </w:tc>
        <w:tc>
          <w:tcPr>
            <w:tcW w:w="182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_GB2312" w:hAnsi="仿宋" w:eastAsia="仿宋_GB2312" w:cs="仿宋"/>
                <w:color w:val="000000"/>
                <w:sz w:val="24"/>
                <w:szCs w:val="24"/>
              </w:rPr>
            </w:pPr>
          </w:p>
        </w:tc>
        <w:tc>
          <w:tcPr>
            <w:tcW w:w="2634"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_GB2312" w:hAnsi="仿宋" w:eastAsia="仿宋_GB2312"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12" w:hRule="atLeast"/>
        </w:trPr>
        <w:tc>
          <w:tcPr>
            <w:tcW w:w="129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_GB2312" w:hAnsi="仿宋" w:eastAsia="仿宋_GB2312" w:cs="仿宋"/>
                <w:color w:val="000000"/>
                <w:sz w:val="24"/>
                <w:szCs w:val="24"/>
              </w:rPr>
            </w:pPr>
          </w:p>
        </w:tc>
        <w:tc>
          <w:tcPr>
            <w:tcW w:w="186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_GB2312" w:hAnsi="仿宋" w:eastAsia="仿宋_GB2312" w:cs="仿宋"/>
                <w:color w:val="000000"/>
                <w:sz w:val="24"/>
                <w:szCs w:val="24"/>
              </w:rPr>
            </w:pPr>
          </w:p>
        </w:tc>
        <w:tc>
          <w:tcPr>
            <w:tcW w:w="182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_GB2312" w:hAnsi="仿宋" w:eastAsia="仿宋_GB2312" w:cs="仿宋"/>
                <w:color w:val="000000"/>
                <w:sz w:val="24"/>
                <w:szCs w:val="24"/>
              </w:rPr>
            </w:pPr>
          </w:p>
        </w:tc>
        <w:tc>
          <w:tcPr>
            <w:tcW w:w="2634"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_GB2312" w:hAnsi="仿宋" w:eastAsia="仿宋_GB2312"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12" w:hRule="atLeast"/>
        </w:trPr>
        <w:tc>
          <w:tcPr>
            <w:tcW w:w="129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_GB2312" w:hAnsi="仿宋" w:eastAsia="仿宋_GB2312" w:cs="仿宋"/>
                <w:color w:val="000000"/>
                <w:sz w:val="24"/>
                <w:szCs w:val="24"/>
              </w:rPr>
            </w:pPr>
          </w:p>
        </w:tc>
        <w:tc>
          <w:tcPr>
            <w:tcW w:w="186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_GB2312" w:hAnsi="仿宋" w:eastAsia="仿宋_GB2312" w:cs="仿宋"/>
                <w:color w:val="000000"/>
                <w:sz w:val="24"/>
                <w:szCs w:val="24"/>
              </w:rPr>
            </w:pPr>
          </w:p>
        </w:tc>
        <w:tc>
          <w:tcPr>
            <w:tcW w:w="182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工作量</w:t>
            </w:r>
          </w:p>
        </w:tc>
        <w:tc>
          <w:tcPr>
            <w:tcW w:w="2634"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 w:eastAsia="仿宋_GB2312"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312" w:hRule="atLeast"/>
        </w:trPr>
        <w:tc>
          <w:tcPr>
            <w:tcW w:w="129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_GB2312" w:hAnsi="仿宋" w:eastAsia="仿宋_GB2312" w:cs="仿宋"/>
                <w:color w:val="000000"/>
                <w:sz w:val="24"/>
                <w:szCs w:val="24"/>
              </w:rPr>
            </w:pPr>
          </w:p>
        </w:tc>
        <w:tc>
          <w:tcPr>
            <w:tcW w:w="186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_GB2312" w:hAnsi="仿宋" w:eastAsia="仿宋_GB2312" w:cs="仿宋"/>
                <w:color w:val="000000"/>
                <w:sz w:val="24"/>
                <w:szCs w:val="24"/>
              </w:rPr>
            </w:pPr>
          </w:p>
        </w:tc>
        <w:tc>
          <w:tcPr>
            <w:tcW w:w="182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_GB2312" w:hAnsi="仿宋" w:eastAsia="仿宋_GB2312" w:cs="仿宋"/>
                <w:color w:val="000000"/>
                <w:sz w:val="24"/>
                <w:szCs w:val="24"/>
              </w:rPr>
            </w:pPr>
          </w:p>
        </w:tc>
        <w:tc>
          <w:tcPr>
            <w:tcW w:w="2634"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_GB2312" w:hAnsi="仿宋" w:eastAsia="仿宋_GB2312"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12" w:hRule="atLeast"/>
        </w:trPr>
        <w:tc>
          <w:tcPr>
            <w:tcW w:w="129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_GB2312" w:hAnsi="仿宋" w:eastAsia="仿宋_GB2312" w:cs="仿宋"/>
                <w:color w:val="000000"/>
                <w:sz w:val="24"/>
                <w:szCs w:val="24"/>
              </w:rPr>
            </w:pPr>
          </w:p>
        </w:tc>
        <w:tc>
          <w:tcPr>
            <w:tcW w:w="186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_GB2312" w:hAnsi="仿宋" w:eastAsia="仿宋_GB2312" w:cs="仿宋"/>
                <w:color w:val="000000"/>
                <w:sz w:val="24"/>
                <w:szCs w:val="24"/>
              </w:rPr>
            </w:pPr>
          </w:p>
        </w:tc>
        <w:tc>
          <w:tcPr>
            <w:tcW w:w="182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_GB2312" w:hAnsi="仿宋" w:eastAsia="仿宋_GB2312" w:cs="仿宋"/>
                <w:color w:val="000000"/>
                <w:sz w:val="24"/>
                <w:szCs w:val="24"/>
              </w:rPr>
            </w:pPr>
          </w:p>
        </w:tc>
        <w:tc>
          <w:tcPr>
            <w:tcW w:w="2634"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_GB2312" w:hAnsi="仿宋" w:eastAsia="仿宋_GB2312"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12" w:hRule="atLeast"/>
        </w:trPr>
        <w:tc>
          <w:tcPr>
            <w:tcW w:w="129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_GB2312" w:hAnsi="仿宋" w:eastAsia="仿宋_GB2312" w:cs="仿宋"/>
                <w:color w:val="000000"/>
                <w:sz w:val="24"/>
                <w:szCs w:val="24"/>
              </w:rPr>
            </w:pPr>
          </w:p>
        </w:tc>
        <w:tc>
          <w:tcPr>
            <w:tcW w:w="186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_GB2312" w:hAnsi="仿宋" w:eastAsia="仿宋_GB2312" w:cs="仿宋"/>
                <w:color w:val="000000"/>
                <w:sz w:val="24"/>
                <w:szCs w:val="24"/>
              </w:rPr>
            </w:pPr>
          </w:p>
        </w:tc>
        <w:tc>
          <w:tcPr>
            <w:tcW w:w="182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工作效率</w:t>
            </w:r>
          </w:p>
        </w:tc>
        <w:tc>
          <w:tcPr>
            <w:tcW w:w="2634"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 w:eastAsia="仿宋_GB2312"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12" w:hRule="atLeast"/>
        </w:trPr>
        <w:tc>
          <w:tcPr>
            <w:tcW w:w="129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_GB2312" w:hAnsi="仿宋" w:eastAsia="仿宋_GB2312" w:cs="仿宋"/>
                <w:color w:val="000000"/>
                <w:sz w:val="24"/>
                <w:szCs w:val="24"/>
              </w:rPr>
            </w:pPr>
          </w:p>
        </w:tc>
        <w:tc>
          <w:tcPr>
            <w:tcW w:w="186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 w:eastAsia="仿宋_GB2312" w:cs="仿宋"/>
                <w:color w:val="000000"/>
                <w:sz w:val="24"/>
                <w:szCs w:val="24"/>
              </w:rPr>
            </w:pPr>
          </w:p>
        </w:tc>
        <w:tc>
          <w:tcPr>
            <w:tcW w:w="182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_GB2312" w:hAnsi="仿宋" w:eastAsia="仿宋_GB2312" w:cs="仿宋"/>
                <w:color w:val="000000"/>
                <w:sz w:val="24"/>
                <w:szCs w:val="24"/>
              </w:rPr>
            </w:pPr>
          </w:p>
        </w:tc>
        <w:tc>
          <w:tcPr>
            <w:tcW w:w="2634"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_GB2312" w:hAnsi="仿宋" w:eastAsia="仿宋_GB2312"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12" w:hRule="atLeast"/>
        </w:trPr>
        <w:tc>
          <w:tcPr>
            <w:tcW w:w="129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_GB2312" w:hAnsi="仿宋" w:eastAsia="仿宋_GB2312" w:cs="仿宋"/>
                <w:color w:val="000000"/>
                <w:sz w:val="24"/>
                <w:szCs w:val="24"/>
              </w:rPr>
            </w:pPr>
          </w:p>
        </w:tc>
        <w:tc>
          <w:tcPr>
            <w:tcW w:w="186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 w:eastAsia="仿宋_GB2312" w:cs="仿宋"/>
                <w:color w:val="000000"/>
                <w:sz w:val="24"/>
                <w:szCs w:val="24"/>
              </w:rPr>
            </w:pPr>
          </w:p>
        </w:tc>
        <w:tc>
          <w:tcPr>
            <w:tcW w:w="182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_GB2312" w:hAnsi="仿宋" w:eastAsia="仿宋_GB2312" w:cs="仿宋"/>
                <w:color w:val="000000"/>
                <w:sz w:val="24"/>
                <w:szCs w:val="24"/>
              </w:rPr>
            </w:pPr>
          </w:p>
        </w:tc>
        <w:tc>
          <w:tcPr>
            <w:tcW w:w="2634"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_GB2312" w:hAnsi="仿宋" w:eastAsia="仿宋_GB2312"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12" w:hRule="atLeast"/>
        </w:trPr>
        <w:tc>
          <w:tcPr>
            <w:tcW w:w="129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_GB2312" w:hAnsi="仿宋" w:eastAsia="仿宋_GB2312" w:cs="仿宋"/>
                <w:color w:val="000000"/>
                <w:sz w:val="24"/>
                <w:szCs w:val="24"/>
              </w:rPr>
            </w:pPr>
          </w:p>
        </w:tc>
        <w:tc>
          <w:tcPr>
            <w:tcW w:w="186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确认</w:t>
            </w:r>
          </w:p>
        </w:tc>
        <w:tc>
          <w:tcPr>
            <w:tcW w:w="1826" w:type="dxa"/>
            <w:vMerge w:val="restart"/>
            <w:noWrap w:val="0"/>
            <w:vAlign w:val="top"/>
          </w:tcPr>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新员工签名</w:t>
            </w:r>
          </w:p>
        </w:tc>
        <w:tc>
          <w:tcPr>
            <w:tcW w:w="2634" w:type="dxa"/>
            <w:gridSpan w:val="2"/>
            <w:vMerge w:val="restart"/>
            <w:noWrap w:val="0"/>
            <w:vAlign w:val="top"/>
          </w:tcPr>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直接上司签名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12" w:hRule="atLeast"/>
        </w:trPr>
        <w:tc>
          <w:tcPr>
            <w:tcW w:w="129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_GB2312" w:hAnsi="仿宋" w:eastAsia="仿宋_GB2312" w:cs="仿宋"/>
                <w:color w:val="000000"/>
                <w:sz w:val="24"/>
                <w:szCs w:val="24"/>
              </w:rPr>
            </w:pPr>
          </w:p>
        </w:tc>
        <w:tc>
          <w:tcPr>
            <w:tcW w:w="186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_GB2312" w:hAnsi="仿宋" w:eastAsia="仿宋_GB2312" w:cs="仿宋"/>
                <w:color w:val="000000"/>
                <w:sz w:val="24"/>
                <w:szCs w:val="24"/>
              </w:rPr>
            </w:pPr>
          </w:p>
        </w:tc>
        <w:tc>
          <w:tcPr>
            <w:tcW w:w="182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_GB2312" w:hAnsi="仿宋" w:eastAsia="仿宋_GB2312" w:cs="仿宋"/>
                <w:color w:val="000000"/>
                <w:sz w:val="24"/>
                <w:szCs w:val="24"/>
              </w:rPr>
            </w:pPr>
          </w:p>
        </w:tc>
        <w:tc>
          <w:tcPr>
            <w:tcW w:w="2634"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_GB2312" w:hAnsi="仿宋" w:eastAsia="仿宋_GB2312"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0" w:hRule="atLeast"/>
        </w:trPr>
        <w:tc>
          <w:tcPr>
            <w:tcW w:w="0" w:type="auto"/>
            <w:gridSpan w:val="5"/>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该表格中工作内容的完成情况（按时、按质、按量），为是否符合录用条件的依据，请试用期员工认真完成表格中的工作目标。</w:t>
            </w:r>
          </w:p>
        </w:tc>
      </w:tr>
    </w:tbl>
    <w:p>
      <w:pPr>
        <w:keepNext w:val="0"/>
        <w:keepLines w:val="0"/>
        <w:pageBreakBefore w:val="0"/>
        <w:widowControl w:val="0"/>
        <w:shd w:val="solid" w:color="FFFFFF" w:fill="auto"/>
        <w:wordWrap/>
        <w:autoSpaceDN w:val="0"/>
        <w:bidi w:val="0"/>
        <w:spacing w:after="0" w:line="500" w:lineRule="exact"/>
        <w:outlineLvl w:val="0"/>
        <w:rPr>
          <w:rFonts w:ascii="仿宋_GB2312" w:hAnsi="宋体" w:eastAsia="仿宋_GB2312" w:cs="宋体"/>
          <w:color w:val="000000"/>
          <w:sz w:val="28"/>
          <w:szCs w:val="28"/>
          <w:shd w:val="clear" w:color="auto" w:fill="FFFFFF"/>
        </w:rPr>
      </w:pPr>
      <w:r>
        <w:rPr>
          <w:rFonts w:hint="eastAsia" w:ascii="仿宋_GB2312" w:hAnsi="宋体" w:eastAsia="仿宋_GB2312" w:cs="宋体"/>
          <w:b/>
          <w:color w:val="000000"/>
          <w:sz w:val="28"/>
          <w:szCs w:val="28"/>
          <w:shd w:val="clear" w:color="auto" w:fill="FFFFFF"/>
        </w:rPr>
        <w:br w:type="page"/>
      </w:r>
      <w:bookmarkStart w:id="120" w:name="_Toc18008"/>
      <w:r>
        <w:rPr>
          <w:rFonts w:hint="eastAsia" w:ascii="黑体" w:hAnsi="黑体" w:eastAsia="黑体" w:cs="黑体"/>
          <w:color w:val="000000"/>
          <w:sz w:val="28"/>
          <w:szCs w:val="28"/>
        </w:rPr>
        <w:t>附件二：《员工转正考核表》</w:t>
      </w:r>
      <w:bookmarkEnd w:id="120"/>
    </w:p>
    <w:p>
      <w:pPr>
        <w:keepNext w:val="0"/>
        <w:keepLines w:val="0"/>
        <w:pageBreakBefore w:val="0"/>
        <w:widowControl w:val="0"/>
        <w:shd w:val="solid" w:color="FFFFFF" w:fill="auto"/>
        <w:kinsoku/>
        <w:wordWrap/>
        <w:overflowPunct/>
        <w:topLinePunct w:val="0"/>
        <w:autoSpaceDE/>
        <w:autoSpaceDN w:val="0"/>
        <w:bidi w:val="0"/>
        <w:adjustRightInd/>
        <w:snapToGrid/>
        <w:spacing w:before="227" w:beforeLines="50" w:after="457" w:afterLines="100" w:line="500" w:lineRule="exact"/>
        <w:jc w:val="center"/>
        <w:textAlignment w:val="auto"/>
        <w:rPr>
          <w:rFonts w:ascii="仿宋_GB2312" w:eastAsia="仿宋_GB2312"/>
          <w:vanish/>
          <w:color w:val="000000"/>
          <w:sz w:val="28"/>
          <w:szCs w:val="28"/>
        </w:rPr>
      </w:pPr>
      <w:r>
        <w:rPr>
          <w:rFonts w:hint="eastAsia" w:ascii="方正小标宋简体" w:hAnsi="方正小标宋简体" w:eastAsia="方正小标宋简体" w:cs="方正小标宋简体"/>
          <w:color w:val="000000"/>
          <w:sz w:val="40"/>
          <w:szCs w:val="40"/>
          <w:shd w:val="clear" w:color="auto" w:fill="FFFFFF"/>
        </w:rPr>
        <w:t>员工转正考核表</w:t>
      </w:r>
    </w:p>
    <w:tbl>
      <w:tblPr>
        <w:tblStyle w:val="1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3"/>
        <w:gridCol w:w="1313"/>
        <w:gridCol w:w="1313"/>
        <w:gridCol w:w="1313"/>
        <w:gridCol w:w="850"/>
        <w:gridCol w:w="416"/>
        <w:gridCol w:w="377"/>
        <w:gridCol w:w="363"/>
        <w:gridCol w:w="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869" w:type="pct"/>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 w:eastAsia="仿宋_GB2312" w:cs="仿宋"/>
                <w:color w:val="000000"/>
                <w:spacing w:val="20"/>
                <w:sz w:val="24"/>
                <w:szCs w:val="24"/>
              </w:rPr>
            </w:pPr>
            <w:r>
              <w:rPr>
                <w:rFonts w:hint="eastAsia" w:ascii="仿宋_GB2312" w:hAnsi="仿宋" w:eastAsia="仿宋_GB2312" w:cs="仿宋"/>
                <w:color w:val="000000"/>
                <w:spacing w:val="20"/>
                <w:sz w:val="24"/>
                <w:szCs w:val="24"/>
              </w:rPr>
              <w:t>姓名</w:t>
            </w:r>
          </w:p>
        </w:tc>
        <w:tc>
          <w:tcPr>
            <w:tcW w:w="869" w:type="pct"/>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 w:eastAsia="仿宋_GB2312" w:cs="仿宋"/>
                <w:color w:val="000000"/>
                <w:position w:val="10"/>
                <w:sz w:val="24"/>
                <w:szCs w:val="24"/>
              </w:rPr>
            </w:pPr>
          </w:p>
        </w:tc>
        <w:tc>
          <w:tcPr>
            <w:tcW w:w="869" w:type="pct"/>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 w:eastAsia="仿宋_GB2312" w:cs="仿宋"/>
                <w:color w:val="000000"/>
                <w:position w:val="10"/>
                <w:sz w:val="24"/>
                <w:szCs w:val="24"/>
              </w:rPr>
            </w:pPr>
            <w:r>
              <w:rPr>
                <w:rFonts w:hint="eastAsia" w:ascii="仿宋_GB2312" w:hAnsi="仿宋" w:eastAsia="仿宋_GB2312" w:cs="仿宋"/>
                <w:color w:val="000000"/>
                <w:position w:val="10"/>
                <w:sz w:val="24"/>
                <w:szCs w:val="24"/>
              </w:rPr>
              <w:t>部门</w:t>
            </w:r>
          </w:p>
        </w:tc>
        <w:tc>
          <w:tcPr>
            <w:tcW w:w="869" w:type="pct"/>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 w:eastAsia="仿宋_GB2312" w:cs="仿宋"/>
                <w:color w:val="000000"/>
                <w:position w:val="10"/>
                <w:sz w:val="24"/>
                <w:szCs w:val="24"/>
              </w:rPr>
            </w:pPr>
          </w:p>
        </w:tc>
        <w:tc>
          <w:tcPr>
            <w:tcW w:w="81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 w:eastAsia="仿宋_GB2312" w:cs="仿宋"/>
                <w:color w:val="000000"/>
                <w:position w:val="10"/>
                <w:sz w:val="24"/>
                <w:szCs w:val="24"/>
              </w:rPr>
            </w:pPr>
            <w:r>
              <w:rPr>
                <w:rFonts w:hint="eastAsia" w:ascii="仿宋_GB2312" w:hAnsi="仿宋" w:eastAsia="仿宋_GB2312" w:cs="仿宋"/>
                <w:color w:val="000000"/>
                <w:position w:val="10"/>
                <w:sz w:val="24"/>
                <w:szCs w:val="24"/>
              </w:rPr>
              <w:t>职位</w:t>
            </w:r>
          </w:p>
        </w:tc>
        <w:tc>
          <w:tcPr>
            <w:tcW w:w="707" w:type="pct"/>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 w:eastAsia="仿宋_GB2312" w:cs="仿宋"/>
                <w:color w:val="000000"/>
                <w:position w:val="1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6" w:hRule="atLeast"/>
        </w:trPr>
        <w:tc>
          <w:tcPr>
            <w:tcW w:w="869" w:type="pct"/>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 w:eastAsia="仿宋_GB2312" w:cs="仿宋"/>
                <w:color w:val="000000"/>
                <w:spacing w:val="20"/>
                <w:sz w:val="24"/>
                <w:szCs w:val="24"/>
              </w:rPr>
            </w:pPr>
            <w:r>
              <w:rPr>
                <w:rFonts w:hint="eastAsia" w:ascii="仿宋_GB2312" w:hAnsi="仿宋" w:eastAsia="仿宋_GB2312" w:cs="仿宋"/>
                <w:color w:val="000000"/>
                <w:spacing w:val="20"/>
                <w:sz w:val="24"/>
                <w:szCs w:val="24"/>
              </w:rPr>
              <w:t>入职日期</w:t>
            </w:r>
          </w:p>
        </w:tc>
        <w:tc>
          <w:tcPr>
            <w:tcW w:w="869" w:type="pct"/>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 w:eastAsia="仿宋_GB2312" w:cs="仿宋"/>
                <w:color w:val="000000"/>
                <w:position w:val="10"/>
                <w:sz w:val="24"/>
                <w:szCs w:val="24"/>
              </w:rPr>
            </w:pPr>
          </w:p>
        </w:tc>
        <w:tc>
          <w:tcPr>
            <w:tcW w:w="869" w:type="pct"/>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 w:eastAsia="仿宋_GB2312" w:cs="仿宋"/>
                <w:color w:val="000000"/>
                <w:position w:val="10"/>
                <w:sz w:val="24"/>
                <w:szCs w:val="24"/>
              </w:rPr>
            </w:pPr>
            <w:r>
              <w:rPr>
                <w:rFonts w:hint="eastAsia" w:ascii="仿宋_GB2312" w:hAnsi="仿宋" w:eastAsia="仿宋_GB2312" w:cs="仿宋"/>
                <w:color w:val="000000"/>
                <w:position w:val="10"/>
                <w:sz w:val="24"/>
                <w:szCs w:val="24"/>
              </w:rPr>
              <w:t>考核期</w:t>
            </w:r>
          </w:p>
        </w:tc>
        <w:tc>
          <w:tcPr>
            <w:tcW w:w="2392" w:type="pct"/>
            <w:gridSpan w:val="6"/>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firstLine="362" w:firstLineChars="200"/>
              <w:jc w:val="center"/>
              <w:textAlignment w:val="auto"/>
              <w:rPr>
                <w:rFonts w:hint="eastAsia" w:ascii="仿宋_GB2312" w:hAnsi="仿宋" w:eastAsia="仿宋_GB2312" w:cs="仿宋"/>
                <w:color w:val="000000"/>
                <w:spacing w:val="-20"/>
                <w:sz w:val="24"/>
                <w:szCs w:val="24"/>
              </w:rPr>
            </w:pPr>
            <w:r>
              <w:rPr>
                <w:rFonts w:hint="eastAsia" w:ascii="仿宋_GB2312" w:hAnsi="仿宋" w:eastAsia="仿宋_GB2312" w:cs="仿宋"/>
                <w:color w:val="000000"/>
                <w:spacing w:val="-20"/>
                <w:sz w:val="24"/>
                <w:szCs w:val="24"/>
              </w:rPr>
              <w:t>从        年      月       日</w:t>
            </w:r>
          </w:p>
          <w:p>
            <w:pPr>
              <w:keepNext w:val="0"/>
              <w:keepLines w:val="0"/>
              <w:pageBreakBefore w:val="0"/>
              <w:widowControl w:val="0"/>
              <w:kinsoku/>
              <w:wordWrap/>
              <w:overflowPunct/>
              <w:topLinePunct w:val="0"/>
              <w:autoSpaceDE/>
              <w:autoSpaceDN/>
              <w:bidi w:val="0"/>
              <w:adjustRightInd/>
              <w:snapToGrid/>
              <w:spacing w:after="0" w:line="400" w:lineRule="exact"/>
              <w:ind w:firstLine="362" w:firstLineChars="200"/>
              <w:jc w:val="center"/>
              <w:textAlignment w:val="auto"/>
              <w:rPr>
                <w:rFonts w:hint="eastAsia" w:ascii="仿宋_GB2312" w:hAnsi="仿宋" w:eastAsia="仿宋_GB2312" w:cs="仿宋"/>
                <w:color w:val="000000"/>
                <w:position w:val="10"/>
                <w:sz w:val="24"/>
                <w:szCs w:val="24"/>
              </w:rPr>
            </w:pPr>
            <w:r>
              <w:rPr>
                <w:rFonts w:hint="eastAsia" w:ascii="仿宋_GB2312" w:hAnsi="仿宋" w:eastAsia="仿宋_GB2312" w:cs="仿宋"/>
                <w:color w:val="000000"/>
                <w:spacing w:val="-20"/>
                <w:sz w:val="24"/>
                <w:szCs w:val="24"/>
              </w:rPr>
              <w:t>到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040" w:type="pct"/>
            <w:gridSpan w:val="5"/>
            <w:vMerge w:val="restart"/>
            <w:tcBorders>
              <w:tl2br w:val="single" w:color="auto" w:sz="4" w:space="0"/>
            </w:tcBorders>
            <w:noWrap w:val="0"/>
            <w:vAlign w:val="center"/>
          </w:tcPr>
          <w:p>
            <w:pPr>
              <w:keepNext w:val="0"/>
              <w:keepLines w:val="0"/>
              <w:pageBreakBefore w:val="0"/>
              <w:widowControl w:val="0"/>
              <w:tabs>
                <w:tab w:val="left" w:pos="3660"/>
              </w:tabs>
              <w:kinsoku/>
              <w:wordWrap/>
              <w:overflowPunct/>
              <w:topLinePunct w:val="0"/>
              <w:autoSpaceDE/>
              <w:autoSpaceDN/>
              <w:bidi w:val="0"/>
              <w:adjustRightInd/>
              <w:snapToGrid/>
              <w:spacing w:after="0" w:line="400" w:lineRule="exact"/>
              <w:ind w:firstLine="362" w:firstLineChars="200"/>
              <w:jc w:val="center"/>
              <w:textAlignment w:val="auto"/>
              <w:rPr>
                <w:rFonts w:hint="eastAsia" w:ascii="仿宋_GB2312" w:hAnsi="仿宋" w:eastAsia="仿宋_GB2312" w:cs="仿宋"/>
                <w:color w:val="000000"/>
                <w:spacing w:val="-20"/>
                <w:sz w:val="24"/>
                <w:szCs w:val="24"/>
              </w:rPr>
            </w:pPr>
            <w:r>
              <w:rPr>
                <w:rFonts w:hint="eastAsia" w:ascii="仿宋_GB2312" w:hAnsi="仿宋" w:eastAsia="仿宋_GB2312" w:cs="仿宋"/>
                <w:color w:val="000000"/>
                <w:spacing w:val="-20"/>
                <w:sz w:val="24"/>
                <w:szCs w:val="24"/>
              </w:rPr>
              <w:t>评     价</w:t>
            </w:r>
          </w:p>
          <w:p>
            <w:pPr>
              <w:keepNext w:val="0"/>
              <w:keepLines w:val="0"/>
              <w:pageBreakBefore w:val="0"/>
              <w:widowControl w:val="0"/>
              <w:tabs>
                <w:tab w:val="left" w:pos="3660"/>
              </w:tabs>
              <w:kinsoku/>
              <w:wordWrap/>
              <w:overflowPunct/>
              <w:topLinePunct w:val="0"/>
              <w:autoSpaceDE/>
              <w:autoSpaceDN/>
              <w:bidi w:val="0"/>
              <w:adjustRightInd/>
              <w:snapToGrid/>
              <w:spacing w:after="0" w:line="400" w:lineRule="exact"/>
              <w:ind w:firstLine="522" w:firstLineChars="200"/>
              <w:jc w:val="center"/>
              <w:textAlignment w:val="auto"/>
              <w:rPr>
                <w:rFonts w:hint="eastAsia" w:ascii="仿宋_GB2312" w:hAnsi="仿宋" w:eastAsia="仿宋_GB2312" w:cs="仿宋"/>
                <w:color w:val="000000"/>
                <w:spacing w:val="20"/>
                <w:sz w:val="24"/>
                <w:szCs w:val="24"/>
              </w:rPr>
            </w:pPr>
            <w:r>
              <w:rPr>
                <w:rFonts w:hint="eastAsia" w:ascii="仿宋_GB2312" w:hAnsi="仿宋" w:eastAsia="仿宋_GB2312" w:cs="仿宋"/>
                <w:color w:val="000000"/>
                <w:spacing w:val="20"/>
                <w:sz w:val="24"/>
                <w:szCs w:val="24"/>
              </w:rPr>
              <w:t>考核内容</w:t>
            </w:r>
          </w:p>
        </w:tc>
        <w:tc>
          <w:tcPr>
            <w:tcW w:w="959" w:type="pct"/>
            <w:gridSpan w:val="4"/>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 w:eastAsia="仿宋_GB2312" w:cs="仿宋"/>
                <w:color w:val="000000"/>
                <w:position w:val="2"/>
                <w:sz w:val="24"/>
                <w:szCs w:val="24"/>
              </w:rPr>
            </w:pPr>
            <w:r>
              <w:rPr>
                <w:rFonts w:hint="eastAsia" w:ascii="仿宋_GB2312" w:hAnsi="仿宋" w:eastAsia="仿宋_GB2312" w:cs="仿宋"/>
                <w:color w:val="000000"/>
                <w:position w:val="10"/>
                <w:sz w:val="24"/>
                <w:szCs w:val="24"/>
              </w:rPr>
              <w:t>用人部门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040" w:type="pct"/>
            <w:gridSpan w:val="5"/>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 w:eastAsia="仿宋_GB2312" w:cs="仿宋"/>
                <w:color w:val="000000"/>
                <w:spacing w:val="-20"/>
                <w:sz w:val="24"/>
                <w:szCs w:val="24"/>
              </w:rPr>
            </w:pPr>
          </w:p>
        </w:tc>
        <w:tc>
          <w:tcPr>
            <w:tcW w:w="251" w:type="pct"/>
            <w:noWrap w:val="0"/>
            <w:vAlign w:val="center"/>
          </w:tcPr>
          <w:p>
            <w:pPr>
              <w:keepNext w:val="0"/>
              <w:keepLines w:val="0"/>
              <w:pageBreakBefore w:val="0"/>
              <w:widowControl w:val="0"/>
              <w:tabs>
                <w:tab w:val="left" w:pos="35"/>
              </w:tabs>
              <w:kinsoku/>
              <w:wordWrap/>
              <w:overflowPunct/>
              <w:topLinePunct w:val="0"/>
              <w:autoSpaceDE/>
              <w:autoSpaceDN/>
              <w:bidi w:val="0"/>
              <w:adjustRightInd/>
              <w:snapToGrid/>
              <w:spacing w:after="0" w:line="400" w:lineRule="exact"/>
              <w:jc w:val="center"/>
              <w:textAlignment w:val="auto"/>
              <w:rPr>
                <w:rFonts w:hint="eastAsia" w:ascii="仿宋_GB2312" w:hAnsi="仿宋" w:eastAsia="仿宋_GB2312" w:cs="仿宋"/>
                <w:color w:val="000000"/>
                <w:spacing w:val="-20"/>
                <w:sz w:val="24"/>
                <w:szCs w:val="24"/>
              </w:rPr>
            </w:pPr>
            <w:r>
              <w:rPr>
                <w:rFonts w:hint="eastAsia" w:ascii="仿宋_GB2312" w:hAnsi="仿宋" w:eastAsia="仿宋_GB2312" w:cs="仿宋"/>
                <w:color w:val="000000"/>
                <w:spacing w:val="-20"/>
                <w:sz w:val="24"/>
                <w:szCs w:val="24"/>
              </w:rPr>
              <w:t>10</w:t>
            </w:r>
          </w:p>
        </w:tc>
        <w:tc>
          <w:tcPr>
            <w:tcW w:w="251" w:type="pct"/>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 w:eastAsia="仿宋_GB2312" w:cs="仿宋"/>
                <w:color w:val="000000"/>
                <w:spacing w:val="-20"/>
                <w:sz w:val="24"/>
                <w:szCs w:val="24"/>
              </w:rPr>
            </w:pPr>
            <w:r>
              <w:rPr>
                <w:rFonts w:hint="eastAsia" w:ascii="仿宋_GB2312" w:hAnsi="仿宋" w:eastAsia="仿宋_GB2312" w:cs="仿宋"/>
                <w:color w:val="000000"/>
                <w:spacing w:val="-20"/>
                <w:sz w:val="24"/>
                <w:szCs w:val="24"/>
              </w:rPr>
              <w:t>8</w:t>
            </w:r>
          </w:p>
        </w:tc>
        <w:tc>
          <w:tcPr>
            <w:tcW w:w="242" w:type="pct"/>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 w:eastAsia="仿宋_GB2312" w:cs="仿宋"/>
                <w:color w:val="000000"/>
                <w:spacing w:val="-20"/>
                <w:sz w:val="24"/>
                <w:szCs w:val="24"/>
              </w:rPr>
            </w:pPr>
            <w:r>
              <w:rPr>
                <w:rFonts w:hint="eastAsia" w:ascii="仿宋_GB2312" w:hAnsi="仿宋" w:eastAsia="仿宋_GB2312" w:cs="仿宋"/>
                <w:color w:val="000000"/>
                <w:spacing w:val="-20"/>
                <w:sz w:val="24"/>
                <w:szCs w:val="24"/>
              </w:rPr>
              <w:t>6</w:t>
            </w:r>
          </w:p>
        </w:tc>
        <w:tc>
          <w:tcPr>
            <w:tcW w:w="214" w:type="pct"/>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 w:eastAsia="仿宋_GB2312" w:cs="仿宋"/>
                <w:color w:val="000000"/>
                <w:spacing w:val="-20"/>
                <w:sz w:val="24"/>
                <w:szCs w:val="24"/>
              </w:rPr>
            </w:pPr>
            <w:r>
              <w:rPr>
                <w:rFonts w:hint="eastAsia" w:ascii="仿宋_GB2312" w:hAnsi="仿宋" w:eastAsia="仿宋_GB2312" w:cs="仿宋"/>
                <w:color w:val="000000"/>
                <w:spacing w:val="-2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040" w:type="pct"/>
            <w:gridSpan w:val="5"/>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1769" w:hanging="1499" w:hangingChars="678"/>
              <w:textAlignment w:val="auto"/>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1、工作质量：是否能够按时、按质、按量完成工作任务。是否经常出错，是否需要督导才能达到平均水准，或保持标准要求，超出预期目标。</w:t>
            </w:r>
          </w:p>
        </w:tc>
        <w:tc>
          <w:tcPr>
            <w:tcW w:w="251" w:type="pct"/>
            <w:noWrap w:val="0"/>
            <w:textDirection w:val="tbRlV"/>
            <w:vAlign w:val="center"/>
          </w:tcPr>
          <w:p>
            <w:pPr>
              <w:keepNext w:val="0"/>
              <w:keepLines w:val="0"/>
              <w:pageBreakBefore w:val="0"/>
              <w:widowControl w:val="0"/>
              <w:tabs>
                <w:tab w:val="left" w:pos="35"/>
              </w:tabs>
              <w:kinsoku/>
              <w:wordWrap/>
              <w:overflowPunct/>
              <w:topLinePunct w:val="0"/>
              <w:autoSpaceDE/>
              <w:autoSpaceDN/>
              <w:bidi w:val="0"/>
              <w:adjustRightInd/>
              <w:snapToGrid/>
              <w:spacing w:after="0" w:line="400" w:lineRule="exact"/>
              <w:ind w:left="113" w:right="113"/>
              <w:jc w:val="center"/>
              <w:textAlignment w:val="auto"/>
              <w:rPr>
                <w:rFonts w:hint="eastAsia" w:ascii="仿宋_GB2312" w:hAnsi="仿宋" w:eastAsia="仿宋_GB2312" w:cs="仿宋"/>
                <w:color w:val="000000"/>
                <w:sz w:val="24"/>
                <w:szCs w:val="24"/>
              </w:rPr>
            </w:pPr>
          </w:p>
        </w:tc>
        <w:tc>
          <w:tcPr>
            <w:tcW w:w="251" w:type="pct"/>
            <w:noWrap w:val="0"/>
            <w:textDirection w:val="tbRlV"/>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113" w:right="113"/>
              <w:jc w:val="center"/>
              <w:textAlignment w:val="auto"/>
              <w:rPr>
                <w:rFonts w:hint="eastAsia" w:ascii="仿宋_GB2312" w:hAnsi="仿宋" w:eastAsia="仿宋_GB2312" w:cs="仿宋"/>
                <w:color w:val="000000"/>
                <w:sz w:val="24"/>
                <w:szCs w:val="24"/>
              </w:rPr>
            </w:pPr>
          </w:p>
        </w:tc>
        <w:tc>
          <w:tcPr>
            <w:tcW w:w="242" w:type="pct"/>
            <w:noWrap w:val="0"/>
            <w:textDirection w:val="tbRlV"/>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113" w:right="113"/>
              <w:jc w:val="center"/>
              <w:textAlignment w:val="auto"/>
              <w:rPr>
                <w:rFonts w:hint="eastAsia" w:ascii="仿宋_GB2312" w:hAnsi="仿宋" w:eastAsia="仿宋_GB2312" w:cs="仿宋"/>
                <w:color w:val="000000"/>
                <w:sz w:val="24"/>
                <w:szCs w:val="24"/>
              </w:rPr>
            </w:pPr>
          </w:p>
        </w:tc>
        <w:tc>
          <w:tcPr>
            <w:tcW w:w="214" w:type="pct"/>
            <w:noWrap w:val="0"/>
            <w:textDirection w:val="tbRlV"/>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113" w:right="113"/>
              <w:jc w:val="center"/>
              <w:textAlignment w:val="auto"/>
              <w:rPr>
                <w:rFonts w:hint="eastAsia" w:ascii="仿宋_GB2312" w:hAnsi="仿宋" w:eastAsia="仿宋_GB2312"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040" w:type="pct"/>
            <w:gridSpan w:val="5"/>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1826" w:hanging="1547" w:hangingChars="700"/>
              <w:textAlignment w:val="auto"/>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2、工作表现：工作是否积极主动，对下达工作不用监督就能完成，并能主动接受任务，充分发挥优势。</w:t>
            </w:r>
          </w:p>
        </w:tc>
        <w:tc>
          <w:tcPr>
            <w:tcW w:w="251" w:type="pct"/>
            <w:noWrap w:val="0"/>
            <w:textDirection w:val="tbRlV"/>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113" w:right="113"/>
              <w:jc w:val="center"/>
              <w:textAlignment w:val="auto"/>
              <w:rPr>
                <w:rFonts w:hint="eastAsia" w:ascii="仿宋_GB2312" w:hAnsi="仿宋" w:eastAsia="仿宋_GB2312" w:cs="仿宋"/>
                <w:color w:val="000000"/>
                <w:sz w:val="24"/>
                <w:szCs w:val="24"/>
              </w:rPr>
            </w:pPr>
          </w:p>
        </w:tc>
        <w:tc>
          <w:tcPr>
            <w:tcW w:w="251" w:type="pct"/>
            <w:noWrap w:val="0"/>
            <w:textDirection w:val="tbRlV"/>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113" w:right="113"/>
              <w:jc w:val="center"/>
              <w:textAlignment w:val="auto"/>
              <w:rPr>
                <w:rFonts w:hint="eastAsia" w:ascii="仿宋_GB2312" w:hAnsi="仿宋" w:eastAsia="仿宋_GB2312" w:cs="仿宋"/>
                <w:color w:val="000000"/>
                <w:sz w:val="24"/>
                <w:szCs w:val="24"/>
              </w:rPr>
            </w:pPr>
          </w:p>
        </w:tc>
        <w:tc>
          <w:tcPr>
            <w:tcW w:w="242" w:type="pct"/>
            <w:noWrap w:val="0"/>
            <w:textDirection w:val="tbRlV"/>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113" w:right="113"/>
              <w:jc w:val="center"/>
              <w:textAlignment w:val="auto"/>
              <w:rPr>
                <w:rFonts w:hint="eastAsia" w:ascii="仿宋_GB2312" w:hAnsi="仿宋" w:eastAsia="仿宋_GB2312" w:cs="仿宋"/>
                <w:color w:val="000000"/>
                <w:sz w:val="24"/>
                <w:szCs w:val="24"/>
              </w:rPr>
            </w:pPr>
          </w:p>
        </w:tc>
        <w:tc>
          <w:tcPr>
            <w:tcW w:w="214" w:type="pct"/>
            <w:noWrap w:val="0"/>
            <w:textDirection w:val="tbRlV"/>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113" w:right="113"/>
              <w:jc w:val="center"/>
              <w:textAlignment w:val="auto"/>
              <w:rPr>
                <w:rFonts w:hint="eastAsia" w:ascii="仿宋_GB2312" w:hAnsi="仿宋" w:eastAsia="仿宋_GB2312"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4040" w:type="pct"/>
            <w:gridSpan w:val="5"/>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1769" w:hanging="1499" w:hangingChars="678"/>
              <w:textAlignment w:val="auto"/>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3、工作技能：操作是否符合规定标准，能运用技能知识，发挥更好作用。</w:t>
            </w:r>
          </w:p>
        </w:tc>
        <w:tc>
          <w:tcPr>
            <w:tcW w:w="251" w:type="pct"/>
            <w:noWrap w:val="0"/>
            <w:textDirection w:val="tbRlV"/>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113" w:right="113"/>
              <w:jc w:val="center"/>
              <w:textAlignment w:val="auto"/>
              <w:rPr>
                <w:rFonts w:hint="eastAsia" w:ascii="仿宋_GB2312" w:hAnsi="仿宋" w:eastAsia="仿宋_GB2312" w:cs="仿宋"/>
                <w:color w:val="000000"/>
                <w:sz w:val="24"/>
                <w:szCs w:val="24"/>
              </w:rPr>
            </w:pPr>
          </w:p>
        </w:tc>
        <w:tc>
          <w:tcPr>
            <w:tcW w:w="251" w:type="pct"/>
            <w:noWrap w:val="0"/>
            <w:textDirection w:val="tbRlV"/>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113" w:right="113"/>
              <w:jc w:val="center"/>
              <w:textAlignment w:val="auto"/>
              <w:rPr>
                <w:rFonts w:hint="eastAsia" w:ascii="仿宋_GB2312" w:hAnsi="仿宋" w:eastAsia="仿宋_GB2312" w:cs="仿宋"/>
                <w:color w:val="000000"/>
                <w:sz w:val="24"/>
                <w:szCs w:val="24"/>
              </w:rPr>
            </w:pPr>
          </w:p>
        </w:tc>
        <w:tc>
          <w:tcPr>
            <w:tcW w:w="242" w:type="pct"/>
            <w:noWrap w:val="0"/>
            <w:textDirection w:val="tbRlV"/>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113" w:right="113"/>
              <w:jc w:val="center"/>
              <w:textAlignment w:val="auto"/>
              <w:rPr>
                <w:rFonts w:hint="eastAsia" w:ascii="仿宋_GB2312" w:hAnsi="仿宋" w:eastAsia="仿宋_GB2312" w:cs="仿宋"/>
                <w:color w:val="000000"/>
                <w:sz w:val="24"/>
                <w:szCs w:val="24"/>
              </w:rPr>
            </w:pPr>
          </w:p>
        </w:tc>
        <w:tc>
          <w:tcPr>
            <w:tcW w:w="214" w:type="pct"/>
            <w:noWrap w:val="0"/>
            <w:textDirection w:val="tbRlV"/>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113" w:right="113"/>
              <w:jc w:val="center"/>
              <w:textAlignment w:val="auto"/>
              <w:rPr>
                <w:rFonts w:hint="eastAsia" w:ascii="仿宋_GB2312" w:hAnsi="仿宋" w:eastAsia="仿宋_GB2312"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040" w:type="pct"/>
            <w:gridSpan w:val="5"/>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1769" w:hanging="1499" w:hangingChars="678"/>
              <w:textAlignment w:val="auto"/>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4、工作态度：能否处理好人际关系，乐意完成每项任务，对工作有高度兴趣，与人配合良好。</w:t>
            </w:r>
          </w:p>
        </w:tc>
        <w:tc>
          <w:tcPr>
            <w:tcW w:w="251" w:type="pct"/>
            <w:noWrap w:val="0"/>
            <w:textDirection w:val="tbRlV"/>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113" w:right="113"/>
              <w:jc w:val="center"/>
              <w:textAlignment w:val="auto"/>
              <w:rPr>
                <w:rFonts w:hint="eastAsia" w:ascii="仿宋_GB2312" w:hAnsi="仿宋" w:eastAsia="仿宋_GB2312" w:cs="仿宋"/>
                <w:color w:val="000000"/>
                <w:sz w:val="24"/>
                <w:szCs w:val="24"/>
              </w:rPr>
            </w:pPr>
          </w:p>
        </w:tc>
        <w:tc>
          <w:tcPr>
            <w:tcW w:w="251" w:type="pct"/>
            <w:noWrap w:val="0"/>
            <w:textDirection w:val="tbRlV"/>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113" w:right="113"/>
              <w:jc w:val="center"/>
              <w:textAlignment w:val="auto"/>
              <w:rPr>
                <w:rFonts w:hint="eastAsia" w:ascii="仿宋_GB2312" w:hAnsi="仿宋" w:eastAsia="仿宋_GB2312" w:cs="仿宋"/>
                <w:color w:val="000000"/>
                <w:sz w:val="24"/>
                <w:szCs w:val="24"/>
              </w:rPr>
            </w:pPr>
          </w:p>
        </w:tc>
        <w:tc>
          <w:tcPr>
            <w:tcW w:w="242" w:type="pct"/>
            <w:noWrap w:val="0"/>
            <w:textDirection w:val="tbRlV"/>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113" w:right="113"/>
              <w:jc w:val="center"/>
              <w:textAlignment w:val="auto"/>
              <w:rPr>
                <w:rFonts w:hint="eastAsia" w:ascii="仿宋_GB2312" w:hAnsi="仿宋" w:eastAsia="仿宋_GB2312" w:cs="仿宋"/>
                <w:color w:val="000000"/>
                <w:sz w:val="24"/>
                <w:szCs w:val="24"/>
              </w:rPr>
            </w:pPr>
          </w:p>
        </w:tc>
        <w:tc>
          <w:tcPr>
            <w:tcW w:w="214" w:type="pct"/>
            <w:noWrap w:val="0"/>
            <w:textDirection w:val="tbRlV"/>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113" w:right="113"/>
              <w:jc w:val="center"/>
              <w:textAlignment w:val="auto"/>
              <w:rPr>
                <w:rFonts w:hint="eastAsia" w:ascii="仿宋_GB2312" w:hAnsi="仿宋" w:eastAsia="仿宋_GB2312"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040" w:type="pct"/>
            <w:gridSpan w:val="5"/>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1649" w:hanging="1396" w:hangingChars="632"/>
              <w:textAlignment w:val="auto"/>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5、出    勤：出勤是否不规律，偶尔离开岗位，是否遵守考勤制度，坚守工作岗位并专心工作。</w:t>
            </w:r>
          </w:p>
        </w:tc>
        <w:tc>
          <w:tcPr>
            <w:tcW w:w="251" w:type="pct"/>
            <w:noWrap w:val="0"/>
            <w:textDirection w:val="tbRlV"/>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113" w:right="113"/>
              <w:jc w:val="center"/>
              <w:textAlignment w:val="auto"/>
              <w:rPr>
                <w:rFonts w:hint="eastAsia" w:ascii="仿宋_GB2312" w:hAnsi="仿宋" w:eastAsia="仿宋_GB2312" w:cs="仿宋"/>
                <w:color w:val="000000"/>
                <w:sz w:val="24"/>
                <w:szCs w:val="24"/>
              </w:rPr>
            </w:pPr>
          </w:p>
        </w:tc>
        <w:tc>
          <w:tcPr>
            <w:tcW w:w="251" w:type="pct"/>
            <w:noWrap w:val="0"/>
            <w:textDirection w:val="tbRlV"/>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113" w:right="113"/>
              <w:jc w:val="center"/>
              <w:textAlignment w:val="auto"/>
              <w:rPr>
                <w:rFonts w:hint="eastAsia" w:ascii="仿宋_GB2312" w:hAnsi="仿宋" w:eastAsia="仿宋_GB2312" w:cs="仿宋"/>
                <w:color w:val="000000"/>
                <w:sz w:val="24"/>
                <w:szCs w:val="24"/>
              </w:rPr>
            </w:pPr>
          </w:p>
        </w:tc>
        <w:tc>
          <w:tcPr>
            <w:tcW w:w="242" w:type="pct"/>
            <w:noWrap w:val="0"/>
            <w:textDirection w:val="tbRlV"/>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113" w:right="113"/>
              <w:jc w:val="center"/>
              <w:textAlignment w:val="auto"/>
              <w:rPr>
                <w:rFonts w:hint="eastAsia" w:ascii="仿宋_GB2312" w:hAnsi="仿宋" w:eastAsia="仿宋_GB2312" w:cs="仿宋"/>
                <w:color w:val="000000"/>
                <w:sz w:val="24"/>
                <w:szCs w:val="24"/>
              </w:rPr>
            </w:pPr>
          </w:p>
        </w:tc>
        <w:tc>
          <w:tcPr>
            <w:tcW w:w="214" w:type="pct"/>
            <w:noWrap w:val="0"/>
            <w:textDirection w:val="tbRlV"/>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113" w:right="113"/>
              <w:jc w:val="center"/>
              <w:textAlignment w:val="auto"/>
              <w:rPr>
                <w:rFonts w:hint="eastAsia" w:ascii="仿宋_GB2312" w:hAnsi="仿宋" w:eastAsia="仿宋_GB2312"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040" w:type="pct"/>
            <w:gridSpan w:val="5"/>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1531" w:hanging="1297" w:hangingChars="587"/>
              <w:textAlignment w:val="auto"/>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6、才    能：能否胜任本职工作，具有一定组织能力、判断力、接受力、或独立处理相关事宜能力。</w:t>
            </w:r>
          </w:p>
        </w:tc>
        <w:tc>
          <w:tcPr>
            <w:tcW w:w="251" w:type="pct"/>
            <w:noWrap w:val="0"/>
            <w:textDirection w:val="tbRlV"/>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113" w:right="113"/>
              <w:jc w:val="center"/>
              <w:textAlignment w:val="auto"/>
              <w:rPr>
                <w:rFonts w:hint="eastAsia" w:ascii="仿宋_GB2312" w:hAnsi="仿宋" w:eastAsia="仿宋_GB2312" w:cs="仿宋"/>
                <w:color w:val="000000"/>
                <w:sz w:val="24"/>
                <w:szCs w:val="24"/>
              </w:rPr>
            </w:pPr>
          </w:p>
        </w:tc>
        <w:tc>
          <w:tcPr>
            <w:tcW w:w="251" w:type="pct"/>
            <w:noWrap w:val="0"/>
            <w:textDirection w:val="tbRlV"/>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113" w:right="113"/>
              <w:jc w:val="center"/>
              <w:textAlignment w:val="auto"/>
              <w:rPr>
                <w:rFonts w:hint="eastAsia" w:ascii="仿宋_GB2312" w:hAnsi="仿宋" w:eastAsia="仿宋_GB2312" w:cs="仿宋"/>
                <w:color w:val="000000"/>
                <w:sz w:val="24"/>
                <w:szCs w:val="24"/>
              </w:rPr>
            </w:pPr>
          </w:p>
        </w:tc>
        <w:tc>
          <w:tcPr>
            <w:tcW w:w="242" w:type="pct"/>
            <w:noWrap w:val="0"/>
            <w:textDirection w:val="tbRlV"/>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113" w:right="113"/>
              <w:jc w:val="center"/>
              <w:textAlignment w:val="auto"/>
              <w:rPr>
                <w:rFonts w:hint="eastAsia" w:ascii="仿宋_GB2312" w:hAnsi="仿宋" w:eastAsia="仿宋_GB2312" w:cs="仿宋"/>
                <w:color w:val="000000"/>
                <w:sz w:val="24"/>
                <w:szCs w:val="24"/>
              </w:rPr>
            </w:pPr>
          </w:p>
        </w:tc>
        <w:tc>
          <w:tcPr>
            <w:tcW w:w="214" w:type="pct"/>
            <w:noWrap w:val="0"/>
            <w:textDirection w:val="tbRlV"/>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113" w:right="113"/>
              <w:jc w:val="center"/>
              <w:textAlignment w:val="auto"/>
              <w:rPr>
                <w:rFonts w:hint="eastAsia" w:ascii="仿宋_GB2312" w:hAnsi="仿宋" w:eastAsia="仿宋_GB2312"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040" w:type="pct"/>
            <w:gridSpan w:val="5"/>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1531" w:hanging="1297" w:hangingChars="587"/>
              <w:textAlignment w:val="auto"/>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7、创造性：在工作过程中，能否提出更好的适用方法，或对职责以外的问题有独特见解及创意。</w:t>
            </w:r>
          </w:p>
        </w:tc>
        <w:tc>
          <w:tcPr>
            <w:tcW w:w="251" w:type="pct"/>
            <w:noWrap w:val="0"/>
            <w:textDirection w:val="tbRlV"/>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113" w:right="113"/>
              <w:jc w:val="center"/>
              <w:textAlignment w:val="auto"/>
              <w:rPr>
                <w:rFonts w:hint="eastAsia" w:ascii="仿宋_GB2312" w:hAnsi="仿宋" w:eastAsia="仿宋_GB2312" w:cs="仿宋"/>
                <w:color w:val="000000"/>
                <w:sz w:val="24"/>
                <w:szCs w:val="24"/>
              </w:rPr>
            </w:pPr>
          </w:p>
        </w:tc>
        <w:tc>
          <w:tcPr>
            <w:tcW w:w="251" w:type="pct"/>
            <w:noWrap w:val="0"/>
            <w:textDirection w:val="tbRlV"/>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113" w:right="113"/>
              <w:jc w:val="center"/>
              <w:textAlignment w:val="auto"/>
              <w:rPr>
                <w:rFonts w:hint="eastAsia" w:ascii="仿宋_GB2312" w:hAnsi="仿宋" w:eastAsia="仿宋_GB2312" w:cs="仿宋"/>
                <w:color w:val="000000"/>
                <w:sz w:val="24"/>
                <w:szCs w:val="24"/>
              </w:rPr>
            </w:pPr>
          </w:p>
        </w:tc>
        <w:tc>
          <w:tcPr>
            <w:tcW w:w="242" w:type="pct"/>
            <w:noWrap w:val="0"/>
            <w:textDirection w:val="tbRlV"/>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113" w:right="113"/>
              <w:jc w:val="center"/>
              <w:textAlignment w:val="auto"/>
              <w:rPr>
                <w:rFonts w:hint="eastAsia" w:ascii="仿宋_GB2312" w:hAnsi="仿宋" w:eastAsia="仿宋_GB2312" w:cs="仿宋"/>
                <w:color w:val="000000"/>
                <w:sz w:val="24"/>
                <w:szCs w:val="24"/>
              </w:rPr>
            </w:pPr>
          </w:p>
        </w:tc>
        <w:tc>
          <w:tcPr>
            <w:tcW w:w="214" w:type="pct"/>
            <w:noWrap w:val="0"/>
            <w:textDirection w:val="tbRlV"/>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113" w:right="113"/>
              <w:jc w:val="center"/>
              <w:textAlignment w:val="auto"/>
              <w:rPr>
                <w:rFonts w:hint="eastAsia" w:ascii="仿宋_GB2312" w:hAnsi="仿宋" w:eastAsia="仿宋_GB2312"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4040" w:type="pct"/>
            <w:gridSpan w:val="5"/>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1411" w:hanging="1196" w:hangingChars="541"/>
              <w:textAlignment w:val="auto"/>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8、责任感：工作是否认真负责，对所安排的工作任务是否有较强的责任感，并能勇于承担责任。</w:t>
            </w:r>
          </w:p>
        </w:tc>
        <w:tc>
          <w:tcPr>
            <w:tcW w:w="251" w:type="pct"/>
            <w:noWrap w:val="0"/>
            <w:textDirection w:val="tbRlV"/>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113" w:right="113"/>
              <w:jc w:val="center"/>
              <w:textAlignment w:val="auto"/>
              <w:rPr>
                <w:rFonts w:hint="eastAsia" w:ascii="仿宋_GB2312" w:hAnsi="仿宋" w:eastAsia="仿宋_GB2312" w:cs="仿宋"/>
                <w:color w:val="000000"/>
                <w:sz w:val="24"/>
                <w:szCs w:val="24"/>
              </w:rPr>
            </w:pPr>
          </w:p>
        </w:tc>
        <w:tc>
          <w:tcPr>
            <w:tcW w:w="251" w:type="pct"/>
            <w:noWrap w:val="0"/>
            <w:textDirection w:val="tbRlV"/>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113" w:right="113"/>
              <w:jc w:val="center"/>
              <w:textAlignment w:val="auto"/>
              <w:rPr>
                <w:rFonts w:hint="eastAsia" w:ascii="仿宋_GB2312" w:hAnsi="仿宋" w:eastAsia="仿宋_GB2312" w:cs="仿宋"/>
                <w:color w:val="000000"/>
                <w:sz w:val="24"/>
                <w:szCs w:val="24"/>
              </w:rPr>
            </w:pPr>
          </w:p>
        </w:tc>
        <w:tc>
          <w:tcPr>
            <w:tcW w:w="242" w:type="pct"/>
            <w:noWrap w:val="0"/>
            <w:textDirection w:val="tbRlV"/>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113" w:right="113"/>
              <w:jc w:val="center"/>
              <w:textAlignment w:val="auto"/>
              <w:rPr>
                <w:rFonts w:hint="eastAsia" w:ascii="仿宋_GB2312" w:hAnsi="仿宋" w:eastAsia="仿宋_GB2312" w:cs="仿宋"/>
                <w:color w:val="000000"/>
                <w:sz w:val="24"/>
                <w:szCs w:val="24"/>
              </w:rPr>
            </w:pPr>
          </w:p>
        </w:tc>
        <w:tc>
          <w:tcPr>
            <w:tcW w:w="214" w:type="pct"/>
            <w:noWrap w:val="0"/>
            <w:textDirection w:val="tbRlV"/>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113" w:right="113"/>
              <w:jc w:val="center"/>
              <w:textAlignment w:val="auto"/>
              <w:rPr>
                <w:rFonts w:hint="eastAsia" w:ascii="仿宋_GB2312" w:hAnsi="仿宋" w:eastAsia="仿宋_GB2312"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040" w:type="pct"/>
            <w:gridSpan w:val="5"/>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1565" w:hanging="1326" w:hangingChars="600"/>
              <w:textAlignment w:val="auto"/>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9、进取精神：是否有清晰的工作目标和规划，面对问题和困境能否努力调整和适应，不断突破和进取。</w:t>
            </w:r>
          </w:p>
        </w:tc>
        <w:tc>
          <w:tcPr>
            <w:tcW w:w="251" w:type="pct"/>
            <w:noWrap w:val="0"/>
            <w:textDirection w:val="tbRlV"/>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113" w:right="113"/>
              <w:jc w:val="center"/>
              <w:textAlignment w:val="auto"/>
              <w:rPr>
                <w:rFonts w:hint="eastAsia" w:ascii="仿宋_GB2312" w:hAnsi="仿宋" w:eastAsia="仿宋_GB2312" w:cs="仿宋"/>
                <w:color w:val="000000"/>
                <w:sz w:val="24"/>
                <w:szCs w:val="24"/>
              </w:rPr>
            </w:pPr>
          </w:p>
        </w:tc>
        <w:tc>
          <w:tcPr>
            <w:tcW w:w="251" w:type="pct"/>
            <w:noWrap w:val="0"/>
            <w:textDirection w:val="tbRlV"/>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113" w:right="113"/>
              <w:jc w:val="center"/>
              <w:textAlignment w:val="auto"/>
              <w:rPr>
                <w:rFonts w:hint="eastAsia" w:ascii="仿宋_GB2312" w:hAnsi="仿宋" w:eastAsia="仿宋_GB2312" w:cs="仿宋"/>
                <w:color w:val="000000"/>
                <w:sz w:val="24"/>
                <w:szCs w:val="24"/>
              </w:rPr>
            </w:pPr>
          </w:p>
        </w:tc>
        <w:tc>
          <w:tcPr>
            <w:tcW w:w="242" w:type="pct"/>
            <w:noWrap w:val="0"/>
            <w:textDirection w:val="tbRlV"/>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113" w:right="113"/>
              <w:jc w:val="center"/>
              <w:textAlignment w:val="auto"/>
              <w:rPr>
                <w:rFonts w:hint="eastAsia" w:ascii="仿宋_GB2312" w:hAnsi="仿宋" w:eastAsia="仿宋_GB2312" w:cs="仿宋"/>
                <w:color w:val="000000"/>
                <w:sz w:val="24"/>
                <w:szCs w:val="24"/>
              </w:rPr>
            </w:pPr>
          </w:p>
        </w:tc>
        <w:tc>
          <w:tcPr>
            <w:tcW w:w="214" w:type="pct"/>
            <w:noWrap w:val="0"/>
            <w:textDirection w:val="tbRlV"/>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113" w:right="113"/>
              <w:jc w:val="center"/>
              <w:textAlignment w:val="auto"/>
              <w:rPr>
                <w:rFonts w:hint="eastAsia" w:ascii="仿宋_GB2312" w:hAnsi="仿宋" w:eastAsia="仿宋_GB2312"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040" w:type="pct"/>
            <w:gridSpan w:val="5"/>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1557" w:hanging="1319" w:hangingChars="597"/>
              <w:textAlignment w:val="auto"/>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10、总体评价：综合素质，工作能力是否符合本公司要求。</w:t>
            </w:r>
          </w:p>
        </w:tc>
        <w:tc>
          <w:tcPr>
            <w:tcW w:w="251" w:type="pct"/>
            <w:noWrap w:val="0"/>
            <w:textDirection w:val="tbRlV"/>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113" w:right="113"/>
              <w:jc w:val="center"/>
              <w:textAlignment w:val="auto"/>
              <w:rPr>
                <w:rFonts w:hint="eastAsia" w:ascii="仿宋_GB2312" w:hAnsi="仿宋" w:eastAsia="仿宋_GB2312" w:cs="仿宋"/>
                <w:color w:val="000000"/>
                <w:sz w:val="24"/>
                <w:szCs w:val="24"/>
              </w:rPr>
            </w:pPr>
          </w:p>
        </w:tc>
        <w:tc>
          <w:tcPr>
            <w:tcW w:w="251" w:type="pct"/>
            <w:noWrap w:val="0"/>
            <w:textDirection w:val="tbRlV"/>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113" w:right="113"/>
              <w:jc w:val="center"/>
              <w:textAlignment w:val="auto"/>
              <w:rPr>
                <w:rFonts w:hint="eastAsia" w:ascii="仿宋_GB2312" w:hAnsi="仿宋" w:eastAsia="仿宋_GB2312" w:cs="仿宋"/>
                <w:color w:val="000000"/>
                <w:sz w:val="24"/>
                <w:szCs w:val="24"/>
              </w:rPr>
            </w:pPr>
          </w:p>
        </w:tc>
        <w:tc>
          <w:tcPr>
            <w:tcW w:w="242" w:type="pct"/>
            <w:noWrap w:val="0"/>
            <w:textDirection w:val="tbRlV"/>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113" w:right="113"/>
              <w:jc w:val="center"/>
              <w:textAlignment w:val="auto"/>
              <w:rPr>
                <w:rFonts w:hint="eastAsia" w:ascii="仿宋_GB2312" w:hAnsi="仿宋" w:eastAsia="仿宋_GB2312" w:cs="仿宋"/>
                <w:color w:val="000000"/>
                <w:sz w:val="24"/>
                <w:szCs w:val="24"/>
              </w:rPr>
            </w:pPr>
          </w:p>
        </w:tc>
        <w:tc>
          <w:tcPr>
            <w:tcW w:w="214" w:type="pct"/>
            <w:noWrap w:val="0"/>
            <w:textDirection w:val="tbRlV"/>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113" w:right="113"/>
              <w:jc w:val="center"/>
              <w:textAlignment w:val="auto"/>
              <w:rPr>
                <w:rFonts w:hint="eastAsia" w:ascii="仿宋_GB2312" w:hAnsi="仿宋" w:eastAsia="仿宋_GB2312"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4040" w:type="pct"/>
            <w:gridSpan w:val="5"/>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 w:eastAsia="仿宋_GB2312" w:cs="仿宋"/>
                <w:color w:val="000000"/>
                <w:spacing w:val="-20"/>
                <w:sz w:val="24"/>
                <w:szCs w:val="24"/>
              </w:rPr>
            </w:pPr>
            <w:r>
              <w:rPr>
                <w:rFonts w:hint="eastAsia" w:ascii="仿宋_GB2312" w:hAnsi="仿宋" w:eastAsia="仿宋_GB2312" w:cs="仿宋"/>
                <w:color w:val="000000"/>
                <w:spacing w:val="-20"/>
                <w:sz w:val="24"/>
                <w:szCs w:val="24"/>
              </w:rPr>
              <w:t>合                     计</w:t>
            </w:r>
          </w:p>
        </w:tc>
        <w:tc>
          <w:tcPr>
            <w:tcW w:w="959" w:type="pct"/>
            <w:gridSpan w:val="4"/>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_GB2312" w:hAnsi="仿宋" w:eastAsia="仿宋_GB2312" w:cs="仿宋"/>
                <w:color w:val="000000"/>
                <w:spacing w:val="-20"/>
                <w:sz w:val="24"/>
                <w:szCs w:val="24"/>
              </w:rPr>
            </w:pPr>
            <w:r>
              <w:rPr>
                <w:rFonts w:hint="eastAsia" w:ascii="仿宋_GB2312" w:hAnsi="仿宋" w:eastAsia="仿宋_GB2312" w:cs="仿宋"/>
                <w:color w:val="000000"/>
                <w:spacing w:val="-20"/>
                <w:sz w:val="24"/>
                <w:szCs w:val="24"/>
              </w:rPr>
              <w:t xml:space="preserve">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trPr>
        <w:tc>
          <w:tcPr>
            <w:tcW w:w="5000" w:type="pct"/>
            <w:gridSpan w:val="9"/>
            <w:noWrap w:val="0"/>
            <w:vAlign w:val="center"/>
          </w:tcPr>
          <w:p>
            <w:pPr>
              <w:keepNext w:val="0"/>
              <w:keepLines w:val="0"/>
              <w:pageBreakBefore w:val="0"/>
              <w:widowControl w:val="0"/>
              <w:tabs>
                <w:tab w:val="left" w:pos="832"/>
              </w:tabs>
              <w:kinsoku/>
              <w:wordWrap/>
              <w:overflowPunct/>
              <w:topLinePunct w:val="0"/>
              <w:autoSpaceDE/>
              <w:autoSpaceDN/>
              <w:bidi w:val="0"/>
              <w:adjustRightInd/>
              <w:snapToGrid/>
              <w:spacing w:after="0" w:line="400" w:lineRule="exact"/>
              <w:ind w:firstLine="362" w:firstLineChars="200"/>
              <w:jc w:val="center"/>
              <w:textAlignment w:val="auto"/>
              <w:rPr>
                <w:rFonts w:hint="eastAsia" w:ascii="仿宋_GB2312" w:hAnsi="仿宋" w:eastAsia="仿宋_GB2312" w:cs="仿宋"/>
                <w:color w:val="000000"/>
                <w:sz w:val="24"/>
                <w:szCs w:val="24"/>
              </w:rPr>
            </w:pPr>
            <w:r>
              <w:rPr>
                <w:rFonts w:hint="eastAsia" w:ascii="仿宋_GB2312" w:hAnsi="仿宋" w:eastAsia="仿宋_GB2312" w:cs="仿宋"/>
                <w:color w:val="000000"/>
                <w:spacing w:val="-20"/>
                <w:sz w:val="24"/>
                <w:szCs w:val="24"/>
              </w:rPr>
              <w:t>结  论：□</w:t>
            </w:r>
            <w:r>
              <w:rPr>
                <w:rFonts w:hint="eastAsia" w:ascii="仿宋_GB2312" w:hAnsi="仿宋" w:eastAsia="仿宋_GB2312" w:cs="仿宋"/>
                <w:color w:val="000000"/>
                <w:sz w:val="24"/>
                <w:szCs w:val="24"/>
              </w:rPr>
              <w:t>优秀(90-100分)   □良好(89-75分)</w:t>
            </w:r>
          </w:p>
          <w:p>
            <w:pPr>
              <w:keepNext w:val="0"/>
              <w:keepLines w:val="0"/>
              <w:pageBreakBefore w:val="0"/>
              <w:widowControl w:val="0"/>
              <w:tabs>
                <w:tab w:val="left" w:pos="832"/>
              </w:tabs>
              <w:kinsoku/>
              <w:wordWrap/>
              <w:overflowPunct/>
              <w:topLinePunct w:val="0"/>
              <w:autoSpaceDE/>
              <w:autoSpaceDN/>
              <w:bidi w:val="0"/>
              <w:adjustRightInd/>
              <w:snapToGrid/>
              <w:spacing w:after="0" w:line="400" w:lineRule="exact"/>
              <w:ind w:firstLine="442" w:firstLineChars="200"/>
              <w:jc w:val="both"/>
              <w:textAlignment w:val="auto"/>
              <w:rPr>
                <w:rFonts w:hint="eastAsia" w:ascii="仿宋_GB2312" w:hAnsi="仿宋" w:eastAsia="仿宋_GB2312" w:cs="仿宋"/>
                <w:color w:val="000000"/>
                <w:spacing w:val="-20"/>
                <w:sz w:val="24"/>
                <w:szCs w:val="24"/>
              </w:rPr>
            </w:pPr>
            <w:r>
              <w:rPr>
                <w:rFonts w:hint="eastAsia" w:ascii="仿宋_GB2312" w:hAnsi="仿宋" w:eastAsia="仿宋_GB2312" w:cs="仿宋"/>
                <w:color w:val="000000"/>
                <w:sz w:val="24"/>
                <w:szCs w:val="24"/>
              </w:rPr>
              <w:t xml:space="preserve">□一般(60-74分) </w:t>
            </w:r>
            <w:r>
              <w:rPr>
                <w:rFonts w:hint="eastAsia" w:ascii="仿宋_GB2312" w:hAnsi="仿宋" w:eastAsia="仿宋_GB2312" w:cs="仿宋"/>
                <w:color w:val="000000"/>
                <w:sz w:val="22"/>
                <w:szCs w:val="22"/>
              </w:rPr>
              <w:t xml:space="preserve">  </w:t>
            </w:r>
            <w:r>
              <w:rPr>
                <w:rFonts w:hint="eastAsia" w:ascii="仿宋_GB2312" w:hAnsi="仿宋" w:eastAsia="仿宋_GB2312" w:cs="仿宋"/>
                <w:color w:val="000000"/>
                <w:sz w:val="24"/>
                <w:szCs w:val="24"/>
              </w:rPr>
              <w:t xml:space="preserve"> □差(60分以下</w:t>
            </w:r>
            <w:r>
              <w:rPr>
                <w:rFonts w:hint="eastAsia" w:ascii="仿宋_GB2312" w:hAnsi="仿宋" w:eastAsia="仿宋_GB2312" w:cs="仿宋"/>
                <w:color w:val="000000"/>
                <w:spacing w:val="-2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5" w:hRule="atLeast"/>
        </w:trPr>
        <w:tc>
          <w:tcPr>
            <w:tcW w:w="5000" w:type="pct"/>
            <w:gridSpan w:val="9"/>
            <w:noWrap w:val="0"/>
            <w:vAlign w:val="center"/>
          </w:tcPr>
          <w:p>
            <w:pPr>
              <w:keepNext w:val="0"/>
              <w:keepLines w:val="0"/>
              <w:pageBreakBefore w:val="0"/>
              <w:widowControl w:val="0"/>
              <w:tabs>
                <w:tab w:val="left" w:pos="832"/>
              </w:tabs>
              <w:kinsoku/>
              <w:wordWrap/>
              <w:overflowPunct/>
              <w:topLinePunct w:val="0"/>
              <w:autoSpaceDE/>
              <w:autoSpaceDN/>
              <w:bidi w:val="0"/>
              <w:adjustRightInd/>
              <w:snapToGrid/>
              <w:spacing w:after="0" w:line="400" w:lineRule="exact"/>
              <w:ind w:firstLine="362" w:firstLineChars="200"/>
              <w:jc w:val="center"/>
              <w:textAlignment w:val="auto"/>
              <w:rPr>
                <w:rFonts w:hint="eastAsia" w:ascii="仿宋_GB2312" w:hAnsi="仿宋" w:eastAsia="仿宋_GB2312" w:cs="仿宋"/>
                <w:color w:val="000000"/>
                <w:sz w:val="24"/>
                <w:szCs w:val="24"/>
                <w:u w:val="single"/>
              </w:rPr>
            </w:pPr>
            <w:r>
              <w:rPr>
                <w:rFonts w:hint="eastAsia" w:ascii="仿宋_GB2312" w:hAnsi="仿宋" w:eastAsia="仿宋_GB2312" w:cs="仿宋"/>
                <w:b/>
                <w:color w:val="000000"/>
                <w:spacing w:val="-20"/>
                <w:sz w:val="24"/>
                <w:szCs w:val="24"/>
              </w:rPr>
              <w:t>是否有</w:t>
            </w:r>
            <w:r>
              <w:rPr>
                <w:rFonts w:hint="eastAsia" w:ascii="仿宋_GB2312" w:hAnsi="仿宋" w:eastAsia="仿宋_GB2312" w:cs="仿宋"/>
                <w:b/>
                <w:color w:val="000000"/>
                <w:sz w:val="24"/>
                <w:szCs w:val="24"/>
                <w:shd w:val="clear" w:color="auto" w:fill="FFFFFF"/>
              </w:rPr>
              <w:t>劳动合同中关于不符合录用条件之情形：</w:t>
            </w:r>
            <w:r>
              <w:rPr>
                <w:rFonts w:hint="eastAsia" w:ascii="仿宋_GB2312" w:hAnsi="仿宋" w:eastAsia="仿宋_GB2312" w:cs="仿宋"/>
                <w:color w:val="000000"/>
                <w:sz w:val="24"/>
                <w:szCs w:val="24"/>
              </w:rPr>
              <w:t>□无   □有，具体为</w:t>
            </w:r>
          </w:p>
          <w:p>
            <w:pPr>
              <w:keepNext w:val="0"/>
              <w:keepLines w:val="0"/>
              <w:pageBreakBefore w:val="0"/>
              <w:widowControl w:val="0"/>
              <w:tabs>
                <w:tab w:val="left" w:pos="832"/>
              </w:tabs>
              <w:kinsoku/>
              <w:wordWrap/>
              <w:overflowPunct/>
              <w:topLinePunct w:val="0"/>
              <w:autoSpaceDE/>
              <w:autoSpaceDN/>
              <w:bidi w:val="0"/>
              <w:adjustRightInd/>
              <w:snapToGrid/>
              <w:spacing w:after="0" w:line="400" w:lineRule="exact"/>
              <w:jc w:val="center"/>
              <w:textAlignment w:val="auto"/>
              <w:rPr>
                <w:rFonts w:hint="eastAsia" w:ascii="仿宋_GB2312" w:hAnsi="仿宋" w:eastAsia="仿宋_GB2312" w:cs="仿宋"/>
                <w:color w:val="000000"/>
                <w:sz w:val="24"/>
                <w:szCs w:val="24"/>
                <w:u w:val="single"/>
              </w:rPr>
            </w:pPr>
          </w:p>
          <w:p>
            <w:pPr>
              <w:keepNext w:val="0"/>
              <w:keepLines w:val="0"/>
              <w:pageBreakBefore w:val="0"/>
              <w:widowControl w:val="0"/>
              <w:tabs>
                <w:tab w:val="left" w:pos="832"/>
              </w:tabs>
              <w:kinsoku/>
              <w:wordWrap/>
              <w:overflowPunct/>
              <w:topLinePunct w:val="0"/>
              <w:autoSpaceDE/>
              <w:autoSpaceDN/>
              <w:bidi w:val="0"/>
              <w:adjustRightInd/>
              <w:snapToGrid/>
              <w:spacing w:after="0" w:line="400" w:lineRule="exact"/>
              <w:jc w:val="center"/>
              <w:textAlignment w:val="auto"/>
              <w:rPr>
                <w:rFonts w:hint="eastAsia" w:ascii="仿宋_GB2312" w:hAnsi="仿宋" w:eastAsia="仿宋_GB2312" w:cs="仿宋"/>
                <w:color w:val="000000"/>
                <w:sz w:val="24"/>
                <w:szCs w:val="24"/>
                <w:u w:val="single"/>
              </w:rPr>
            </w:pPr>
          </w:p>
          <w:p>
            <w:pPr>
              <w:keepNext w:val="0"/>
              <w:keepLines w:val="0"/>
              <w:pageBreakBefore w:val="0"/>
              <w:widowControl w:val="0"/>
              <w:tabs>
                <w:tab w:val="left" w:pos="832"/>
              </w:tabs>
              <w:kinsoku/>
              <w:wordWrap/>
              <w:overflowPunct/>
              <w:topLinePunct w:val="0"/>
              <w:autoSpaceDE/>
              <w:autoSpaceDN/>
              <w:bidi w:val="0"/>
              <w:adjustRightInd/>
              <w:snapToGrid/>
              <w:spacing w:after="0" w:line="400" w:lineRule="exact"/>
              <w:jc w:val="center"/>
              <w:textAlignment w:val="auto"/>
              <w:rPr>
                <w:rFonts w:hint="eastAsia" w:ascii="仿宋_GB2312" w:hAnsi="仿宋" w:eastAsia="仿宋_GB2312" w:cs="仿宋"/>
                <w:color w:val="000000"/>
                <w:sz w:val="24"/>
                <w:szCs w:val="24"/>
                <w:u w:val="single"/>
              </w:rPr>
            </w:pPr>
          </w:p>
          <w:p>
            <w:pPr>
              <w:keepNext w:val="0"/>
              <w:keepLines w:val="0"/>
              <w:pageBreakBefore w:val="0"/>
              <w:widowControl w:val="0"/>
              <w:tabs>
                <w:tab w:val="left" w:pos="832"/>
              </w:tabs>
              <w:kinsoku/>
              <w:wordWrap/>
              <w:overflowPunct/>
              <w:topLinePunct w:val="0"/>
              <w:autoSpaceDE/>
              <w:autoSpaceDN/>
              <w:bidi w:val="0"/>
              <w:adjustRightInd/>
              <w:snapToGrid/>
              <w:spacing w:after="0" w:line="400" w:lineRule="exact"/>
              <w:jc w:val="center"/>
              <w:textAlignment w:val="auto"/>
              <w:rPr>
                <w:rFonts w:hint="eastAsia" w:ascii="仿宋_GB2312" w:hAnsi="仿宋" w:eastAsia="仿宋_GB2312" w:cs="仿宋"/>
                <w:color w:val="000000"/>
                <w:spacing w:val="-2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1" w:hRule="atLeast"/>
        </w:trPr>
        <w:tc>
          <w:tcPr>
            <w:tcW w:w="5000" w:type="pct"/>
            <w:gridSpan w:val="9"/>
            <w:noWrap w:val="0"/>
            <w:vAlign w:val="center"/>
          </w:tcPr>
          <w:p>
            <w:pPr>
              <w:keepNext w:val="0"/>
              <w:keepLines w:val="0"/>
              <w:pageBreakBefore w:val="0"/>
              <w:widowControl w:val="0"/>
              <w:tabs>
                <w:tab w:val="left" w:pos="832"/>
              </w:tabs>
              <w:kinsoku/>
              <w:wordWrap/>
              <w:overflowPunct/>
              <w:topLinePunct w:val="0"/>
              <w:autoSpaceDE/>
              <w:autoSpaceDN/>
              <w:bidi w:val="0"/>
              <w:adjustRightInd/>
              <w:snapToGrid/>
              <w:spacing w:after="0" w:line="400" w:lineRule="exact"/>
              <w:ind w:firstLine="442" w:firstLineChars="200"/>
              <w:jc w:val="center"/>
              <w:textAlignment w:val="auto"/>
              <w:rPr>
                <w:rFonts w:hint="eastAsia" w:ascii="仿宋_GB2312" w:hAnsi="仿宋" w:eastAsia="仿宋_GB2312" w:cs="仿宋"/>
                <w:color w:val="000000"/>
                <w:sz w:val="24"/>
                <w:szCs w:val="24"/>
              </w:rPr>
            </w:pPr>
            <w:r>
              <w:rPr>
                <w:rFonts w:hint="eastAsia" w:ascii="仿宋_GB2312" w:hAnsi="仿宋" w:eastAsia="仿宋_GB2312" w:cs="仿宋"/>
                <w:b/>
                <w:color w:val="000000"/>
                <w:sz w:val="24"/>
                <w:szCs w:val="24"/>
                <w:shd w:val="clear" w:color="auto" w:fill="FFFFFF"/>
              </w:rPr>
              <w:t>是否按要求完成《新员工试用期工作规划表》中的工作内容：</w:t>
            </w:r>
          </w:p>
          <w:p>
            <w:pPr>
              <w:keepNext w:val="0"/>
              <w:keepLines w:val="0"/>
              <w:pageBreakBefore w:val="0"/>
              <w:widowControl w:val="0"/>
              <w:tabs>
                <w:tab w:val="left" w:pos="832"/>
              </w:tabs>
              <w:kinsoku/>
              <w:wordWrap/>
              <w:overflowPunct/>
              <w:topLinePunct w:val="0"/>
              <w:autoSpaceDE/>
              <w:autoSpaceDN/>
              <w:bidi w:val="0"/>
              <w:adjustRightInd/>
              <w:snapToGrid/>
              <w:spacing w:after="0" w:line="400" w:lineRule="exact"/>
              <w:ind w:firstLine="442" w:firstLineChars="200"/>
              <w:jc w:val="center"/>
              <w:textAlignment w:val="auto"/>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sym w:font="Wingdings 2" w:char="0052"/>
            </w:r>
            <w:r>
              <w:rPr>
                <w:rFonts w:hint="eastAsia" w:ascii="仿宋_GB2312" w:hAnsi="仿宋" w:eastAsia="仿宋_GB2312" w:cs="仿宋"/>
                <w:color w:val="000000"/>
                <w:sz w:val="24"/>
                <w:szCs w:val="24"/>
              </w:rPr>
              <w:t>是     □否，具体为</w:t>
            </w:r>
          </w:p>
          <w:p>
            <w:pPr>
              <w:keepNext w:val="0"/>
              <w:keepLines w:val="0"/>
              <w:pageBreakBefore w:val="0"/>
              <w:widowControl w:val="0"/>
              <w:tabs>
                <w:tab w:val="left" w:pos="832"/>
              </w:tabs>
              <w:kinsoku/>
              <w:wordWrap/>
              <w:overflowPunct/>
              <w:topLinePunct w:val="0"/>
              <w:autoSpaceDE/>
              <w:autoSpaceDN/>
              <w:bidi w:val="0"/>
              <w:adjustRightInd/>
              <w:snapToGrid/>
              <w:spacing w:after="0" w:line="400" w:lineRule="exact"/>
              <w:jc w:val="center"/>
              <w:textAlignment w:val="auto"/>
              <w:rPr>
                <w:rFonts w:hint="eastAsia" w:ascii="仿宋_GB2312" w:hAnsi="仿宋" w:eastAsia="仿宋_GB2312" w:cs="仿宋"/>
                <w:b/>
                <w:color w:val="000000"/>
                <w:spacing w:val="-20"/>
                <w:sz w:val="24"/>
                <w:szCs w:val="24"/>
              </w:rPr>
            </w:pPr>
          </w:p>
        </w:tc>
      </w:tr>
    </w:tbl>
    <w:p>
      <w:pPr>
        <w:keepNext w:val="0"/>
        <w:keepLines w:val="0"/>
        <w:pageBreakBefore w:val="0"/>
        <w:widowControl w:val="0"/>
        <w:wordWrap/>
        <w:bidi w:val="0"/>
        <w:spacing w:after="120" w:line="500" w:lineRule="exact"/>
        <w:jc w:val="center"/>
        <w:rPr>
          <w:rFonts w:hint="eastAsia" w:ascii="仿宋" w:hAnsi="仿宋" w:eastAsia="仿宋" w:cs="仿宋"/>
          <w:b/>
          <w:color w:val="000000"/>
          <w:sz w:val="28"/>
          <w:szCs w:val="28"/>
        </w:rPr>
      </w:pPr>
      <w:r>
        <w:rPr>
          <w:rFonts w:hint="eastAsia" w:ascii="仿宋_GB2312" w:hAnsi="宋体" w:eastAsia="仿宋_GB2312" w:cs="宋体"/>
          <w:b/>
          <w:color w:val="000000"/>
          <w:sz w:val="28"/>
          <w:szCs w:val="28"/>
          <w:shd w:val="clear" w:color="auto" w:fill="FFFFFF"/>
        </w:rPr>
        <w:br w:type="page"/>
      </w:r>
      <w:r>
        <w:rPr>
          <w:rFonts w:hint="eastAsia" w:ascii="方正小标宋简体" w:hAnsi="方正小标宋简体" w:eastAsia="方正小标宋简体" w:cs="方正小标宋简体"/>
          <w:color w:val="000000"/>
          <w:sz w:val="40"/>
          <w:szCs w:val="40"/>
          <w:shd w:val="clear" w:color="auto" w:fill="FFFFFF"/>
        </w:rPr>
        <w:t>员工转正考核表</w:t>
      </w:r>
    </w:p>
    <w:tbl>
      <w:tblPr>
        <w:tblStyle w:val="15"/>
        <w:tblW w:w="0" w:type="auto"/>
        <w:tblInd w:w="0" w:type="dxa"/>
        <w:tblLayout w:type="autofit"/>
        <w:tblCellMar>
          <w:top w:w="0" w:type="dxa"/>
          <w:left w:w="108" w:type="dxa"/>
          <w:bottom w:w="0" w:type="dxa"/>
          <w:right w:w="108" w:type="dxa"/>
        </w:tblCellMar>
      </w:tblPr>
      <w:tblGrid>
        <w:gridCol w:w="3749"/>
        <w:gridCol w:w="3837"/>
      </w:tblGrid>
      <w:tr>
        <w:tblPrEx>
          <w:tblCellMar>
            <w:top w:w="0" w:type="dxa"/>
            <w:left w:w="108" w:type="dxa"/>
            <w:bottom w:w="0" w:type="dxa"/>
            <w:right w:w="108" w:type="dxa"/>
          </w:tblCellMar>
        </w:tblPrEx>
        <w:trPr>
          <w:trHeight w:val="0" w:hRule="atLeast"/>
        </w:trPr>
        <w:tc>
          <w:tcPr>
            <w:tcW w:w="0" w:type="auto"/>
            <w:gridSpan w:val="2"/>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b/>
                <w:color w:val="000000"/>
                <w:sz w:val="24"/>
                <w:szCs w:val="24"/>
              </w:rPr>
            </w:pPr>
            <w:r>
              <w:rPr>
                <w:rFonts w:hint="eastAsia" w:ascii="仿宋_GB2312" w:hAnsi="仿宋" w:eastAsia="仿宋_GB2312" w:cs="仿宋"/>
                <w:b/>
                <w:color w:val="000000"/>
                <w:sz w:val="24"/>
                <w:szCs w:val="24"/>
              </w:rPr>
              <w:t>上司意见：</w:t>
            </w:r>
          </w:p>
        </w:tc>
      </w:tr>
      <w:tr>
        <w:trPr>
          <w:trHeight w:val="0" w:hRule="atLeast"/>
        </w:trPr>
        <w:tc>
          <w:tcPr>
            <w:tcW w:w="0" w:type="auto"/>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建议（期望、发展方向、培养方向）</w:t>
            </w:r>
          </w:p>
        </w:tc>
        <w:tc>
          <w:tcPr>
            <w:tcW w:w="0" w:type="auto"/>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wordWrap/>
              <w:bidi w:val="0"/>
              <w:spacing w:after="0" w:line="500" w:lineRule="exact"/>
              <w:ind w:firstLine="442" w:firstLineChars="200"/>
              <w:rPr>
                <w:rFonts w:hint="eastAsia" w:ascii="仿宋_GB2312" w:hAnsi="仿宋" w:eastAsia="仿宋_GB2312" w:cs="仿宋"/>
                <w:b/>
                <w:color w:val="000000"/>
                <w:sz w:val="24"/>
                <w:szCs w:val="24"/>
              </w:rPr>
            </w:pPr>
            <w:r>
              <w:rPr>
                <w:rFonts w:hint="eastAsia" w:ascii="仿宋_GB2312" w:hAnsi="仿宋" w:eastAsia="仿宋_GB2312" w:cs="仿宋"/>
                <w:b/>
                <w:color w:val="000000"/>
                <w:sz w:val="24"/>
                <w:szCs w:val="24"/>
              </w:rPr>
              <w:t>部门负责人结论</w:t>
            </w:r>
          </w:p>
          <w:p>
            <w:pPr>
              <w:keepNext w:val="0"/>
              <w:keepLines w:val="0"/>
              <w:pageBreakBefore w:val="0"/>
              <w:widowControl w:val="0"/>
              <w:numPr>
                <w:ilvl w:val="0"/>
                <w:numId w:val="34"/>
              </w:numPr>
              <w:wordWrap/>
              <w:bidi w:val="0"/>
              <w:adjustRightInd/>
              <w:snapToGrid/>
              <w:spacing w:after="0" w:line="500" w:lineRule="exact"/>
              <w:ind w:firstLine="442" w:firstLineChars="200"/>
              <w:jc w:val="both"/>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通过试用期/见习期</w:t>
            </w:r>
          </w:p>
          <w:p>
            <w:pPr>
              <w:keepNext w:val="0"/>
              <w:keepLines w:val="0"/>
              <w:pageBreakBefore w:val="0"/>
              <w:widowControl w:val="0"/>
              <w:numPr>
                <w:ilvl w:val="0"/>
                <w:numId w:val="34"/>
              </w:numPr>
              <w:wordWrap/>
              <w:bidi w:val="0"/>
              <w:adjustRightInd/>
              <w:snapToGrid/>
              <w:spacing w:after="0" w:line="500" w:lineRule="exact"/>
              <w:ind w:firstLine="442" w:firstLineChars="200"/>
              <w:jc w:val="both"/>
              <w:rPr>
                <w:rFonts w:hint="eastAsia" w:ascii="仿宋_GB2312" w:hAnsi="仿宋" w:eastAsia="仿宋_GB2312" w:cs="仿宋"/>
                <w:b/>
                <w:color w:val="000000"/>
                <w:sz w:val="24"/>
                <w:szCs w:val="24"/>
              </w:rPr>
            </w:pPr>
            <w:r>
              <w:rPr>
                <w:rFonts w:hint="eastAsia" w:ascii="仿宋_GB2312" w:hAnsi="仿宋" w:eastAsia="仿宋_GB2312" w:cs="仿宋"/>
                <w:color w:val="000000"/>
                <w:sz w:val="24"/>
                <w:szCs w:val="24"/>
              </w:rPr>
              <w:t>不适合本工作，解除合同</w:t>
            </w:r>
          </w:p>
        </w:tc>
      </w:tr>
      <w:tr>
        <w:tblPrEx>
          <w:tblCellMar>
            <w:top w:w="0" w:type="dxa"/>
            <w:left w:w="108" w:type="dxa"/>
            <w:bottom w:w="0" w:type="dxa"/>
            <w:right w:w="108" w:type="dxa"/>
          </w:tblCellMar>
        </w:tblPrEx>
        <w:trPr>
          <w:trHeight w:val="0"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上司签名/日期：</w:t>
            </w:r>
          </w:p>
        </w:tc>
        <w:tc>
          <w:tcPr>
            <w:tcW w:w="0" w:type="auto"/>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部门经理签名/日期：</w:t>
            </w:r>
          </w:p>
        </w:tc>
      </w:tr>
      <w:tr>
        <w:tblPrEx>
          <w:tblCellMar>
            <w:top w:w="0" w:type="dxa"/>
            <w:left w:w="108" w:type="dxa"/>
            <w:bottom w:w="0" w:type="dxa"/>
            <w:right w:w="108" w:type="dxa"/>
          </w:tblCellMar>
        </w:tblPrEx>
        <w:trPr>
          <w:trHeight w:val="0" w:hRule="atLeast"/>
        </w:trPr>
        <w:tc>
          <w:tcPr>
            <w:tcW w:w="0" w:type="auto"/>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wordWrap/>
              <w:bidi w:val="0"/>
              <w:spacing w:after="0" w:line="500" w:lineRule="exact"/>
              <w:rPr>
                <w:rFonts w:hint="eastAsia" w:ascii="仿宋_GB2312" w:hAnsi="仿宋" w:eastAsia="仿宋_GB2312" w:cs="仿宋"/>
                <w:b/>
                <w:color w:val="000000"/>
                <w:sz w:val="24"/>
                <w:szCs w:val="24"/>
              </w:rPr>
            </w:pPr>
            <w:r>
              <w:rPr>
                <w:rFonts w:hint="eastAsia" w:ascii="仿宋_GB2312" w:hAnsi="仿宋" w:eastAsia="仿宋_GB2312" w:cs="仿宋"/>
                <w:b/>
                <w:color w:val="000000"/>
                <w:sz w:val="24"/>
                <w:szCs w:val="24"/>
              </w:rPr>
              <w:t>行政人事部意见：</w:t>
            </w:r>
          </w:p>
        </w:tc>
        <w:tc>
          <w:tcPr>
            <w:tcW w:w="0" w:type="auto"/>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wordWrap/>
              <w:bidi w:val="0"/>
              <w:spacing w:after="0" w:line="500" w:lineRule="exact"/>
              <w:ind w:firstLine="442" w:firstLineChars="200"/>
              <w:rPr>
                <w:rFonts w:hint="eastAsia" w:ascii="仿宋_GB2312" w:hAnsi="仿宋" w:eastAsia="仿宋_GB2312" w:cs="仿宋"/>
                <w:b/>
                <w:color w:val="000000"/>
                <w:sz w:val="24"/>
                <w:szCs w:val="24"/>
              </w:rPr>
            </w:pPr>
            <w:r>
              <w:rPr>
                <w:rFonts w:hint="eastAsia" w:ascii="仿宋_GB2312" w:hAnsi="仿宋" w:eastAsia="仿宋_GB2312" w:cs="仿宋"/>
                <w:b/>
                <w:color w:val="000000"/>
                <w:sz w:val="24"/>
                <w:szCs w:val="24"/>
              </w:rPr>
              <w:t>行政人事部结论</w:t>
            </w:r>
          </w:p>
          <w:p>
            <w:pPr>
              <w:keepNext w:val="0"/>
              <w:keepLines w:val="0"/>
              <w:pageBreakBefore w:val="0"/>
              <w:widowControl w:val="0"/>
              <w:wordWrap/>
              <w:bidi w:val="0"/>
              <w:spacing w:after="0" w:line="500" w:lineRule="exact"/>
              <w:rPr>
                <w:rFonts w:hint="eastAsia" w:ascii="仿宋_GB2312" w:hAnsi="仿宋" w:eastAsia="仿宋_GB2312" w:cs="仿宋"/>
                <w:b/>
                <w:color w:val="000000"/>
                <w:sz w:val="24"/>
                <w:szCs w:val="24"/>
              </w:rPr>
            </w:pPr>
          </w:p>
          <w:p>
            <w:pPr>
              <w:keepNext w:val="0"/>
              <w:keepLines w:val="0"/>
              <w:pageBreakBefore w:val="0"/>
              <w:widowControl w:val="0"/>
              <w:wordWrap/>
              <w:bidi w:val="0"/>
              <w:spacing w:after="0" w:line="500" w:lineRule="exact"/>
              <w:ind w:firstLine="442" w:firstLineChars="200"/>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□通过试用期/见习期</w:t>
            </w:r>
          </w:p>
          <w:p>
            <w:pPr>
              <w:keepNext w:val="0"/>
              <w:keepLines w:val="0"/>
              <w:pageBreakBefore w:val="0"/>
              <w:widowControl w:val="0"/>
              <w:wordWrap/>
              <w:bidi w:val="0"/>
              <w:spacing w:after="0" w:line="500" w:lineRule="exact"/>
              <w:ind w:firstLine="442" w:firstLineChars="200"/>
              <w:rPr>
                <w:rFonts w:hint="eastAsia" w:ascii="仿宋_GB2312" w:hAnsi="仿宋" w:eastAsia="仿宋_GB2312" w:cs="仿宋"/>
                <w:b/>
                <w:color w:val="000000"/>
                <w:sz w:val="24"/>
                <w:szCs w:val="24"/>
              </w:rPr>
            </w:pPr>
            <w:r>
              <w:rPr>
                <w:rFonts w:hint="eastAsia" w:ascii="仿宋_GB2312" w:hAnsi="仿宋" w:eastAsia="仿宋_GB2312" w:cs="仿宋"/>
                <w:color w:val="000000"/>
                <w:sz w:val="24"/>
                <w:szCs w:val="24"/>
              </w:rPr>
              <w:t>□不适合本工作，解除合同</w:t>
            </w:r>
          </w:p>
        </w:tc>
      </w:tr>
      <w:tr>
        <w:tblPrEx>
          <w:tblCellMar>
            <w:top w:w="0" w:type="dxa"/>
            <w:left w:w="108" w:type="dxa"/>
            <w:bottom w:w="0" w:type="dxa"/>
            <w:right w:w="108" w:type="dxa"/>
          </w:tblCellMar>
        </w:tblPrEx>
        <w:trPr>
          <w:trHeight w:val="0" w:hRule="atLeast"/>
        </w:trPr>
        <w:tc>
          <w:tcPr>
            <w:tcW w:w="0" w:type="auto"/>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行政人事部签名/日期：</w:t>
            </w:r>
          </w:p>
        </w:tc>
      </w:tr>
      <w:tr>
        <w:tblPrEx>
          <w:tblCellMar>
            <w:top w:w="0" w:type="dxa"/>
            <w:left w:w="108" w:type="dxa"/>
            <w:bottom w:w="0" w:type="dxa"/>
            <w:right w:w="108" w:type="dxa"/>
          </w:tblCellMar>
        </w:tblPrEx>
        <w:trPr>
          <w:trHeight w:val="0" w:hRule="atLeast"/>
        </w:trPr>
        <w:tc>
          <w:tcPr>
            <w:tcW w:w="0" w:type="auto"/>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wordWrap/>
              <w:bidi w:val="0"/>
              <w:spacing w:after="0" w:line="500" w:lineRule="exact"/>
              <w:ind w:firstLine="442" w:firstLineChars="200"/>
              <w:rPr>
                <w:rFonts w:hint="eastAsia" w:ascii="仿宋_GB2312" w:hAnsi="仿宋" w:eastAsia="仿宋_GB2312" w:cs="仿宋"/>
                <w:b/>
                <w:color w:val="000000"/>
                <w:sz w:val="24"/>
                <w:szCs w:val="24"/>
              </w:rPr>
            </w:pPr>
            <w:r>
              <w:rPr>
                <w:rFonts w:hint="eastAsia" w:ascii="仿宋_GB2312" w:hAnsi="仿宋" w:eastAsia="仿宋_GB2312" w:cs="仿宋"/>
                <w:b/>
                <w:color w:val="000000"/>
                <w:sz w:val="24"/>
                <w:szCs w:val="24"/>
              </w:rPr>
              <w:t>总经理意见：</w:t>
            </w:r>
          </w:p>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p>
            <w:pPr>
              <w:keepNext w:val="0"/>
              <w:keepLines w:val="0"/>
              <w:pageBreakBefore w:val="0"/>
              <w:widowControl w:val="0"/>
              <w:wordWrap/>
              <w:bidi w:val="0"/>
              <w:spacing w:after="0" w:line="500" w:lineRule="exact"/>
              <w:ind w:firstLine="442" w:firstLineChars="200"/>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签名/日期：</w:t>
            </w:r>
          </w:p>
        </w:tc>
      </w:tr>
      <w:tr>
        <w:tblPrEx>
          <w:tblCellMar>
            <w:top w:w="0" w:type="dxa"/>
            <w:left w:w="108" w:type="dxa"/>
            <w:bottom w:w="0" w:type="dxa"/>
            <w:right w:w="108" w:type="dxa"/>
          </w:tblCellMar>
        </w:tblPrEx>
        <w:trPr>
          <w:trHeight w:val="0"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b/>
                <w:color w:val="000000"/>
                <w:sz w:val="24"/>
                <w:szCs w:val="24"/>
              </w:rPr>
            </w:pPr>
            <w:r>
              <w:rPr>
                <w:rFonts w:hint="eastAsia" w:ascii="仿宋_GB2312" w:hAnsi="仿宋" w:eastAsia="仿宋_GB2312" w:cs="仿宋"/>
                <w:b/>
                <w:color w:val="000000"/>
                <w:sz w:val="24"/>
                <w:szCs w:val="24"/>
              </w:rPr>
              <w:t>评定结果</w:t>
            </w:r>
          </w:p>
        </w:tc>
        <w:tc>
          <w:tcPr>
            <w:tcW w:w="0" w:type="auto"/>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after="0" w:line="500" w:lineRule="exact"/>
              <w:ind w:firstLine="442" w:firstLineChars="200"/>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□不符合录用条件，解除合同</w:t>
            </w:r>
          </w:p>
          <w:p>
            <w:pPr>
              <w:keepNext w:val="0"/>
              <w:keepLines w:val="0"/>
              <w:pageBreakBefore w:val="0"/>
              <w:widowControl w:val="0"/>
              <w:wordWrap/>
              <w:bidi w:val="0"/>
              <w:spacing w:after="0" w:line="500" w:lineRule="exact"/>
              <w:ind w:firstLine="442" w:firstLineChars="200"/>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□通过试用期转正</w:t>
            </w:r>
          </w:p>
        </w:tc>
      </w:tr>
    </w:tbl>
    <w:p>
      <w:pPr>
        <w:pStyle w:val="3"/>
        <w:keepNext w:val="0"/>
        <w:keepLines w:val="0"/>
        <w:pageBreakBefore w:val="0"/>
        <w:widowControl w:val="0"/>
        <w:wordWrap/>
        <w:bidi w:val="0"/>
        <w:spacing w:before="0" w:after="0" w:line="240" w:lineRule="auto"/>
        <w:jc w:val="center"/>
        <w:rPr>
          <w:rFonts w:ascii="仿宋_GB2312" w:eastAsia="仿宋_GB2312"/>
          <w:color w:val="000000"/>
          <w:sz w:val="40"/>
          <w:szCs w:val="40"/>
        </w:rPr>
      </w:pPr>
      <w:r>
        <w:rPr>
          <w:rFonts w:hint="eastAsia" w:ascii="仿宋_GB2312" w:eastAsia="仿宋_GB2312"/>
          <w:color w:val="000000"/>
          <w:sz w:val="28"/>
          <w:szCs w:val="28"/>
        </w:rPr>
        <w:br w:type="page"/>
      </w:r>
      <w:bookmarkStart w:id="121" w:name="_Toc75811726"/>
      <w:r>
        <w:rPr>
          <w:rFonts w:hint="eastAsia" w:ascii="方正小标宋简体" w:hAnsi="方正小标宋简体" w:eastAsia="方正小标宋简体" w:cs="方正小标宋简体"/>
          <w:b w:val="0"/>
          <w:bCs w:val="0"/>
          <w:color w:val="000000"/>
          <w:sz w:val="40"/>
          <w:szCs w:val="40"/>
        </w:rPr>
        <w:t>考勤管理制度</w:t>
      </w:r>
      <w:bookmarkEnd w:id="121"/>
    </w:p>
    <w:p>
      <w:pPr>
        <w:keepNext w:val="0"/>
        <w:keepLines w:val="0"/>
        <w:pageBreakBefore w:val="0"/>
        <w:widowControl w:val="0"/>
        <w:wordWrap/>
        <w:bidi w:val="0"/>
        <w:spacing w:after="0" w:line="500" w:lineRule="exact"/>
        <w:ind w:firstLine="522" w:firstLineChars="200"/>
        <w:rPr>
          <w:rFonts w:hint="eastAsia" w:ascii="黑体" w:hAnsi="黑体" w:eastAsia="黑体" w:cs="黑体"/>
          <w:bCs/>
          <w:color w:val="000000"/>
          <w:sz w:val="28"/>
          <w:szCs w:val="28"/>
        </w:rPr>
      </w:pPr>
      <w:r>
        <w:rPr>
          <w:rFonts w:hint="eastAsia" w:ascii="黑体" w:hAnsi="黑体" w:eastAsia="黑体" w:cs="黑体"/>
          <w:bCs/>
          <w:color w:val="000000"/>
          <w:sz w:val="28"/>
          <w:szCs w:val="28"/>
        </w:rPr>
        <w:t>一、目的</w:t>
      </w:r>
    </w:p>
    <w:p>
      <w:pPr>
        <w:keepNext w:val="0"/>
        <w:keepLines w:val="0"/>
        <w:pageBreakBefore w:val="0"/>
        <w:widowControl w:val="0"/>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为了规范公司考勤管理，严肃工作纪律，有效提升员工的敬业精神，并使员工的工资核算做到有法可依，结合我公司实际情况，特制定本规定。</w:t>
      </w:r>
    </w:p>
    <w:p>
      <w:pPr>
        <w:keepNext w:val="0"/>
        <w:keepLines w:val="0"/>
        <w:pageBreakBefore w:val="0"/>
        <w:widowControl w:val="0"/>
        <w:wordWrap/>
        <w:bidi w:val="0"/>
        <w:spacing w:after="0" w:line="500" w:lineRule="exact"/>
        <w:ind w:firstLine="522" w:firstLineChars="200"/>
        <w:rPr>
          <w:rFonts w:hint="eastAsia" w:ascii="黑体" w:hAnsi="黑体" w:eastAsia="黑体" w:cs="黑体"/>
          <w:bCs/>
          <w:color w:val="000000"/>
          <w:sz w:val="28"/>
          <w:szCs w:val="28"/>
        </w:rPr>
      </w:pPr>
      <w:r>
        <w:rPr>
          <w:rFonts w:hint="eastAsia" w:ascii="黑体" w:hAnsi="黑体" w:eastAsia="黑体" w:cs="黑体"/>
          <w:bCs/>
          <w:color w:val="000000"/>
          <w:sz w:val="28"/>
          <w:szCs w:val="28"/>
        </w:rPr>
        <w:t>二、适用范围</w:t>
      </w:r>
    </w:p>
    <w:p>
      <w:pPr>
        <w:keepNext w:val="0"/>
        <w:keepLines w:val="0"/>
        <w:pageBreakBefore w:val="0"/>
        <w:widowControl w:val="0"/>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本制度适用于全体员工。</w:t>
      </w:r>
    </w:p>
    <w:p>
      <w:pPr>
        <w:keepNext w:val="0"/>
        <w:keepLines w:val="0"/>
        <w:pageBreakBefore w:val="0"/>
        <w:widowControl w:val="0"/>
        <w:wordWrap/>
        <w:bidi w:val="0"/>
        <w:spacing w:after="0" w:line="500" w:lineRule="exact"/>
        <w:ind w:firstLine="522" w:firstLineChars="200"/>
        <w:rPr>
          <w:rFonts w:hint="eastAsia" w:ascii="黑体" w:hAnsi="黑体" w:eastAsia="黑体" w:cs="黑体"/>
          <w:bCs/>
          <w:color w:val="000000"/>
          <w:sz w:val="28"/>
          <w:szCs w:val="28"/>
        </w:rPr>
      </w:pPr>
      <w:r>
        <w:rPr>
          <w:rFonts w:hint="eastAsia" w:ascii="黑体" w:hAnsi="黑体" w:eastAsia="黑体" w:cs="黑体"/>
          <w:bCs/>
          <w:color w:val="000000"/>
          <w:sz w:val="28"/>
          <w:szCs w:val="28"/>
        </w:rPr>
        <w:t>三、工作时间</w:t>
      </w:r>
    </w:p>
    <w:p>
      <w:pPr>
        <w:keepNext w:val="0"/>
        <w:keepLines w:val="0"/>
        <w:pageBreakBefore w:val="0"/>
        <w:widowControl w:val="0"/>
        <w:numPr>
          <w:ilvl w:val="0"/>
          <w:numId w:val="35"/>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上班时间:9:00-12:00，13:00-18:00，周一到周五</w:t>
      </w:r>
    </w:p>
    <w:p>
      <w:pPr>
        <w:keepNext w:val="0"/>
        <w:keepLines w:val="0"/>
        <w:pageBreakBefore w:val="0"/>
        <w:widowControl w:val="0"/>
        <w:numPr>
          <w:ilvl w:val="0"/>
          <w:numId w:val="35"/>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各部门根据工作情况合理安排人员休假，并填报休假申请表，部门负责人同意签字后报人事部备案。</w:t>
      </w:r>
    </w:p>
    <w:p>
      <w:pPr>
        <w:keepNext w:val="0"/>
        <w:keepLines w:val="0"/>
        <w:pageBreakBefore w:val="0"/>
        <w:widowControl w:val="0"/>
        <w:numPr>
          <w:ilvl w:val="0"/>
          <w:numId w:val="35"/>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全勤奖励:全勤奖奖励200元。凡出现迟到、请假、早退、缺卡、旷工则无全勤奖。</w:t>
      </w:r>
    </w:p>
    <w:p>
      <w:pPr>
        <w:keepNext w:val="0"/>
        <w:keepLines w:val="0"/>
        <w:pageBreakBefore w:val="0"/>
        <w:widowControl w:val="0"/>
        <w:wordWrap/>
        <w:bidi w:val="0"/>
        <w:spacing w:after="0" w:line="500" w:lineRule="exact"/>
        <w:ind w:firstLine="522" w:firstLineChars="200"/>
        <w:rPr>
          <w:rFonts w:hint="eastAsia" w:ascii="黑体" w:hAnsi="黑体" w:eastAsia="黑体" w:cs="黑体"/>
          <w:bCs/>
          <w:color w:val="000000"/>
          <w:sz w:val="28"/>
          <w:szCs w:val="28"/>
        </w:rPr>
      </w:pPr>
      <w:r>
        <w:rPr>
          <w:rFonts w:hint="eastAsia" w:ascii="黑体" w:hAnsi="黑体" w:eastAsia="黑体" w:cs="黑体"/>
          <w:bCs/>
          <w:color w:val="000000"/>
          <w:sz w:val="28"/>
          <w:szCs w:val="28"/>
        </w:rPr>
        <w:t>四、考勤制度</w:t>
      </w:r>
    </w:p>
    <w:p>
      <w:pPr>
        <w:keepNext w:val="0"/>
        <w:keepLines w:val="0"/>
        <w:pageBreakBefore w:val="0"/>
        <w:widowControl w:val="0"/>
        <w:numPr>
          <w:ilvl w:val="0"/>
          <w:numId w:val="36"/>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公司实行每日打卡制度，全体员工都必须自觉遵守工作时间。工作期间要佩戴工牌，严禁说脏话，严禁在办公区域吸烟。</w:t>
      </w:r>
    </w:p>
    <w:p>
      <w:pPr>
        <w:keepNext w:val="0"/>
        <w:keepLines w:val="0"/>
        <w:pageBreakBefore w:val="0"/>
        <w:widowControl w:val="0"/>
        <w:numPr>
          <w:ilvl w:val="0"/>
          <w:numId w:val="36"/>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员工每天上班、下班打卡(共计每日两次)。</w:t>
      </w:r>
    </w:p>
    <w:p>
      <w:pPr>
        <w:keepNext w:val="0"/>
        <w:keepLines w:val="0"/>
        <w:pageBreakBefore w:val="0"/>
        <w:widowControl w:val="0"/>
        <w:numPr>
          <w:ilvl w:val="0"/>
          <w:numId w:val="36"/>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未打卡者，次日向部门负责人汇报原因，未在规定时间内进行说明，则视为未正常出勤，按迟到、早退、旷工计算；之后到人事部领取未打卡申请表，交由部门负责人签字，再由部门负责人递交给总负责人签字，最后提交人事部进行审核，未及时汇报者当日无餐补，本月无全勤。每月补卡次数为3次。</w:t>
      </w:r>
    </w:p>
    <w:p>
      <w:pPr>
        <w:keepNext w:val="0"/>
        <w:keepLines w:val="0"/>
        <w:pageBreakBefore w:val="0"/>
        <w:widowControl w:val="0"/>
        <w:wordWrap/>
        <w:bidi w:val="0"/>
        <w:spacing w:after="0" w:line="500" w:lineRule="exact"/>
        <w:ind w:firstLine="522" w:firstLineChars="200"/>
        <w:rPr>
          <w:rFonts w:hint="eastAsia" w:ascii="黑体" w:hAnsi="黑体" w:eastAsia="黑体" w:cs="黑体"/>
          <w:bCs/>
          <w:color w:val="000000"/>
          <w:sz w:val="28"/>
          <w:szCs w:val="28"/>
        </w:rPr>
      </w:pPr>
      <w:r>
        <w:rPr>
          <w:rFonts w:hint="eastAsia" w:ascii="黑体" w:hAnsi="黑体" w:eastAsia="黑体" w:cs="黑体"/>
          <w:bCs/>
          <w:color w:val="000000"/>
          <w:sz w:val="28"/>
          <w:szCs w:val="28"/>
        </w:rPr>
        <w:t>五、请假与休假制度</w:t>
      </w:r>
    </w:p>
    <w:p>
      <w:pPr>
        <w:keepNext w:val="0"/>
        <w:keepLines w:val="0"/>
        <w:pageBreakBefore w:val="0"/>
        <w:widowControl w:val="0"/>
        <w:numPr>
          <w:ilvl w:val="0"/>
          <w:numId w:val="37"/>
        </w:numPr>
        <w:wordWrap/>
        <w:bidi w:val="0"/>
        <w:spacing w:after="0" w:line="500" w:lineRule="exact"/>
        <w:ind w:firstLine="522" w:firstLineChars="200"/>
        <w:rPr>
          <w:rFonts w:hint="eastAsia" w:ascii="楷体" w:hAnsi="楷体" w:eastAsia="楷体" w:cs="仿宋"/>
          <w:b/>
          <w:color w:val="000000"/>
          <w:sz w:val="28"/>
          <w:szCs w:val="28"/>
        </w:rPr>
      </w:pPr>
      <w:r>
        <w:rPr>
          <w:rFonts w:hint="eastAsia" w:ascii="楷体" w:hAnsi="楷体" w:eastAsia="楷体" w:cs="仿宋"/>
          <w:b/>
          <w:color w:val="000000"/>
          <w:sz w:val="28"/>
          <w:szCs w:val="28"/>
        </w:rPr>
        <w:t>请假流程</w:t>
      </w:r>
    </w:p>
    <w:p>
      <w:pPr>
        <w:keepNext w:val="0"/>
        <w:keepLines w:val="0"/>
        <w:pageBreakBefore w:val="0"/>
        <w:widowControl w:val="0"/>
        <w:numPr>
          <w:ilvl w:val="0"/>
          <w:numId w:val="38"/>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员工请假，均应填写书面《请假申请单》。</w:t>
      </w:r>
    </w:p>
    <w:p>
      <w:pPr>
        <w:keepNext w:val="0"/>
        <w:keepLines w:val="0"/>
        <w:pageBreakBefore w:val="0"/>
        <w:widowControl w:val="0"/>
        <w:numPr>
          <w:ilvl w:val="0"/>
          <w:numId w:val="38"/>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员工请假必须提前一天申请，由部门负责人签字，再由部门负责人提交总负责人签字批准。请假必须由本人亲自办理有关手续，电话请假或委托他人代理手续的视为无效，将按旷工或自动离职处理。</w:t>
      </w:r>
    </w:p>
    <w:p>
      <w:pPr>
        <w:keepNext w:val="0"/>
        <w:keepLines w:val="0"/>
        <w:pageBreakBefore w:val="0"/>
        <w:widowControl w:val="0"/>
        <w:numPr>
          <w:ilvl w:val="0"/>
          <w:numId w:val="38"/>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如因紧急情况或突发急病而无法提前请假时，应在休假当天上班前通过电话或微信请假，并在上班后第一天完成请假审批手续，否则按旷工处理。</w:t>
      </w:r>
    </w:p>
    <w:p>
      <w:pPr>
        <w:keepNext w:val="0"/>
        <w:keepLines w:val="0"/>
        <w:pageBreakBefore w:val="0"/>
        <w:widowControl w:val="0"/>
        <w:numPr>
          <w:ilvl w:val="0"/>
          <w:numId w:val="37"/>
        </w:numPr>
        <w:wordWrap/>
        <w:bidi w:val="0"/>
        <w:spacing w:after="0" w:line="500" w:lineRule="exact"/>
        <w:ind w:firstLine="522" w:firstLineChars="200"/>
        <w:rPr>
          <w:rFonts w:hint="eastAsia" w:ascii="楷体" w:hAnsi="楷体" w:eastAsia="楷体" w:cs="仿宋"/>
          <w:b/>
          <w:bCs/>
          <w:color w:val="000000"/>
          <w:sz w:val="28"/>
          <w:szCs w:val="28"/>
        </w:rPr>
      </w:pPr>
      <w:r>
        <w:rPr>
          <w:rFonts w:hint="eastAsia" w:ascii="楷体" w:hAnsi="楷体" w:eastAsia="楷体" w:cs="仿宋"/>
          <w:b/>
          <w:bCs/>
          <w:color w:val="000000"/>
          <w:sz w:val="28"/>
          <w:szCs w:val="28"/>
        </w:rPr>
        <w:t>病假</w:t>
      </w:r>
    </w:p>
    <w:p>
      <w:pPr>
        <w:keepNext w:val="0"/>
        <w:keepLines w:val="0"/>
        <w:pageBreakBefore w:val="0"/>
        <w:widowControl w:val="0"/>
        <w:numPr>
          <w:ilvl w:val="0"/>
          <w:numId w:val="39"/>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员工非因工负伤或因病不能出勤，可请病假。</w:t>
      </w:r>
    </w:p>
    <w:p>
      <w:pPr>
        <w:keepNext w:val="0"/>
        <w:keepLines w:val="0"/>
        <w:pageBreakBefore w:val="0"/>
        <w:widowControl w:val="0"/>
        <w:numPr>
          <w:ilvl w:val="0"/>
          <w:numId w:val="39"/>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员工休病假的期限遇节假日不顺延，并以病假条上的时间为准。</w:t>
      </w:r>
    </w:p>
    <w:p>
      <w:pPr>
        <w:keepNext w:val="0"/>
        <w:keepLines w:val="0"/>
        <w:pageBreakBefore w:val="0"/>
        <w:widowControl w:val="0"/>
        <w:numPr>
          <w:ilvl w:val="0"/>
          <w:numId w:val="39"/>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病假在一个工作日之内的，需开病情证明。</w:t>
      </w:r>
    </w:p>
    <w:p>
      <w:pPr>
        <w:keepNext w:val="0"/>
        <w:keepLines w:val="0"/>
        <w:pageBreakBefore w:val="0"/>
        <w:widowControl w:val="0"/>
        <w:numPr>
          <w:ilvl w:val="0"/>
          <w:numId w:val="39"/>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病假三个工作日以上的，员工在销假时应递交真实的医院病历、诊断证明、建休证明、诊疗发票，医院病历、诊断证明、建休证明、诊疗发票不真实或存在欺骗行为，公司将请假的时间按旷工论处。</w:t>
      </w:r>
    </w:p>
    <w:p>
      <w:pPr>
        <w:keepNext w:val="0"/>
        <w:keepLines w:val="0"/>
        <w:pageBreakBefore w:val="0"/>
        <w:widowControl w:val="0"/>
        <w:numPr>
          <w:ilvl w:val="0"/>
          <w:numId w:val="39"/>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医院病历、诊断证明、建休证明、诊疗发票，应在上班后当日提交,特殊情况不得超过三天。</w:t>
      </w:r>
    </w:p>
    <w:p>
      <w:pPr>
        <w:keepNext w:val="0"/>
        <w:keepLines w:val="0"/>
        <w:pageBreakBefore w:val="0"/>
        <w:widowControl w:val="0"/>
        <w:numPr>
          <w:ilvl w:val="0"/>
          <w:numId w:val="39"/>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员工因为治疗疾病需要持续请假的，公司将根据实际情况给予医疗期，具体参照《企业职工患病或非因工负伤医疗期的规定》执行。员工薪资发放标准为当地最低工资标准的80%。</w:t>
      </w:r>
    </w:p>
    <w:p>
      <w:pPr>
        <w:keepNext w:val="0"/>
        <w:keepLines w:val="0"/>
        <w:pageBreakBefore w:val="0"/>
        <w:widowControl w:val="0"/>
        <w:numPr>
          <w:ilvl w:val="0"/>
          <w:numId w:val="37"/>
        </w:numPr>
        <w:wordWrap/>
        <w:bidi w:val="0"/>
        <w:spacing w:after="0" w:line="500" w:lineRule="exact"/>
        <w:ind w:firstLine="522" w:firstLineChars="200"/>
        <w:rPr>
          <w:rFonts w:hint="eastAsia" w:ascii="楷体" w:hAnsi="楷体" w:eastAsia="楷体" w:cs="仿宋"/>
          <w:b/>
          <w:color w:val="000000"/>
          <w:sz w:val="28"/>
          <w:szCs w:val="28"/>
        </w:rPr>
      </w:pPr>
      <w:r>
        <w:rPr>
          <w:rFonts w:hint="eastAsia" w:ascii="楷体" w:hAnsi="楷体" w:eastAsia="楷体" w:cs="仿宋"/>
          <w:b/>
          <w:color w:val="000000"/>
          <w:sz w:val="28"/>
          <w:szCs w:val="28"/>
        </w:rPr>
        <w:t>事假</w:t>
      </w:r>
    </w:p>
    <w:p>
      <w:pPr>
        <w:keepNext w:val="0"/>
        <w:keepLines w:val="0"/>
        <w:pageBreakBefore w:val="0"/>
        <w:widowControl w:val="0"/>
        <w:numPr>
          <w:ilvl w:val="0"/>
          <w:numId w:val="40"/>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事假不得影响工作，否则公司不予批准。</w:t>
      </w:r>
    </w:p>
    <w:p>
      <w:pPr>
        <w:keepNext w:val="0"/>
        <w:keepLines w:val="0"/>
        <w:pageBreakBefore w:val="0"/>
        <w:widowControl w:val="0"/>
        <w:numPr>
          <w:ilvl w:val="0"/>
          <w:numId w:val="40"/>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1天以上3天以内的事假，由部门负责人、总负责人审批后递交人事部批准。</w:t>
      </w:r>
    </w:p>
    <w:p>
      <w:pPr>
        <w:keepNext w:val="0"/>
        <w:keepLines w:val="0"/>
        <w:pageBreakBefore w:val="0"/>
        <w:widowControl w:val="0"/>
        <w:numPr>
          <w:ilvl w:val="0"/>
          <w:numId w:val="40"/>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3天以上的事假，须报总经理审批同意后方可休假，否则公司将按旷工处理，并单方面与其解除劳动关系。</w:t>
      </w:r>
    </w:p>
    <w:p>
      <w:pPr>
        <w:keepNext w:val="0"/>
        <w:keepLines w:val="0"/>
        <w:pageBreakBefore w:val="0"/>
        <w:widowControl w:val="0"/>
        <w:numPr>
          <w:ilvl w:val="0"/>
          <w:numId w:val="40"/>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事假为无薪假期，按照日全部工资及补贴100%扣除。</w:t>
      </w:r>
    </w:p>
    <w:p>
      <w:pPr>
        <w:keepNext w:val="0"/>
        <w:keepLines w:val="0"/>
        <w:pageBreakBefore w:val="0"/>
        <w:widowControl w:val="0"/>
        <w:numPr>
          <w:ilvl w:val="0"/>
          <w:numId w:val="40"/>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事假一年不超过15天，每月不超过5天。超过时间视为旷工，公司按本制度进行处理。</w:t>
      </w:r>
    </w:p>
    <w:p>
      <w:pPr>
        <w:keepNext w:val="0"/>
        <w:keepLines w:val="0"/>
        <w:pageBreakBefore w:val="0"/>
        <w:widowControl w:val="0"/>
        <w:numPr>
          <w:ilvl w:val="0"/>
          <w:numId w:val="37"/>
        </w:numPr>
        <w:wordWrap/>
        <w:bidi w:val="0"/>
        <w:spacing w:after="0" w:line="500" w:lineRule="exact"/>
        <w:ind w:firstLine="522" w:firstLineChars="200"/>
        <w:rPr>
          <w:rFonts w:hint="eastAsia" w:ascii="楷体" w:hAnsi="楷体" w:eastAsia="楷体" w:cs="仿宋"/>
          <w:b/>
          <w:color w:val="000000"/>
          <w:sz w:val="28"/>
          <w:szCs w:val="28"/>
        </w:rPr>
      </w:pPr>
      <w:r>
        <w:rPr>
          <w:rFonts w:hint="eastAsia" w:ascii="楷体" w:hAnsi="楷体" w:eastAsia="楷体" w:cs="仿宋"/>
          <w:b/>
          <w:color w:val="000000"/>
          <w:sz w:val="28"/>
          <w:szCs w:val="28"/>
        </w:rPr>
        <w:t>年休假</w:t>
      </w:r>
    </w:p>
    <w:p>
      <w:pPr>
        <w:keepNext w:val="0"/>
        <w:keepLines w:val="0"/>
        <w:pageBreakBefore w:val="0"/>
        <w:widowControl w:val="0"/>
        <w:numPr>
          <w:ilvl w:val="0"/>
          <w:numId w:val="41"/>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连续工作年限介于1-10年的员工，可享受5天年休假；介于10-20年的员工，可享受10天年休假；满20年的，可享受15天年休假。</w:t>
      </w:r>
    </w:p>
    <w:p>
      <w:pPr>
        <w:keepNext w:val="0"/>
        <w:keepLines w:val="0"/>
        <w:pageBreakBefore w:val="0"/>
        <w:widowControl w:val="0"/>
        <w:numPr>
          <w:ilvl w:val="0"/>
          <w:numId w:val="41"/>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员工休年假前必须合理安排好休假期间的工作，如年假需连续休的，必须提前三天申请。</w:t>
      </w:r>
    </w:p>
    <w:p>
      <w:pPr>
        <w:keepNext w:val="0"/>
        <w:keepLines w:val="0"/>
        <w:pageBreakBefore w:val="0"/>
        <w:widowControl w:val="0"/>
        <w:numPr>
          <w:ilvl w:val="0"/>
          <w:numId w:val="41"/>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年假的有效期为一个自然年，不得累计，公司主动安排员工休年假，员工主动选择上班未休完的年假的，期间按正常薪资标准发放工资。</w:t>
      </w:r>
    </w:p>
    <w:p>
      <w:pPr>
        <w:keepNext w:val="0"/>
        <w:keepLines w:val="0"/>
        <w:pageBreakBefore w:val="0"/>
        <w:widowControl w:val="0"/>
        <w:numPr>
          <w:ilvl w:val="0"/>
          <w:numId w:val="41"/>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公司可根据自身实际生产经营情况，自主安排员工年休假。</w:t>
      </w:r>
    </w:p>
    <w:p>
      <w:pPr>
        <w:keepNext w:val="0"/>
        <w:keepLines w:val="0"/>
        <w:pageBreakBefore w:val="0"/>
        <w:widowControl w:val="0"/>
        <w:numPr>
          <w:ilvl w:val="0"/>
          <w:numId w:val="37"/>
        </w:numPr>
        <w:wordWrap/>
        <w:bidi w:val="0"/>
        <w:spacing w:after="0" w:line="500" w:lineRule="exact"/>
        <w:ind w:firstLine="522" w:firstLineChars="200"/>
        <w:rPr>
          <w:rFonts w:hint="eastAsia" w:ascii="楷体" w:hAnsi="楷体" w:eastAsia="楷体" w:cs="仿宋"/>
          <w:b/>
          <w:bCs/>
          <w:color w:val="000000"/>
          <w:sz w:val="28"/>
          <w:szCs w:val="28"/>
        </w:rPr>
      </w:pPr>
      <w:r>
        <w:rPr>
          <w:rFonts w:hint="eastAsia" w:ascii="楷体" w:hAnsi="楷体" w:eastAsia="楷体" w:cs="仿宋"/>
          <w:b/>
          <w:bCs/>
          <w:color w:val="000000"/>
          <w:sz w:val="28"/>
          <w:szCs w:val="28"/>
        </w:rPr>
        <w:t>婚假</w:t>
      </w:r>
    </w:p>
    <w:p>
      <w:pPr>
        <w:keepNext w:val="0"/>
        <w:keepLines w:val="0"/>
        <w:pageBreakBefore w:val="0"/>
        <w:widowControl w:val="0"/>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符合国家法定年龄员工结婚，可享受带薪婚假3天（包含法定节假日及公休假），一次休完。 </w:t>
      </w:r>
    </w:p>
    <w:p>
      <w:pPr>
        <w:keepNext w:val="0"/>
        <w:keepLines w:val="0"/>
        <w:pageBreakBefore w:val="0"/>
        <w:widowControl w:val="0"/>
        <w:numPr>
          <w:ilvl w:val="0"/>
          <w:numId w:val="37"/>
        </w:numPr>
        <w:wordWrap/>
        <w:bidi w:val="0"/>
        <w:spacing w:after="0" w:line="500" w:lineRule="exact"/>
        <w:ind w:firstLine="522" w:firstLineChars="200"/>
        <w:rPr>
          <w:rFonts w:hint="eastAsia" w:ascii="楷体" w:hAnsi="楷体" w:eastAsia="楷体" w:cs="仿宋"/>
          <w:b/>
          <w:bCs/>
          <w:color w:val="000000"/>
          <w:sz w:val="28"/>
          <w:szCs w:val="28"/>
        </w:rPr>
      </w:pPr>
      <w:r>
        <w:rPr>
          <w:rFonts w:hint="eastAsia" w:ascii="楷体" w:hAnsi="楷体" w:eastAsia="楷体" w:cs="仿宋"/>
          <w:b/>
          <w:bCs/>
          <w:color w:val="000000"/>
          <w:sz w:val="28"/>
          <w:szCs w:val="28"/>
        </w:rPr>
        <w:t>产假</w:t>
      </w:r>
    </w:p>
    <w:p>
      <w:pPr>
        <w:keepNext w:val="0"/>
        <w:keepLines w:val="0"/>
        <w:pageBreakBefore w:val="0"/>
        <w:widowControl w:val="0"/>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女职工生育符合条件，办妥生育假期手续的，公司准予休假；</w:t>
      </w:r>
    </w:p>
    <w:p>
      <w:pPr>
        <w:keepNext w:val="0"/>
        <w:keepLines w:val="0"/>
        <w:pageBreakBefore w:val="0"/>
        <w:widowControl w:val="0"/>
        <w:numPr>
          <w:ilvl w:val="0"/>
          <w:numId w:val="42"/>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产假涉及的假期，遇节假日不顺延；</w:t>
      </w:r>
    </w:p>
    <w:p>
      <w:pPr>
        <w:keepNext w:val="0"/>
        <w:keepLines w:val="0"/>
        <w:pageBreakBefore w:val="0"/>
        <w:widowControl w:val="0"/>
        <w:numPr>
          <w:ilvl w:val="0"/>
          <w:numId w:val="42"/>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员工怀孕期间的月检，可享受每月半天的产检假，产检假按事假论处，但不影响全勤奖；</w:t>
      </w:r>
    </w:p>
    <w:p>
      <w:pPr>
        <w:keepNext w:val="0"/>
        <w:keepLines w:val="0"/>
        <w:pageBreakBefore w:val="0"/>
        <w:widowControl w:val="0"/>
        <w:numPr>
          <w:ilvl w:val="0"/>
          <w:numId w:val="42"/>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员工分娩，符合法律生育条件的，可享受158天产假；</w:t>
      </w:r>
    </w:p>
    <w:p>
      <w:pPr>
        <w:keepNext w:val="0"/>
        <w:keepLines w:val="0"/>
        <w:pageBreakBefore w:val="0"/>
        <w:widowControl w:val="0"/>
        <w:numPr>
          <w:ilvl w:val="0"/>
          <w:numId w:val="42"/>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符合法定生育条件的男员工在妻子分娩后，可享受带薪陪产假20天，该期限包括公休假和法定假；</w:t>
      </w:r>
    </w:p>
    <w:p>
      <w:pPr>
        <w:keepNext w:val="0"/>
        <w:keepLines w:val="0"/>
        <w:pageBreakBefore w:val="0"/>
        <w:widowControl w:val="0"/>
        <w:numPr>
          <w:ilvl w:val="0"/>
          <w:numId w:val="42"/>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女员工怀孕未满2个月终止妊娠的，享受15天产假，怀孕满2个月未满4个月终止妊娠的，享受30天产假；怀孕满4个月未满7个月终止妊娠的，享受42天产假；怀孕满7个月终止妊娠的，享受75天产假。</w:t>
      </w:r>
    </w:p>
    <w:p>
      <w:pPr>
        <w:keepNext w:val="0"/>
        <w:keepLines w:val="0"/>
        <w:pageBreakBefore w:val="0"/>
        <w:widowControl w:val="0"/>
        <w:numPr>
          <w:ilvl w:val="0"/>
          <w:numId w:val="42"/>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员工产假期间按国家规定领取生育津贴。</w:t>
      </w:r>
    </w:p>
    <w:p>
      <w:pPr>
        <w:keepNext w:val="0"/>
        <w:keepLines w:val="0"/>
        <w:pageBreakBefore w:val="0"/>
        <w:widowControl w:val="0"/>
        <w:numPr>
          <w:ilvl w:val="0"/>
          <w:numId w:val="37"/>
        </w:numPr>
        <w:wordWrap/>
        <w:bidi w:val="0"/>
        <w:spacing w:after="0" w:line="500" w:lineRule="exact"/>
        <w:ind w:firstLine="522" w:firstLineChars="200"/>
        <w:rPr>
          <w:rFonts w:hint="eastAsia" w:ascii="楷体" w:hAnsi="楷体" w:eastAsia="楷体" w:cs="仿宋"/>
          <w:color w:val="000000"/>
          <w:sz w:val="28"/>
          <w:szCs w:val="28"/>
        </w:rPr>
      </w:pPr>
      <w:r>
        <w:rPr>
          <w:rFonts w:hint="eastAsia" w:ascii="楷体" w:hAnsi="楷体" w:eastAsia="楷体" w:cs="仿宋"/>
          <w:b/>
          <w:bCs/>
          <w:color w:val="000000"/>
          <w:sz w:val="28"/>
          <w:szCs w:val="28"/>
        </w:rPr>
        <w:t>丧假</w:t>
      </w:r>
      <w:r>
        <w:rPr>
          <w:rFonts w:hint="eastAsia" w:ascii="楷体" w:hAnsi="楷体" w:eastAsia="楷体" w:cs="仿宋"/>
          <w:color w:val="000000"/>
          <w:sz w:val="28"/>
          <w:szCs w:val="28"/>
        </w:rPr>
        <w:t xml:space="preserve"> </w:t>
      </w:r>
    </w:p>
    <w:p>
      <w:pPr>
        <w:keepNext w:val="0"/>
        <w:keepLines w:val="0"/>
        <w:pageBreakBefore w:val="0"/>
        <w:widowControl w:val="0"/>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员工直系亲属（父母含公婆及岳父母、配偶、子女及其配偶、祖父母、外祖父母）死亡的，可享受带薪丧假3天；</w:t>
      </w:r>
    </w:p>
    <w:p>
      <w:pPr>
        <w:keepNext w:val="0"/>
        <w:keepLines w:val="0"/>
        <w:pageBreakBefore w:val="0"/>
        <w:widowControl w:val="0"/>
        <w:numPr>
          <w:ilvl w:val="0"/>
          <w:numId w:val="37"/>
        </w:numPr>
        <w:wordWrap/>
        <w:bidi w:val="0"/>
        <w:spacing w:after="0" w:line="500" w:lineRule="exact"/>
        <w:ind w:firstLine="522" w:firstLineChars="200"/>
        <w:rPr>
          <w:rFonts w:hint="eastAsia" w:ascii="楷体" w:hAnsi="楷体" w:eastAsia="楷体" w:cs="仿宋"/>
          <w:b/>
          <w:bCs/>
          <w:color w:val="000000"/>
          <w:sz w:val="28"/>
          <w:szCs w:val="28"/>
        </w:rPr>
      </w:pPr>
      <w:r>
        <w:rPr>
          <w:rFonts w:hint="eastAsia" w:ascii="楷体" w:hAnsi="楷体" w:eastAsia="楷体" w:cs="仿宋"/>
          <w:b/>
          <w:bCs/>
          <w:color w:val="000000"/>
          <w:sz w:val="28"/>
          <w:szCs w:val="28"/>
        </w:rPr>
        <w:t>调休</w:t>
      </w:r>
    </w:p>
    <w:p>
      <w:pPr>
        <w:keepNext w:val="0"/>
        <w:keepLines w:val="0"/>
        <w:pageBreakBefore w:val="0"/>
        <w:widowControl w:val="0"/>
        <w:numPr>
          <w:ilvl w:val="0"/>
          <w:numId w:val="43"/>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休息日加班的员工，在经其所属部门经理批准后，可享受因休息日加班而产生的调休假。</w:t>
      </w:r>
    </w:p>
    <w:p>
      <w:pPr>
        <w:keepNext w:val="0"/>
        <w:keepLines w:val="0"/>
        <w:pageBreakBefore w:val="0"/>
        <w:widowControl w:val="0"/>
        <w:numPr>
          <w:ilvl w:val="0"/>
          <w:numId w:val="43"/>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员工调休时，须考虑部门工作的安排，并提前一天进行申请，经所属部门负责人同意后，才可以休假。</w:t>
      </w:r>
    </w:p>
    <w:p>
      <w:pPr>
        <w:keepNext w:val="0"/>
        <w:keepLines w:val="0"/>
        <w:pageBreakBefore w:val="0"/>
        <w:widowControl w:val="0"/>
        <w:wordWrap/>
        <w:bidi w:val="0"/>
        <w:spacing w:after="0" w:line="500" w:lineRule="exact"/>
        <w:ind w:firstLine="522" w:firstLineChars="200"/>
        <w:rPr>
          <w:rFonts w:hint="eastAsia" w:ascii="黑体" w:hAnsi="黑体" w:eastAsia="黑体" w:cs="黑体"/>
          <w:bCs/>
          <w:color w:val="000000"/>
          <w:sz w:val="28"/>
          <w:szCs w:val="28"/>
        </w:rPr>
      </w:pPr>
      <w:r>
        <w:rPr>
          <w:rFonts w:hint="eastAsia" w:ascii="黑体" w:hAnsi="黑体" w:eastAsia="黑体" w:cs="黑体"/>
          <w:bCs/>
          <w:color w:val="000000"/>
          <w:sz w:val="28"/>
          <w:szCs w:val="28"/>
        </w:rPr>
        <w:t>六、迟到、旷工管理制度</w:t>
      </w:r>
    </w:p>
    <w:p>
      <w:pPr>
        <w:keepNext w:val="0"/>
        <w:keepLines w:val="0"/>
        <w:pageBreakBefore w:val="0"/>
        <w:widowControl w:val="0"/>
        <w:numPr>
          <w:ilvl w:val="0"/>
          <w:numId w:val="44"/>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在规定上班时间未到岗视为迟到，迟到一次警告，一月迟达到五次的，视为严重违规，一小时以上四小时以下未到岗的视为旷工半天，四小时以上未到岗的视为旷工一天。</w:t>
      </w:r>
    </w:p>
    <w:p>
      <w:pPr>
        <w:keepNext w:val="0"/>
        <w:keepLines w:val="0"/>
        <w:pageBreakBefore w:val="0"/>
        <w:widowControl w:val="0"/>
        <w:numPr>
          <w:ilvl w:val="0"/>
          <w:numId w:val="44"/>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未完成请假手续或休假期满未续假而擅自不上班者、伪造考勤记录者，按旷工处理。</w:t>
      </w:r>
    </w:p>
    <w:p>
      <w:pPr>
        <w:keepNext w:val="0"/>
        <w:keepLines w:val="0"/>
        <w:pageBreakBefore w:val="0"/>
        <w:widowControl w:val="0"/>
        <w:numPr>
          <w:ilvl w:val="0"/>
          <w:numId w:val="44"/>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旷工0.5工作日扣除半日工资；旷工1个工作日扣除当天工资。</w:t>
      </w:r>
    </w:p>
    <w:p>
      <w:pPr>
        <w:keepNext w:val="0"/>
        <w:keepLines w:val="0"/>
        <w:pageBreakBefore w:val="0"/>
        <w:widowControl w:val="0"/>
        <w:numPr>
          <w:ilvl w:val="0"/>
          <w:numId w:val="44"/>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连续旷工3个工作日以上包括3个工作日，视为严重违规。</w:t>
      </w:r>
    </w:p>
    <w:p>
      <w:pPr>
        <w:keepNext w:val="0"/>
        <w:keepLines w:val="0"/>
        <w:pageBreakBefore w:val="0"/>
        <w:widowControl w:val="0"/>
        <w:numPr>
          <w:ilvl w:val="0"/>
          <w:numId w:val="44"/>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所有请假、调休都必须事先申请，经有效批准并安排好本职工作后方可休假。员工休假不能按时返回公司者，必须有正当理由办理续假手续，否则均以旷工论处。</w:t>
      </w:r>
    </w:p>
    <w:p>
      <w:pPr>
        <w:keepNext w:val="0"/>
        <w:keepLines w:val="0"/>
        <w:pageBreakBefore w:val="0"/>
        <w:widowControl w:val="0"/>
        <w:wordWrap/>
        <w:bidi w:val="0"/>
        <w:spacing w:after="0" w:line="500" w:lineRule="exact"/>
        <w:ind w:firstLine="522" w:firstLineChars="200"/>
        <w:rPr>
          <w:rFonts w:hint="eastAsia" w:ascii="黑体" w:hAnsi="黑体" w:eastAsia="黑体" w:cs="黑体"/>
          <w:bCs/>
          <w:color w:val="000000"/>
          <w:sz w:val="28"/>
          <w:szCs w:val="28"/>
        </w:rPr>
      </w:pPr>
      <w:r>
        <w:rPr>
          <w:rFonts w:hint="eastAsia" w:ascii="黑体" w:hAnsi="黑体" w:eastAsia="黑体" w:cs="黑体"/>
          <w:bCs/>
          <w:color w:val="000000"/>
          <w:sz w:val="28"/>
          <w:szCs w:val="28"/>
        </w:rPr>
        <w:t>七、加班管理</w:t>
      </w:r>
    </w:p>
    <w:p>
      <w:pPr>
        <w:keepNext w:val="0"/>
        <w:keepLines w:val="0"/>
        <w:pageBreakBefore w:val="0"/>
        <w:widowControl w:val="0"/>
        <w:numPr>
          <w:ilvl w:val="0"/>
          <w:numId w:val="45"/>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公司实行加班审批制度，原则上不提倡加班，鼓励高效率地工作，鼓励员工在规定的工作时间内完成工作任务。由公司需要的加班，可安排相应调休。</w:t>
      </w:r>
    </w:p>
    <w:p>
      <w:pPr>
        <w:keepNext w:val="0"/>
        <w:keepLines w:val="0"/>
        <w:pageBreakBefore w:val="0"/>
        <w:widowControl w:val="0"/>
        <w:numPr>
          <w:ilvl w:val="0"/>
          <w:numId w:val="45"/>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加班需要提前进行申请，部门负责人/主管和领导需要对加班时间进行监控和评估。特殊情况需要临时计划加班者,相关部门主管或经理要加以额外的说明，加班起止均需要进行考勤打卡。</w:t>
      </w:r>
    </w:p>
    <w:p>
      <w:pPr>
        <w:keepNext w:val="0"/>
        <w:keepLines w:val="0"/>
        <w:pageBreakBefore w:val="0"/>
        <w:widowControl w:val="0"/>
        <w:numPr>
          <w:ilvl w:val="0"/>
          <w:numId w:val="45"/>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工作日下班后加班的，加班时间从下班后开始算起，加班时间以30分钟为最小单位。内勤人员下班后加班时间超过2小时及以上的，可以进行点餐，费用不超过12元餐补标准，超过标准部分自行补贴。</w:t>
      </w:r>
    </w:p>
    <w:p>
      <w:pPr>
        <w:keepNext w:val="0"/>
        <w:keepLines w:val="0"/>
        <w:pageBreakBefore w:val="0"/>
        <w:widowControl w:val="0"/>
        <w:numPr>
          <w:ilvl w:val="0"/>
          <w:numId w:val="45"/>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加班调休方式：</w:t>
      </w:r>
    </w:p>
    <w:p>
      <w:pPr>
        <w:keepNext w:val="0"/>
        <w:keepLines w:val="0"/>
        <w:pageBreakBefore w:val="0"/>
        <w:widowControl w:val="0"/>
        <w:numPr>
          <w:ilvl w:val="0"/>
          <w:numId w:val="46"/>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加班3天/月（含三天）以内者，按制度安排调休；</w:t>
      </w:r>
    </w:p>
    <w:p>
      <w:pPr>
        <w:keepNext w:val="0"/>
        <w:keepLines w:val="0"/>
        <w:pageBreakBefore w:val="0"/>
        <w:widowControl w:val="0"/>
        <w:numPr>
          <w:ilvl w:val="0"/>
          <w:numId w:val="46"/>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加班超过3天/月的，公司将调查岗位工作的饱和程度及时间安排的合理性，确属需要加班的，超过3天的部分延至下月调休；</w:t>
      </w:r>
    </w:p>
    <w:p>
      <w:pPr>
        <w:keepNext w:val="0"/>
        <w:keepLines w:val="0"/>
        <w:pageBreakBefore w:val="0"/>
        <w:widowControl w:val="0"/>
        <w:numPr>
          <w:ilvl w:val="0"/>
          <w:numId w:val="46"/>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员工应根据公司人力资源配备情况合理安排加班调休，当年加班未调休完的，可以申请加班工资，加班工资按基本工资核算。</w:t>
      </w:r>
    </w:p>
    <w:p>
      <w:pPr>
        <w:keepNext w:val="0"/>
        <w:keepLines w:val="0"/>
        <w:pageBreakBefore w:val="0"/>
        <w:widowControl w:val="0"/>
        <w:numPr>
          <w:ilvl w:val="0"/>
          <w:numId w:val="45"/>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加班申请审批流程</w:t>
      </w:r>
    </w:p>
    <w:p>
      <w:pPr>
        <w:keepNext w:val="0"/>
        <w:keepLines w:val="0"/>
        <w:pageBreakBefore w:val="0"/>
        <w:widowControl w:val="0"/>
        <w:numPr>
          <w:ilvl w:val="0"/>
          <w:numId w:val="47"/>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员工加班</w:t>
      </w:r>
    </w:p>
    <w:p>
      <w:pPr>
        <w:keepNext w:val="0"/>
        <w:keepLines w:val="0"/>
        <w:pageBreakBefore w:val="0"/>
        <w:widowControl w:val="0"/>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申请人 → 加班申请 → 部门负责人/主管审批 → 抄送行政人事部</w:t>
      </w:r>
    </w:p>
    <w:p>
      <w:pPr>
        <w:keepNext w:val="0"/>
        <w:keepLines w:val="0"/>
        <w:pageBreakBefore w:val="0"/>
        <w:widowControl w:val="0"/>
        <w:numPr>
          <w:ilvl w:val="0"/>
          <w:numId w:val="47"/>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部门负责人/主管加班</w:t>
      </w:r>
    </w:p>
    <w:p>
      <w:pPr>
        <w:keepNext w:val="0"/>
        <w:keepLines w:val="0"/>
        <w:pageBreakBefore w:val="0"/>
        <w:widowControl w:val="0"/>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申请人→加班申请→ 总经理审批→抄送行政人事部</w:t>
      </w:r>
    </w:p>
    <w:p>
      <w:pPr>
        <w:keepNext w:val="0"/>
        <w:keepLines w:val="0"/>
        <w:pageBreakBefore w:val="0"/>
        <w:widowControl w:val="0"/>
        <w:numPr>
          <w:ilvl w:val="0"/>
          <w:numId w:val="45"/>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罚则</w:t>
      </w:r>
    </w:p>
    <w:p>
      <w:pPr>
        <w:keepNext w:val="0"/>
        <w:keepLines w:val="0"/>
        <w:pageBreakBefore w:val="0"/>
        <w:widowControl w:val="0"/>
        <w:numPr>
          <w:ilvl w:val="0"/>
          <w:numId w:val="48"/>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因工作需要而被指派加班时，无特殊理由推诿者，按旷工情节论处。</w:t>
      </w:r>
    </w:p>
    <w:p>
      <w:pPr>
        <w:keepNext w:val="0"/>
        <w:keepLines w:val="0"/>
        <w:pageBreakBefore w:val="0"/>
        <w:widowControl w:val="0"/>
        <w:numPr>
          <w:ilvl w:val="0"/>
          <w:numId w:val="48"/>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加班期间消极怠工，在指定加班时间内未完成交付工作的员工，取消加班调休资格，并视情节轻重惩处。</w:t>
      </w:r>
    </w:p>
    <w:p>
      <w:pPr>
        <w:keepNext w:val="0"/>
        <w:keepLines w:val="0"/>
        <w:pageBreakBefore w:val="0"/>
        <w:widowControl w:val="0"/>
        <w:numPr>
          <w:ilvl w:val="0"/>
          <w:numId w:val="48"/>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为获取加班调休，采用不正当手段（如“正常工作时间故意降低工作效率”、“虚增工作任务”等）取得加班机会进行加班者，一经发现并核实，取消调休，不予支付加班费，给予记大过处分，情节特别严重的解除劳动合同。</w:t>
      </w:r>
    </w:p>
    <w:p>
      <w:pPr>
        <w:keepNext w:val="0"/>
        <w:keepLines w:val="0"/>
        <w:pageBreakBefore w:val="0"/>
        <w:widowControl w:val="0"/>
        <w:wordWrap/>
        <w:bidi w:val="0"/>
        <w:spacing w:after="0" w:line="500" w:lineRule="exact"/>
        <w:ind w:firstLine="522" w:firstLineChars="200"/>
        <w:rPr>
          <w:rFonts w:hint="eastAsia" w:ascii="仿宋_GB2312" w:hAnsi="黑体" w:eastAsia="仿宋_GB2312" w:cs="黑体"/>
          <w:bCs/>
          <w:color w:val="000000"/>
          <w:sz w:val="28"/>
          <w:szCs w:val="28"/>
        </w:rPr>
      </w:pPr>
      <w:r>
        <w:rPr>
          <w:rFonts w:hint="eastAsia" w:ascii="黑体" w:hAnsi="黑体" w:eastAsia="黑体" w:cs="黑体"/>
          <w:bCs/>
          <w:color w:val="000000"/>
          <w:sz w:val="28"/>
          <w:szCs w:val="28"/>
        </w:rPr>
        <w:t>八、严重违规者</w:t>
      </w:r>
    </w:p>
    <w:p>
      <w:pPr>
        <w:keepNext w:val="0"/>
        <w:keepLines w:val="0"/>
        <w:pageBreakBefore w:val="0"/>
        <w:widowControl w:val="0"/>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严重违规者，公司有权予以辞退。</w:t>
      </w:r>
    </w:p>
    <w:p>
      <w:pPr>
        <w:keepNext w:val="0"/>
        <w:keepLines w:val="0"/>
        <w:pageBreakBefore w:val="0"/>
        <w:widowControl w:val="0"/>
        <w:wordWrap/>
        <w:bidi w:val="0"/>
        <w:spacing w:after="0" w:line="500" w:lineRule="exact"/>
        <w:ind w:firstLine="522" w:firstLineChars="200"/>
        <w:rPr>
          <w:rFonts w:hint="eastAsia" w:ascii="黑体" w:hAnsi="黑体" w:eastAsia="黑体" w:cs="黑体"/>
          <w:bCs/>
          <w:color w:val="000000"/>
          <w:sz w:val="28"/>
          <w:szCs w:val="28"/>
        </w:rPr>
      </w:pPr>
      <w:r>
        <w:rPr>
          <w:rFonts w:hint="eastAsia" w:ascii="黑体" w:hAnsi="黑体" w:eastAsia="黑体" w:cs="黑体"/>
          <w:bCs/>
          <w:color w:val="000000"/>
          <w:sz w:val="28"/>
          <w:szCs w:val="28"/>
        </w:rPr>
        <w:t>九、离职</w:t>
      </w:r>
    </w:p>
    <w:p>
      <w:pPr>
        <w:keepNext w:val="0"/>
        <w:keepLines w:val="0"/>
        <w:pageBreakBefore w:val="0"/>
        <w:widowControl w:val="0"/>
        <w:numPr>
          <w:ilvl w:val="0"/>
          <w:numId w:val="49"/>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试用期员工离职提前三天提出申请，正式员工离职请提前一个月提出申请。</w:t>
      </w:r>
    </w:p>
    <w:p>
      <w:pPr>
        <w:keepNext w:val="0"/>
        <w:keepLines w:val="0"/>
        <w:pageBreakBefore w:val="0"/>
        <w:widowControl w:val="0"/>
        <w:numPr>
          <w:ilvl w:val="0"/>
          <w:numId w:val="49"/>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离职需要来人事部领取离职申请书，然后跟部门负责人说明情况，最后由部门负责人跟总负责人说明，离职需有部门负责人、总负责人的签字方可生效。</w:t>
      </w:r>
    </w:p>
    <w:p>
      <w:pPr>
        <w:keepNext w:val="0"/>
        <w:keepLines w:val="0"/>
        <w:pageBreakBefore w:val="0"/>
        <w:widowControl w:val="0"/>
        <w:numPr>
          <w:ilvl w:val="0"/>
          <w:numId w:val="49"/>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部门负责人要做好交接工作，如：工牌（20元）、账号，交接完成之后，部门负责人要与人事部门进行交接。</w:t>
      </w:r>
    </w:p>
    <w:p>
      <w:pPr>
        <w:keepNext w:val="0"/>
        <w:keepLines w:val="0"/>
        <w:pageBreakBefore w:val="0"/>
        <w:widowControl w:val="0"/>
        <w:wordWrap/>
        <w:bidi w:val="0"/>
        <w:spacing w:after="0" w:line="500" w:lineRule="exact"/>
        <w:ind w:firstLine="522" w:firstLineChars="200"/>
        <w:rPr>
          <w:rFonts w:hint="eastAsia" w:ascii="黑体" w:hAnsi="黑体" w:eastAsia="黑体" w:cs="黑体"/>
          <w:bCs/>
          <w:color w:val="000000"/>
          <w:sz w:val="28"/>
          <w:szCs w:val="28"/>
        </w:rPr>
      </w:pPr>
      <w:r>
        <w:rPr>
          <w:rFonts w:hint="eastAsia" w:ascii="黑体" w:hAnsi="黑体" w:eastAsia="黑体" w:cs="黑体"/>
          <w:bCs/>
          <w:color w:val="000000"/>
          <w:sz w:val="28"/>
          <w:szCs w:val="28"/>
        </w:rPr>
        <w:t>十、其他</w:t>
      </w:r>
    </w:p>
    <w:p>
      <w:pPr>
        <w:keepNext w:val="0"/>
        <w:keepLines w:val="0"/>
        <w:pageBreakBefore w:val="0"/>
        <w:widowControl w:val="0"/>
        <w:numPr>
          <w:ilvl w:val="0"/>
          <w:numId w:val="50"/>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各级主管对所属员工的考勤，应严格执行各项规定，若有不照规定或其他隐瞒事项，一经查明，应连带处分。</w:t>
      </w:r>
    </w:p>
    <w:p>
      <w:pPr>
        <w:keepNext w:val="0"/>
        <w:keepLines w:val="0"/>
        <w:pageBreakBefore w:val="0"/>
        <w:widowControl w:val="0"/>
        <w:numPr>
          <w:ilvl w:val="0"/>
          <w:numId w:val="50"/>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员工下班前应跟负责人通知一声，以防出现开会不能参加的情况，如有情况按早退处理。</w:t>
      </w:r>
    </w:p>
    <w:p>
      <w:pPr>
        <w:keepNext w:val="0"/>
        <w:keepLines w:val="0"/>
        <w:pageBreakBefore w:val="0"/>
        <w:widowControl w:val="0"/>
        <w:numPr>
          <w:ilvl w:val="0"/>
          <w:numId w:val="50"/>
        </w:numPr>
        <w:wordWrap/>
        <w:bidi w:val="0"/>
        <w:spacing w:after="0" w:line="500" w:lineRule="exact"/>
        <w:ind w:firstLine="522" w:firstLineChars="200"/>
        <w:rPr>
          <w:rFonts w:hint="eastAsia" w:ascii="仿宋_GB2312" w:hAnsi="仿宋" w:eastAsia="仿宋_GB2312" w:cs="仿宋"/>
          <w:bCs/>
          <w:color w:val="000000"/>
          <w:sz w:val="28"/>
          <w:szCs w:val="28"/>
        </w:rPr>
      </w:pPr>
      <w:r>
        <w:rPr>
          <w:rFonts w:hint="eastAsia" w:ascii="仿宋_GB2312" w:hAnsi="仿宋" w:eastAsia="仿宋_GB2312" w:cs="仿宋"/>
          <w:bCs/>
          <w:color w:val="000000"/>
          <w:sz w:val="28"/>
          <w:szCs w:val="28"/>
        </w:rPr>
        <w:t>上述情况考勤由各部门负责人协助人事部进行管理。</w:t>
      </w:r>
    </w:p>
    <w:p>
      <w:pPr>
        <w:keepNext w:val="0"/>
        <w:keepLines w:val="0"/>
        <w:pageBreakBefore w:val="0"/>
        <w:widowControl w:val="0"/>
        <w:wordWrap/>
        <w:bidi w:val="0"/>
        <w:spacing w:line="500" w:lineRule="exact"/>
        <w:ind w:firstLine="362" w:firstLineChars="200"/>
        <w:jc w:val="center"/>
        <w:rPr>
          <w:rFonts w:hint="eastAsia" w:ascii="方正小标宋简体" w:hAnsi="方正小标宋简体" w:eastAsia="方正小标宋简体" w:cs="方正小标宋简体"/>
          <w:color w:val="000000"/>
          <w:sz w:val="40"/>
          <w:szCs w:val="40"/>
        </w:rPr>
      </w:pPr>
      <w:bookmarkStart w:id="122" w:name="_Toc75811727"/>
      <w:r>
        <w:rPr>
          <w:rFonts w:hint="eastAsia" w:ascii="仿宋_GB2312" w:eastAsia="仿宋_GB2312"/>
          <w:color w:val="000000"/>
          <w:sz w:val="20"/>
          <w:szCs w:val="21"/>
        </w:rPr>
        <w:br w:type="page"/>
      </w:r>
      <w:r>
        <w:rPr>
          <w:rFonts w:hint="eastAsia" w:ascii="方正小标宋简体" w:hAnsi="方正小标宋简体" w:eastAsia="方正小标宋简体" w:cs="方正小标宋简体"/>
          <w:color w:val="000000"/>
          <w:sz w:val="40"/>
          <w:szCs w:val="40"/>
        </w:rPr>
        <w:t>加班申请单</w:t>
      </w:r>
      <w:bookmarkEnd w:id="122"/>
    </w:p>
    <w:p>
      <w:pPr>
        <w:keepNext w:val="0"/>
        <w:keepLines w:val="0"/>
        <w:pageBreakBefore w:val="0"/>
        <w:widowControl w:val="0"/>
        <w:wordWrap/>
        <w:bidi w:val="0"/>
        <w:spacing w:line="500" w:lineRule="exact"/>
        <w:ind w:firstLine="762" w:firstLineChars="200"/>
        <w:jc w:val="center"/>
        <w:rPr>
          <w:rFonts w:hint="eastAsia" w:ascii="方正小标宋简体" w:hAnsi="方正小标宋简体" w:eastAsia="方正小标宋简体" w:cs="方正小标宋简体"/>
          <w:color w:val="000000"/>
          <w:sz w:val="40"/>
          <w:szCs w:val="40"/>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
        <w:gridCol w:w="963"/>
        <w:gridCol w:w="1259"/>
        <w:gridCol w:w="1256"/>
        <w:gridCol w:w="1700"/>
        <w:gridCol w:w="1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113" w:type="dxa"/>
            <w:vMerge w:val="restart"/>
            <w:noWrap w:val="0"/>
            <w:vAlign w:val="center"/>
          </w:tcPr>
          <w:p>
            <w:pPr>
              <w:keepNext w:val="0"/>
              <w:keepLines w:val="0"/>
              <w:pageBreakBefore w:val="0"/>
              <w:widowControl w:val="0"/>
              <w:wordWrap/>
              <w:autoSpaceDE w:val="0"/>
              <w:autoSpaceDN w:val="0"/>
              <w:bidi w:val="0"/>
              <w:spacing w:before="227" w:beforeLines="50" w:after="227" w:afterLines="50" w:line="500" w:lineRule="exact"/>
              <w:jc w:val="center"/>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部门</w:t>
            </w:r>
          </w:p>
        </w:tc>
        <w:tc>
          <w:tcPr>
            <w:tcW w:w="1113" w:type="dxa"/>
            <w:vMerge w:val="restart"/>
            <w:noWrap w:val="0"/>
            <w:vAlign w:val="center"/>
          </w:tcPr>
          <w:p>
            <w:pPr>
              <w:keepNext w:val="0"/>
              <w:keepLines w:val="0"/>
              <w:pageBreakBefore w:val="0"/>
              <w:widowControl w:val="0"/>
              <w:wordWrap/>
              <w:autoSpaceDE w:val="0"/>
              <w:autoSpaceDN w:val="0"/>
              <w:bidi w:val="0"/>
              <w:spacing w:before="227" w:beforeLines="50" w:after="227" w:afterLines="50" w:line="500" w:lineRule="exact"/>
              <w:jc w:val="center"/>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姓名</w:t>
            </w:r>
          </w:p>
        </w:tc>
        <w:tc>
          <w:tcPr>
            <w:tcW w:w="3002" w:type="dxa"/>
            <w:gridSpan w:val="2"/>
            <w:noWrap w:val="0"/>
            <w:vAlign w:val="center"/>
          </w:tcPr>
          <w:p>
            <w:pPr>
              <w:keepNext w:val="0"/>
              <w:keepLines w:val="0"/>
              <w:pageBreakBefore w:val="0"/>
              <w:widowControl w:val="0"/>
              <w:wordWrap/>
              <w:autoSpaceDE w:val="0"/>
              <w:autoSpaceDN w:val="0"/>
              <w:bidi w:val="0"/>
              <w:spacing w:before="227" w:beforeLines="50" w:after="227" w:afterLines="50" w:line="500" w:lineRule="exact"/>
              <w:jc w:val="center"/>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预定加班时间</w:t>
            </w:r>
          </w:p>
        </w:tc>
        <w:tc>
          <w:tcPr>
            <w:tcW w:w="1951" w:type="dxa"/>
            <w:vMerge w:val="restart"/>
            <w:noWrap w:val="0"/>
            <w:vAlign w:val="center"/>
          </w:tcPr>
          <w:p>
            <w:pPr>
              <w:keepNext w:val="0"/>
              <w:keepLines w:val="0"/>
              <w:pageBreakBefore w:val="0"/>
              <w:widowControl w:val="0"/>
              <w:wordWrap/>
              <w:autoSpaceDE w:val="0"/>
              <w:autoSpaceDN w:val="0"/>
              <w:bidi w:val="0"/>
              <w:spacing w:before="227" w:beforeLines="50" w:after="227" w:afterLines="50" w:line="500" w:lineRule="exact"/>
              <w:ind w:firstLine="522" w:firstLineChars="200"/>
              <w:jc w:val="center"/>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加班</w:t>
            </w:r>
          </w:p>
          <w:p>
            <w:pPr>
              <w:keepNext w:val="0"/>
              <w:keepLines w:val="0"/>
              <w:pageBreakBefore w:val="0"/>
              <w:widowControl w:val="0"/>
              <w:wordWrap/>
              <w:autoSpaceDE w:val="0"/>
              <w:autoSpaceDN w:val="0"/>
              <w:bidi w:val="0"/>
              <w:spacing w:before="227" w:beforeLines="50" w:after="227" w:afterLines="50" w:line="500" w:lineRule="exact"/>
              <w:ind w:firstLine="522" w:firstLineChars="200"/>
              <w:jc w:val="center"/>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原因</w:t>
            </w:r>
          </w:p>
        </w:tc>
        <w:tc>
          <w:tcPr>
            <w:tcW w:w="1750" w:type="dxa"/>
            <w:vMerge w:val="restart"/>
            <w:noWrap w:val="0"/>
            <w:vAlign w:val="center"/>
          </w:tcPr>
          <w:p>
            <w:pPr>
              <w:keepNext w:val="0"/>
              <w:keepLines w:val="0"/>
              <w:pageBreakBefore w:val="0"/>
              <w:widowControl w:val="0"/>
              <w:wordWrap/>
              <w:autoSpaceDE w:val="0"/>
              <w:autoSpaceDN w:val="0"/>
              <w:bidi w:val="0"/>
              <w:spacing w:before="227" w:beforeLines="50" w:after="227" w:afterLines="50" w:line="500" w:lineRule="exact"/>
              <w:jc w:val="center"/>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倒休日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3" w:type="dxa"/>
            <w:vMerge w:val="continue"/>
            <w:noWrap w:val="0"/>
            <w:vAlign w:val="center"/>
          </w:tcPr>
          <w:p>
            <w:pPr>
              <w:keepNext w:val="0"/>
              <w:keepLines w:val="0"/>
              <w:pageBreakBefore w:val="0"/>
              <w:widowControl w:val="0"/>
              <w:wordWrap/>
              <w:autoSpaceDE w:val="0"/>
              <w:autoSpaceDN w:val="0"/>
              <w:bidi w:val="0"/>
              <w:spacing w:before="227" w:beforeLines="50" w:after="227" w:afterLines="50" w:line="500" w:lineRule="exact"/>
              <w:jc w:val="center"/>
              <w:rPr>
                <w:rFonts w:hint="eastAsia" w:ascii="仿宋_GB2312" w:hAnsi="仿宋" w:eastAsia="仿宋_GB2312" w:cs="仿宋"/>
                <w:color w:val="000000"/>
                <w:sz w:val="28"/>
                <w:szCs w:val="28"/>
              </w:rPr>
            </w:pPr>
          </w:p>
        </w:tc>
        <w:tc>
          <w:tcPr>
            <w:tcW w:w="1113" w:type="dxa"/>
            <w:vMerge w:val="continue"/>
            <w:noWrap w:val="0"/>
            <w:vAlign w:val="center"/>
          </w:tcPr>
          <w:p>
            <w:pPr>
              <w:keepNext w:val="0"/>
              <w:keepLines w:val="0"/>
              <w:pageBreakBefore w:val="0"/>
              <w:widowControl w:val="0"/>
              <w:wordWrap/>
              <w:autoSpaceDE w:val="0"/>
              <w:autoSpaceDN w:val="0"/>
              <w:bidi w:val="0"/>
              <w:spacing w:before="227" w:beforeLines="50" w:after="227" w:afterLines="50" w:line="500" w:lineRule="exact"/>
              <w:jc w:val="center"/>
              <w:rPr>
                <w:rFonts w:hint="eastAsia" w:ascii="仿宋_GB2312" w:hAnsi="仿宋" w:eastAsia="仿宋_GB2312" w:cs="仿宋"/>
                <w:color w:val="000000"/>
                <w:sz w:val="28"/>
                <w:szCs w:val="28"/>
              </w:rPr>
            </w:pPr>
          </w:p>
        </w:tc>
        <w:tc>
          <w:tcPr>
            <w:tcW w:w="1503" w:type="dxa"/>
            <w:noWrap w:val="0"/>
            <w:vAlign w:val="center"/>
          </w:tcPr>
          <w:p>
            <w:pPr>
              <w:keepNext w:val="0"/>
              <w:keepLines w:val="0"/>
              <w:pageBreakBefore w:val="0"/>
              <w:widowControl w:val="0"/>
              <w:wordWrap/>
              <w:autoSpaceDE w:val="0"/>
              <w:autoSpaceDN w:val="0"/>
              <w:bidi w:val="0"/>
              <w:spacing w:before="227" w:beforeLines="50" w:after="227" w:afterLines="50" w:line="500" w:lineRule="exact"/>
              <w:jc w:val="center"/>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日期</w:t>
            </w:r>
          </w:p>
        </w:tc>
        <w:tc>
          <w:tcPr>
            <w:tcW w:w="1499" w:type="dxa"/>
            <w:noWrap w:val="0"/>
            <w:vAlign w:val="center"/>
          </w:tcPr>
          <w:p>
            <w:pPr>
              <w:keepNext w:val="0"/>
              <w:keepLines w:val="0"/>
              <w:pageBreakBefore w:val="0"/>
              <w:widowControl w:val="0"/>
              <w:wordWrap/>
              <w:autoSpaceDE w:val="0"/>
              <w:autoSpaceDN w:val="0"/>
              <w:bidi w:val="0"/>
              <w:spacing w:before="227" w:beforeLines="50" w:after="227" w:afterLines="50" w:line="500" w:lineRule="exact"/>
              <w:jc w:val="center"/>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加班小时</w:t>
            </w:r>
          </w:p>
        </w:tc>
        <w:tc>
          <w:tcPr>
            <w:tcW w:w="1951" w:type="dxa"/>
            <w:vMerge w:val="continue"/>
            <w:noWrap w:val="0"/>
            <w:vAlign w:val="center"/>
          </w:tcPr>
          <w:p>
            <w:pPr>
              <w:keepNext w:val="0"/>
              <w:keepLines w:val="0"/>
              <w:pageBreakBefore w:val="0"/>
              <w:widowControl w:val="0"/>
              <w:wordWrap/>
              <w:autoSpaceDE w:val="0"/>
              <w:autoSpaceDN w:val="0"/>
              <w:bidi w:val="0"/>
              <w:spacing w:before="227" w:beforeLines="50" w:after="227" w:afterLines="50" w:line="500" w:lineRule="exact"/>
              <w:jc w:val="center"/>
              <w:rPr>
                <w:rFonts w:hint="eastAsia" w:ascii="仿宋_GB2312" w:hAnsi="仿宋" w:eastAsia="仿宋_GB2312" w:cs="仿宋"/>
                <w:color w:val="000000"/>
                <w:sz w:val="28"/>
                <w:szCs w:val="28"/>
              </w:rPr>
            </w:pPr>
          </w:p>
        </w:tc>
        <w:tc>
          <w:tcPr>
            <w:tcW w:w="1750" w:type="dxa"/>
            <w:vMerge w:val="continue"/>
            <w:noWrap w:val="0"/>
            <w:vAlign w:val="center"/>
          </w:tcPr>
          <w:p>
            <w:pPr>
              <w:keepNext w:val="0"/>
              <w:keepLines w:val="0"/>
              <w:pageBreakBefore w:val="0"/>
              <w:widowControl w:val="0"/>
              <w:wordWrap/>
              <w:autoSpaceDE w:val="0"/>
              <w:autoSpaceDN w:val="0"/>
              <w:bidi w:val="0"/>
              <w:spacing w:before="227" w:beforeLines="50" w:after="227" w:afterLines="50" w:line="500" w:lineRule="exact"/>
              <w:jc w:val="center"/>
              <w:rPr>
                <w:rFonts w:hint="eastAsia" w:ascii="仿宋_GB2312" w:hAnsi="仿宋" w:eastAsia="仿宋_GB2312" w:cs="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113" w:type="dxa"/>
            <w:noWrap w:val="0"/>
            <w:vAlign w:val="center"/>
          </w:tcPr>
          <w:p>
            <w:pPr>
              <w:keepNext w:val="0"/>
              <w:keepLines w:val="0"/>
              <w:pageBreakBefore w:val="0"/>
              <w:widowControl w:val="0"/>
              <w:wordWrap/>
              <w:autoSpaceDE w:val="0"/>
              <w:autoSpaceDN w:val="0"/>
              <w:bidi w:val="0"/>
              <w:spacing w:before="227" w:beforeLines="50" w:after="227" w:afterLines="50" w:line="500" w:lineRule="exact"/>
              <w:jc w:val="center"/>
              <w:rPr>
                <w:rFonts w:hint="eastAsia" w:ascii="仿宋_GB2312" w:hAnsi="仿宋" w:eastAsia="仿宋_GB2312" w:cs="仿宋"/>
                <w:color w:val="000000"/>
                <w:sz w:val="28"/>
                <w:szCs w:val="28"/>
              </w:rPr>
            </w:pPr>
          </w:p>
        </w:tc>
        <w:tc>
          <w:tcPr>
            <w:tcW w:w="1113" w:type="dxa"/>
            <w:noWrap w:val="0"/>
            <w:vAlign w:val="center"/>
          </w:tcPr>
          <w:p>
            <w:pPr>
              <w:keepNext w:val="0"/>
              <w:keepLines w:val="0"/>
              <w:pageBreakBefore w:val="0"/>
              <w:widowControl w:val="0"/>
              <w:wordWrap/>
              <w:autoSpaceDE w:val="0"/>
              <w:autoSpaceDN w:val="0"/>
              <w:bidi w:val="0"/>
              <w:spacing w:before="227" w:beforeLines="50" w:after="227" w:afterLines="50" w:line="500" w:lineRule="exact"/>
              <w:jc w:val="center"/>
              <w:rPr>
                <w:rFonts w:hint="eastAsia" w:ascii="仿宋_GB2312" w:hAnsi="仿宋" w:eastAsia="仿宋_GB2312" w:cs="仿宋"/>
                <w:color w:val="000000"/>
                <w:sz w:val="28"/>
                <w:szCs w:val="28"/>
              </w:rPr>
            </w:pPr>
          </w:p>
        </w:tc>
        <w:tc>
          <w:tcPr>
            <w:tcW w:w="1503" w:type="dxa"/>
            <w:noWrap w:val="0"/>
            <w:vAlign w:val="center"/>
          </w:tcPr>
          <w:p>
            <w:pPr>
              <w:keepNext w:val="0"/>
              <w:keepLines w:val="0"/>
              <w:pageBreakBefore w:val="0"/>
              <w:widowControl w:val="0"/>
              <w:wordWrap/>
              <w:autoSpaceDE w:val="0"/>
              <w:autoSpaceDN w:val="0"/>
              <w:bidi w:val="0"/>
              <w:spacing w:before="227" w:beforeLines="50" w:after="227" w:afterLines="50" w:line="500" w:lineRule="exact"/>
              <w:jc w:val="center"/>
              <w:rPr>
                <w:rFonts w:hint="eastAsia" w:ascii="仿宋_GB2312" w:hAnsi="仿宋" w:eastAsia="仿宋_GB2312" w:cs="仿宋"/>
                <w:color w:val="000000"/>
                <w:sz w:val="28"/>
                <w:szCs w:val="28"/>
              </w:rPr>
            </w:pPr>
          </w:p>
        </w:tc>
        <w:tc>
          <w:tcPr>
            <w:tcW w:w="1499" w:type="dxa"/>
            <w:noWrap w:val="0"/>
            <w:vAlign w:val="center"/>
          </w:tcPr>
          <w:p>
            <w:pPr>
              <w:keepNext w:val="0"/>
              <w:keepLines w:val="0"/>
              <w:pageBreakBefore w:val="0"/>
              <w:widowControl w:val="0"/>
              <w:wordWrap/>
              <w:autoSpaceDE w:val="0"/>
              <w:autoSpaceDN w:val="0"/>
              <w:bidi w:val="0"/>
              <w:spacing w:before="227" w:beforeLines="50" w:after="227" w:afterLines="50" w:line="500" w:lineRule="exact"/>
              <w:jc w:val="center"/>
              <w:rPr>
                <w:rFonts w:hint="eastAsia" w:ascii="仿宋_GB2312" w:hAnsi="仿宋" w:eastAsia="仿宋_GB2312" w:cs="仿宋"/>
                <w:color w:val="000000"/>
                <w:sz w:val="28"/>
                <w:szCs w:val="28"/>
              </w:rPr>
            </w:pPr>
          </w:p>
        </w:tc>
        <w:tc>
          <w:tcPr>
            <w:tcW w:w="1951" w:type="dxa"/>
            <w:noWrap w:val="0"/>
            <w:vAlign w:val="center"/>
          </w:tcPr>
          <w:p>
            <w:pPr>
              <w:keepNext w:val="0"/>
              <w:keepLines w:val="0"/>
              <w:pageBreakBefore w:val="0"/>
              <w:widowControl w:val="0"/>
              <w:wordWrap/>
              <w:autoSpaceDE w:val="0"/>
              <w:autoSpaceDN w:val="0"/>
              <w:bidi w:val="0"/>
              <w:spacing w:before="227" w:beforeLines="50" w:after="227" w:afterLines="50" w:line="500" w:lineRule="exact"/>
              <w:jc w:val="center"/>
              <w:rPr>
                <w:rFonts w:hint="eastAsia" w:ascii="仿宋_GB2312" w:hAnsi="仿宋" w:eastAsia="仿宋_GB2312" w:cs="仿宋"/>
                <w:color w:val="000000"/>
                <w:sz w:val="28"/>
                <w:szCs w:val="28"/>
              </w:rPr>
            </w:pPr>
          </w:p>
        </w:tc>
        <w:tc>
          <w:tcPr>
            <w:tcW w:w="1750" w:type="dxa"/>
            <w:noWrap w:val="0"/>
            <w:vAlign w:val="center"/>
          </w:tcPr>
          <w:p>
            <w:pPr>
              <w:keepNext w:val="0"/>
              <w:keepLines w:val="0"/>
              <w:pageBreakBefore w:val="0"/>
              <w:widowControl w:val="0"/>
              <w:wordWrap/>
              <w:autoSpaceDE w:val="0"/>
              <w:autoSpaceDN w:val="0"/>
              <w:bidi w:val="0"/>
              <w:spacing w:before="227" w:beforeLines="50" w:after="227" w:afterLines="50" w:line="500" w:lineRule="exact"/>
              <w:jc w:val="center"/>
              <w:rPr>
                <w:rFonts w:hint="eastAsia" w:ascii="仿宋_GB2312" w:hAnsi="仿宋" w:eastAsia="仿宋_GB2312" w:cs="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113" w:type="dxa"/>
            <w:noWrap w:val="0"/>
            <w:vAlign w:val="center"/>
          </w:tcPr>
          <w:p>
            <w:pPr>
              <w:keepNext w:val="0"/>
              <w:keepLines w:val="0"/>
              <w:pageBreakBefore w:val="0"/>
              <w:widowControl w:val="0"/>
              <w:wordWrap/>
              <w:autoSpaceDE w:val="0"/>
              <w:autoSpaceDN w:val="0"/>
              <w:bidi w:val="0"/>
              <w:spacing w:before="227" w:beforeLines="50" w:after="227" w:afterLines="50" w:line="500" w:lineRule="exact"/>
              <w:jc w:val="center"/>
              <w:rPr>
                <w:rFonts w:hint="eastAsia" w:ascii="仿宋_GB2312" w:hAnsi="仿宋" w:eastAsia="仿宋_GB2312" w:cs="仿宋"/>
                <w:color w:val="000000"/>
                <w:sz w:val="28"/>
                <w:szCs w:val="28"/>
              </w:rPr>
            </w:pPr>
          </w:p>
        </w:tc>
        <w:tc>
          <w:tcPr>
            <w:tcW w:w="1113" w:type="dxa"/>
            <w:noWrap w:val="0"/>
            <w:vAlign w:val="center"/>
          </w:tcPr>
          <w:p>
            <w:pPr>
              <w:keepNext w:val="0"/>
              <w:keepLines w:val="0"/>
              <w:pageBreakBefore w:val="0"/>
              <w:widowControl w:val="0"/>
              <w:wordWrap/>
              <w:autoSpaceDE w:val="0"/>
              <w:autoSpaceDN w:val="0"/>
              <w:bidi w:val="0"/>
              <w:spacing w:before="227" w:beforeLines="50" w:after="227" w:afterLines="50" w:line="500" w:lineRule="exact"/>
              <w:jc w:val="center"/>
              <w:rPr>
                <w:rFonts w:hint="eastAsia" w:ascii="仿宋_GB2312" w:hAnsi="仿宋" w:eastAsia="仿宋_GB2312" w:cs="仿宋"/>
                <w:color w:val="000000"/>
                <w:sz w:val="28"/>
                <w:szCs w:val="28"/>
              </w:rPr>
            </w:pPr>
          </w:p>
        </w:tc>
        <w:tc>
          <w:tcPr>
            <w:tcW w:w="1503" w:type="dxa"/>
            <w:noWrap w:val="0"/>
            <w:vAlign w:val="center"/>
          </w:tcPr>
          <w:p>
            <w:pPr>
              <w:keepNext w:val="0"/>
              <w:keepLines w:val="0"/>
              <w:pageBreakBefore w:val="0"/>
              <w:widowControl w:val="0"/>
              <w:wordWrap/>
              <w:autoSpaceDE w:val="0"/>
              <w:autoSpaceDN w:val="0"/>
              <w:bidi w:val="0"/>
              <w:spacing w:before="227" w:beforeLines="50" w:after="227" w:afterLines="50" w:line="500" w:lineRule="exact"/>
              <w:jc w:val="center"/>
              <w:rPr>
                <w:rFonts w:hint="eastAsia" w:ascii="仿宋_GB2312" w:hAnsi="仿宋" w:eastAsia="仿宋_GB2312" w:cs="仿宋"/>
                <w:color w:val="000000"/>
                <w:sz w:val="28"/>
                <w:szCs w:val="28"/>
              </w:rPr>
            </w:pPr>
          </w:p>
        </w:tc>
        <w:tc>
          <w:tcPr>
            <w:tcW w:w="1499" w:type="dxa"/>
            <w:noWrap w:val="0"/>
            <w:vAlign w:val="center"/>
          </w:tcPr>
          <w:p>
            <w:pPr>
              <w:keepNext w:val="0"/>
              <w:keepLines w:val="0"/>
              <w:pageBreakBefore w:val="0"/>
              <w:widowControl w:val="0"/>
              <w:wordWrap/>
              <w:autoSpaceDE w:val="0"/>
              <w:autoSpaceDN w:val="0"/>
              <w:bidi w:val="0"/>
              <w:spacing w:before="227" w:beforeLines="50" w:after="227" w:afterLines="50" w:line="500" w:lineRule="exact"/>
              <w:jc w:val="center"/>
              <w:rPr>
                <w:rFonts w:hint="eastAsia" w:ascii="仿宋_GB2312" w:hAnsi="仿宋" w:eastAsia="仿宋_GB2312" w:cs="仿宋"/>
                <w:color w:val="000000"/>
                <w:sz w:val="28"/>
                <w:szCs w:val="28"/>
              </w:rPr>
            </w:pPr>
          </w:p>
        </w:tc>
        <w:tc>
          <w:tcPr>
            <w:tcW w:w="1951" w:type="dxa"/>
            <w:noWrap w:val="0"/>
            <w:vAlign w:val="center"/>
          </w:tcPr>
          <w:p>
            <w:pPr>
              <w:keepNext w:val="0"/>
              <w:keepLines w:val="0"/>
              <w:pageBreakBefore w:val="0"/>
              <w:widowControl w:val="0"/>
              <w:wordWrap/>
              <w:autoSpaceDE w:val="0"/>
              <w:autoSpaceDN w:val="0"/>
              <w:bidi w:val="0"/>
              <w:spacing w:before="227" w:beforeLines="50" w:after="227" w:afterLines="50" w:line="500" w:lineRule="exact"/>
              <w:jc w:val="center"/>
              <w:rPr>
                <w:rFonts w:hint="eastAsia" w:ascii="仿宋_GB2312" w:hAnsi="仿宋" w:eastAsia="仿宋_GB2312" w:cs="仿宋"/>
                <w:color w:val="000000"/>
                <w:sz w:val="28"/>
                <w:szCs w:val="28"/>
              </w:rPr>
            </w:pPr>
          </w:p>
        </w:tc>
        <w:tc>
          <w:tcPr>
            <w:tcW w:w="1750" w:type="dxa"/>
            <w:noWrap w:val="0"/>
            <w:vAlign w:val="center"/>
          </w:tcPr>
          <w:p>
            <w:pPr>
              <w:keepNext w:val="0"/>
              <w:keepLines w:val="0"/>
              <w:pageBreakBefore w:val="0"/>
              <w:widowControl w:val="0"/>
              <w:wordWrap/>
              <w:autoSpaceDE w:val="0"/>
              <w:autoSpaceDN w:val="0"/>
              <w:bidi w:val="0"/>
              <w:spacing w:before="227" w:beforeLines="50" w:after="227" w:afterLines="50" w:line="500" w:lineRule="exact"/>
              <w:jc w:val="center"/>
              <w:rPr>
                <w:rFonts w:hint="eastAsia" w:ascii="仿宋_GB2312" w:hAnsi="仿宋" w:eastAsia="仿宋_GB2312" w:cs="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1113" w:type="dxa"/>
            <w:noWrap w:val="0"/>
            <w:vAlign w:val="center"/>
          </w:tcPr>
          <w:p>
            <w:pPr>
              <w:keepNext w:val="0"/>
              <w:keepLines w:val="0"/>
              <w:pageBreakBefore w:val="0"/>
              <w:widowControl w:val="0"/>
              <w:wordWrap/>
              <w:autoSpaceDE w:val="0"/>
              <w:autoSpaceDN w:val="0"/>
              <w:bidi w:val="0"/>
              <w:spacing w:before="227" w:beforeLines="50" w:after="227" w:afterLines="50" w:line="500" w:lineRule="exact"/>
              <w:jc w:val="center"/>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其他</w:t>
            </w:r>
          </w:p>
          <w:p>
            <w:pPr>
              <w:keepNext w:val="0"/>
              <w:keepLines w:val="0"/>
              <w:pageBreakBefore w:val="0"/>
              <w:widowControl w:val="0"/>
              <w:wordWrap/>
              <w:autoSpaceDE w:val="0"/>
              <w:autoSpaceDN w:val="0"/>
              <w:bidi w:val="0"/>
              <w:spacing w:before="227" w:beforeLines="50" w:after="227" w:afterLines="50" w:line="500" w:lineRule="exact"/>
              <w:jc w:val="center"/>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说明</w:t>
            </w:r>
          </w:p>
        </w:tc>
        <w:tc>
          <w:tcPr>
            <w:tcW w:w="7816" w:type="dxa"/>
            <w:gridSpan w:val="5"/>
            <w:noWrap w:val="0"/>
            <w:vAlign w:val="center"/>
          </w:tcPr>
          <w:p>
            <w:pPr>
              <w:keepNext w:val="0"/>
              <w:keepLines w:val="0"/>
              <w:pageBreakBefore w:val="0"/>
              <w:widowControl w:val="0"/>
              <w:wordWrap/>
              <w:bidi w:val="0"/>
              <w:spacing w:before="227" w:beforeLines="50" w:after="227" w:afterLines="50" w:line="500" w:lineRule="exact"/>
              <w:ind w:firstLine="522" w:firstLineChars="200"/>
              <w:rPr>
                <w:rFonts w:hint="eastAsia" w:ascii="仿宋_GB2312" w:hAnsi="仿宋" w:eastAsia="仿宋_GB2312" w:cs="仿宋"/>
                <w:b/>
                <w:color w:val="000000"/>
                <w:sz w:val="28"/>
                <w:szCs w:val="28"/>
              </w:rPr>
            </w:pPr>
            <w:r>
              <w:rPr>
                <w:rFonts w:hint="eastAsia" w:ascii="仿宋_GB2312" w:hAnsi="仿宋" w:eastAsia="仿宋_GB2312" w:cs="仿宋"/>
                <w:color w:val="000000"/>
                <w:sz w:val="28"/>
                <w:szCs w:val="28"/>
              </w:rPr>
              <w:t>1.调休需由部门经理在当月考勤周期内安排休完；</w:t>
            </w:r>
          </w:p>
          <w:p>
            <w:pPr>
              <w:keepNext w:val="0"/>
              <w:keepLines w:val="0"/>
              <w:pageBreakBefore w:val="0"/>
              <w:widowControl w:val="0"/>
              <w:wordWrap/>
              <w:bidi w:val="0"/>
              <w:spacing w:before="227" w:beforeLines="50" w:after="227" w:afterLines="50" w:line="500" w:lineRule="exact"/>
              <w:ind w:firstLine="522" w:firstLineChars="200"/>
              <w:rPr>
                <w:rFonts w:hint="eastAsia" w:ascii="仿宋_GB2312" w:hAnsi="仿宋" w:eastAsia="仿宋_GB2312" w:cs="仿宋"/>
                <w:b/>
                <w:color w:val="000000"/>
                <w:sz w:val="28"/>
                <w:szCs w:val="28"/>
              </w:rPr>
            </w:pPr>
            <w:r>
              <w:rPr>
                <w:rFonts w:hint="eastAsia" w:ascii="仿宋_GB2312" w:hAnsi="仿宋" w:eastAsia="仿宋_GB2312" w:cs="仿宋"/>
                <w:color w:val="000000"/>
                <w:sz w:val="28"/>
                <w:szCs w:val="28"/>
              </w:rPr>
              <w:t>2.如遇特殊情况，不得超过下一考勤周期；</w:t>
            </w:r>
          </w:p>
          <w:p>
            <w:pPr>
              <w:keepNext w:val="0"/>
              <w:keepLines w:val="0"/>
              <w:pageBreakBefore w:val="0"/>
              <w:widowControl w:val="0"/>
              <w:wordWrap/>
              <w:autoSpaceDE w:val="0"/>
              <w:autoSpaceDN w:val="0"/>
              <w:bidi w:val="0"/>
              <w:spacing w:before="227" w:beforeLines="50" w:after="227" w:afterLines="5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3.考勤周期从当月1日到当月最后一日。</w:t>
            </w:r>
          </w:p>
        </w:tc>
      </w:tr>
    </w:tbl>
    <w:p>
      <w:pPr>
        <w:keepNext w:val="0"/>
        <w:keepLines w:val="0"/>
        <w:pageBreakBefore w:val="0"/>
        <w:widowControl w:val="0"/>
        <w:kinsoku/>
        <w:wordWrap/>
        <w:overflowPunct/>
        <w:topLinePunct w:val="0"/>
        <w:autoSpaceDE/>
        <w:autoSpaceDN/>
        <w:bidi w:val="0"/>
        <w:adjustRightInd/>
        <w:snapToGrid/>
        <w:spacing w:before="227" w:beforeLines="50" w:after="227" w:afterLines="50" w:line="500" w:lineRule="exact"/>
        <w:ind w:firstLine="0" w:firstLineChars="0"/>
        <w:textAlignment w:val="auto"/>
        <w:rPr>
          <w:rFonts w:hint="eastAsia" w:ascii="仿宋" w:hAnsi="仿宋" w:eastAsia="仿宋" w:cs="仿宋"/>
          <w:b/>
          <w:color w:val="000000"/>
          <w:sz w:val="28"/>
          <w:szCs w:val="28"/>
        </w:rPr>
      </w:pPr>
      <w:r>
        <w:rPr>
          <w:rFonts w:hint="eastAsia" w:ascii="仿宋" w:hAnsi="仿宋" w:eastAsia="仿宋" w:cs="仿宋"/>
          <w:b/>
          <w:color w:val="000000"/>
          <w:sz w:val="28"/>
          <w:szCs w:val="28"/>
        </w:rPr>
        <w:t xml:space="preserve">申请人：        </w:t>
      </w:r>
      <w:r>
        <w:rPr>
          <w:rFonts w:hint="eastAsia" w:ascii="仿宋" w:hAnsi="仿宋" w:eastAsia="仿宋" w:cs="仿宋"/>
          <w:b/>
          <w:color w:val="000000"/>
          <w:sz w:val="28"/>
          <w:szCs w:val="28"/>
          <w:lang w:val="en-US" w:eastAsia="zh-CN"/>
        </w:rPr>
        <w:t xml:space="preserve">  </w:t>
      </w:r>
      <w:r>
        <w:rPr>
          <w:rFonts w:hint="eastAsia" w:ascii="仿宋" w:hAnsi="仿宋" w:eastAsia="仿宋" w:cs="仿宋"/>
          <w:b/>
          <w:color w:val="000000"/>
          <w:sz w:val="28"/>
          <w:szCs w:val="28"/>
        </w:rPr>
        <w:t xml:space="preserve">    申请时间：   年    月   日</w:t>
      </w:r>
    </w:p>
    <w:p>
      <w:pPr>
        <w:keepNext w:val="0"/>
        <w:keepLines w:val="0"/>
        <w:pageBreakBefore w:val="0"/>
        <w:widowControl w:val="0"/>
        <w:kinsoku/>
        <w:wordWrap/>
        <w:overflowPunct/>
        <w:topLinePunct w:val="0"/>
        <w:autoSpaceDE/>
        <w:autoSpaceDN/>
        <w:bidi w:val="0"/>
        <w:adjustRightInd/>
        <w:snapToGrid/>
        <w:spacing w:before="227" w:beforeLines="50" w:after="227" w:afterLines="50" w:line="500" w:lineRule="exact"/>
        <w:ind w:firstLine="0" w:firstLineChars="0"/>
        <w:jc w:val="left"/>
        <w:textAlignment w:val="auto"/>
        <w:rPr>
          <w:rFonts w:hint="eastAsia" w:ascii="仿宋" w:hAnsi="仿宋" w:eastAsia="仿宋" w:cs="仿宋"/>
          <w:b/>
          <w:color w:val="000000"/>
          <w:sz w:val="28"/>
          <w:szCs w:val="28"/>
        </w:rPr>
      </w:pPr>
      <w:r>
        <w:rPr>
          <w:rFonts w:hint="eastAsia" w:ascii="仿宋" w:hAnsi="仿宋" w:eastAsia="仿宋" w:cs="仿宋"/>
          <w:b/>
          <w:color w:val="000000"/>
          <w:sz w:val="28"/>
          <w:szCs w:val="28"/>
        </w:rPr>
        <w:t xml:space="preserve">部门经理：    </w:t>
      </w:r>
      <w:r>
        <w:rPr>
          <w:rFonts w:hint="eastAsia" w:ascii="仿宋" w:hAnsi="仿宋" w:eastAsia="仿宋" w:cs="仿宋"/>
          <w:b/>
          <w:color w:val="000000"/>
          <w:sz w:val="28"/>
          <w:szCs w:val="28"/>
          <w:lang w:val="en-US" w:eastAsia="zh-CN"/>
        </w:rPr>
        <w:t xml:space="preserve">      </w:t>
      </w:r>
      <w:r>
        <w:rPr>
          <w:rFonts w:hint="eastAsia" w:ascii="仿宋" w:hAnsi="仿宋" w:eastAsia="仿宋" w:cs="仿宋"/>
          <w:b/>
          <w:color w:val="000000"/>
          <w:sz w:val="28"/>
          <w:szCs w:val="28"/>
        </w:rPr>
        <w:t xml:space="preserve"> 主管副总：</w:t>
      </w:r>
      <w:r>
        <w:rPr>
          <w:rFonts w:hint="eastAsia" w:ascii="仿宋" w:hAnsi="仿宋" w:eastAsia="仿宋" w:cs="仿宋"/>
          <w:b/>
          <w:color w:val="000000"/>
          <w:sz w:val="28"/>
          <w:szCs w:val="28"/>
          <w:lang w:val="en-US" w:eastAsia="zh-CN"/>
        </w:rPr>
        <w:t xml:space="preserve">   </w:t>
      </w:r>
      <w:r>
        <w:rPr>
          <w:rFonts w:hint="eastAsia" w:ascii="仿宋" w:hAnsi="仿宋" w:eastAsia="仿宋" w:cs="仿宋"/>
          <w:b/>
          <w:color w:val="000000"/>
          <w:sz w:val="28"/>
          <w:szCs w:val="28"/>
        </w:rPr>
        <w:t xml:space="preserve">  </w:t>
      </w:r>
      <w:r>
        <w:rPr>
          <w:rFonts w:hint="eastAsia" w:ascii="仿宋" w:hAnsi="仿宋" w:eastAsia="仿宋" w:cs="仿宋"/>
          <w:b/>
          <w:color w:val="000000"/>
          <w:sz w:val="28"/>
          <w:szCs w:val="28"/>
          <w:lang w:val="en-US" w:eastAsia="zh-CN"/>
        </w:rPr>
        <w:t xml:space="preserve"> </w:t>
      </w:r>
      <w:r>
        <w:rPr>
          <w:rFonts w:hint="eastAsia" w:ascii="仿宋" w:hAnsi="仿宋" w:eastAsia="仿宋" w:cs="仿宋"/>
          <w:b/>
          <w:color w:val="000000"/>
          <w:sz w:val="28"/>
          <w:szCs w:val="28"/>
        </w:rPr>
        <w:t xml:space="preserve">    行政审核：</w:t>
      </w:r>
    </w:p>
    <w:p>
      <w:pPr>
        <w:keepNext w:val="0"/>
        <w:keepLines w:val="0"/>
        <w:pageBreakBefore w:val="0"/>
        <w:widowControl w:val="0"/>
        <w:wordWrap/>
        <w:bidi w:val="0"/>
        <w:spacing w:before="227" w:beforeLines="50" w:after="227" w:afterLines="50" w:line="500" w:lineRule="exact"/>
        <w:ind w:firstLine="522" w:firstLineChars="200"/>
        <w:jc w:val="left"/>
        <w:rPr>
          <w:rFonts w:hint="eastAsia" w:ascii="仿宋" w:hAnsi="仿宋" w:eastAsia="仿宋" w:cs="仿宋"/>
          <w:b/>
          <w:color w:val="000000"/>
          <w:sz w:val="28"/>
          <w:szCs w:val="28"/>
        </w:rPr>
      </w:pPr>
      <w:r>
        <w:rPr>
          <w:rFonts w:hint="eastAsia" w:ascii="仿宋" w:hAnsi="仿宋" w:eastAsia="仿宋" w:cs="仿宋"/>
          <w:b/>
          <w:color w:val="000000"/>
          <w:sz w:val="28"/>
          <w:szCs w:val="28"/>
        </w:rPr>
        <w:t xml:space="preserve">年   月   日 </w:t>
      </w:r>
      <w:r>
        <w:rPr>
          <w:rFonts w:hint="eastAsia" w:ascii="仿宋" w:hAnsi="仿宋" w:eastAsia="仿宋" w:cs="仿宋"/>
          <w:b/>
          <w:color w:val="000000"/>
          <w:sz w:val="28"/>
          <w:szCs w:val="28"/>
          <w:lang w:val="en-US" w:eastAsia="zh-CN"/>
        </w:rPr>
        <w:t xml:space="preserve">  </w:t>
      </w:r>
      <w:r>
        <w:rPr>
          <w:rFonts w:hint="eastAsia" w:ascii="仿宋" w:hAnsi="仿宋" w:eastAsia="仿宋" w:cs="仿宋"/>
          <w:b/>
          <w:color w:val="000000"/>
          <w:sz w:val="28"/>
          <w:szCs w:val="28"/>
        </w:rPr>
        <w:t xml:space="preserve"> </w:t>
      </w:r>
      <w:r>
        <w:rPr>
          <w:rFonts w:hint="eastAsia" w:ascii="仿宋" w:hAnsi="仿宋" w:eastAsia="仿宋" w:cs="仿宋"/>
          <w:b/>
          <w:color w:val="000000"/>
          <w:sz w:val="28"/>
          <w:szCs w:val="28"/>
          <w:lang w:val="en-US" w:eastAsia="zh-CN"/>
        </w:rPr>
        <w:t xml:space="preserve"> </w:t>
      </w:r>
      <w:r>
        <w:rPr>
          <w:rFonts w:hint="eastAsia" w:ascii="仿宋" w:hAnsi="仿宋" w:eastAsia="仿宋" w:cs="仿宋"/>
          <w:b/>
          <w:color w:val="000000"/>
          <w:sz w:val="28"/>
          <w:szCs w:val="28"/>
        </w:rPr>
        <w:t xml:space="preserve">  年   月   日  </w:t>
      </w:r>
      <w:r>
        <w:rPr>
          <w:rFonts w:hint="eastAsia" w:ascii="仿宋" w:hAnsi="仿宋" w:eastAsia="仿宋" w:cs="仿宋"/>
          <w:b/>
          <w:color w:val="000000"/>
          <w:sz w:val="28"/>
          <w:szCs w:val="28"/>
          <w:lang w:val="en-US" w:eastAsia="zh-CN"/>
        </w:rPr>
        <w:t xml:space="preserve"> </w:t>
      </w:r>
      <w:r>
        <w:rPr>
          <w:rFonts w:hint="eastAsia" w:ascii="仿宋" w:hAnsi="仿宋" w:eastAsia="仿宋" w:cs="仿宋"/>
          <w:b/>
          <w:color w:val="000000"/>
          <w:sz w:val="28"/>
          <w:szCs w:val="28"/>
        </w:rPr>
        <w:t xml:space="preserve">   年   月  日</w:t>
      </w:r>
    </w:p>
    <w:p>
      <w:pPr>
        <w:pStyle w:val="3"/>
        <w:keepNext w:val="0"/>
        <w:keepLines w:val="0"/>
        <w:pageBreakBefore w:val="0"/>
        <w:widowControl w:val="0"/>
        <w:wordWrap/>
        <w:bidi w:val="0"/>
        <w:spacing w:before="0" w:after="0" w:line="500" w:lineRule="exact"/>
        <w:jc w:val="center"/>
        <w:rPr>
          <w:rFonts w:ascii="仿宋_GB2312" w:eastAsia="仿宋_GB2312"/>
          <w:color w:val="000000"/>
          <w:sz w:val="28"/>
          <w:szCs w:val="28"/>
        </w:rPr>
      </w:pPr>
      <w:r>
        <w:rPr>
          <w:rFonts w:hint="eastAsia" w:ascii="仿宋_GB2312" w:hAnsi="仿宋_GB2312" w:eastAsia="仿宋_GB2312"/>
          <w:b w:val="0"/>
          <w:color w:val="000000"/>
          <w:sz w:val="28"/>
          <w:szCs w:val="28"/>
        </w:rPr>
        <w:br w:type="page"/>
      </w:r>
      <w:bookmarkStart w:id="123" w:name="_Toc75811728"/>
      <w:r>
        <w:rPr>
          <w:rFonts w:hint="eastAsia" w:ascii="方正小标宋简体" w:hAnsi="方正小标宋简体" w:eastAsia="方正小标宋简体" w:cs="方正小标宋简体"/>
          <w:b w:val="0"/>
          <w:bCs w:val="0"/>
          <w:color w:val="000000"/>
          <w:sz w:val="40"/>
          <w:szCs w:val="40"/>
        </w:rPr>
        <w:t>薪酬管理制度</w:t>
      </w:r>
      <w:bookmarkEnd w:id="123"/>
    </w:p>
    <w:p>
      <w:pPr>
        <w:keepNext w:val="0"/>
        <w:keepLines w:val="0"/>
        <w:pageBreakBefore w:val="0"/>
        <w:widowControl w:val="0"/>
        <w:wordWrap/>
        <w:bidi w:val="0"/>
        <w:spacing w:after="0" w:line="500" w:lineRule="exact"/>
        <w:ind w:firstLine="522" w:firstLineChars="200"/>
        <w:jc w:val="both"/>
        <w:rPr>
          <w:rFonts w:hint="eastAsia" w:ascii="仿宋" w:hAnsi="仿宋" w:eastAsia="仿宋" w:cs="仿宋"/>
          <w:b/>
          <w:color w:val="000000"/>
          <w:sz w:val="28"/>
          <w:szCs w:val="28"/>
        </w:rPr>
      </w:pP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第一条  目的</w:t>
      </w:r>
    </w:p>
    <w:p>
      <w:pPr>
        <w:pStyle w:val="6"/>
        <w:keepNext w:val="0"/>
        <w:keepLines w:val="0"/>
        <w:pageBreakBefore w:val="0"/>
        <w:widowControl w:val="0"/>
        <w:wordWrap/>
        <w:bidi w:val="0"/>
        <w:spacing w:line="500" w:lineRule="exact"/>
        <w:ind w:firstLine="602"/>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为适应企业发展要求，充分发挥薪酬的激励作用，进一步拓展员工职业上升通道，建立一套相对密闭、循环、科学、合理的薪酬体系，根据公司现状，特制定本规定。</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第二条  制定原则</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本着公平、竞争、激励、经济、合法的原则制定。</w:t>
      </w:r>
    </w:p>
    <w:p>
      <w:pPr>
        <w:keepNext w:val="0"/>
        <w:keepLines w:val="0"/>
        <w:pageBreakBefore w:val="0"/>
        <w:widowControl w:val="0"/>
        <w:numPr>
          <w:ilvl w:val="0"/>
          <w:numId w:val="51"/>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公平：是指相同岗位的不同员工享受同等级的薪酬待遇；同时根据员工绩效、服务年限、工作态度等方面的表现不同，对职级薪级进行动态调整，可上可下同时享受或承担不同的工资差异。</w:t>
      </w:r>
    </w:p>
    <w:p>
      <w:pPr>
        <w:keepNext w:val="0"/>
        <w:keepLines w:val="0"/>
        <w:pageBreakBefore w:val="0"/>
        <w:widowControl w:val="0"/>
        <w:numPr>
          <w:ilvl w:val="0"/>
          <w:numId w:val="51"/>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竞争：使公司的薪酬体系在同行业和同区域有一定的竞争优势。</w:t>
      </w:r>
    </w:p>
    <w:p>
      <w:pPr>
        <w:keepNext w:val="0"/>
        <w:keepLines w:val="0"/>
        <w:pageBreakBefore w:val="0"/>
        <w:widowControl w:val="0"/>
        <w:numPr>
          <w:ilvl w:val="0"/>
          <w:numId w:val="51"/>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激励：是指制定具有上升和下降的动态管理，对相同职级的薪酬实行区域管理，充分调动员工的积极性和责任心。</w:t>
      </w:r>
    </w:p>
    <w:p>
      <w:pPr>
        <w:keepNext w:val="0"/>
        <w:keepLines w:val="0"/>
        <w:pageBreakBefore w:val="0"/>
        <w:widowControl w:val="0"/>
        <w:numPr>
          <w:ilvl w:val="0"/>
          <w:numId w:val="51"/>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经济：在考虑公司承受能力大小、利润和合理积累的情况下，合理制定薪酬，使员工与企业能够利益共享。</w:t>
      </w:r>
    </w:p>
    <w:p>
      <w:pPr>
        <w:keepNext w:val="0"/>
        <w:keepLines w:val="0"/>
        <w:pageBreakBefore w:val="0"/>
        <w:widowControl w:val="0"/>
        <w:numPr>
          <w:ilvl w:val="0"/>
          <w:numId w:val="51"/>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合法：方案建立在遵守国家相关政策、法律法规和公司管理制度基础上。</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 xml:space="preserve">第三条  制定依据 </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本制度制定的依据是根据内、外部劳动力市场状况、地区及行业差异、员工岗位价值（对企业的影响、解决问题、责任范围、监督、知识经验、沟通、环境风险等要素）及员工职业发展生涯等因素。</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第四条  岗位职级划分</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详见《职层薪级表》</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第五条  薪酬组成</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薪资结构：基本工资+岗位工资+工龄工资+绩效工资+各类补贴+业务提成+奖金-个人相关扣款</w:t>
      </w:r>
    </w:p>
    <w:p>
      <w:pPr>
        <w:keepNext w:val="0"/>
        <w:keepLines w:val="0"/>
        <w:pageBreakBefore w:val="0"/>
        <w:widowControl w:val="0"/>
        <w:numPr>
          <w:ilvl w:val="0"/>
          <w:numId w:val="52"/>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基本工资：是薪酬的基本组成部分，全公司所有员工统一标准。</w:t>
      </w:r>
    </w:p>
    <w:p>
      <w:pPr>
        <w:keepNext w:val="0"/>
        <w:keepLines w:val="0"/>
        <w:pageBreakBefore w:val="0"/>
        <w:widowControl w:val="0"/>
        <w:numPr>
          <w:ilvl w:val="0"/>
          <w:numId w:val="52"/>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岗位工资：根据各岗位相应的职级予以核定。</w:t>
      </w:r>
    </w:p>
    <w:p>
      <w:pPr>
        <w:keepNext w:val="0"/>
        <w:keepLines w:val="0"/>
        <w:pageBreakBefore w:val="0"/>
        <w:widowControl w:val="0"/>
        <w:numPr>
          <w:ilvl w:val="0"/>
          <w:numId w:val="52"/>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工龄工资：工龄工资是为尊重员工为企业发展创造的价值和作出的贡献,同时,激励员工与企业同发展共命运的主人翁精神。员工在15日之前入职满一年，当月开始发放工龄工资；在15日之后入职的，工龄工资从下月开始发放；标准为100元/月，工龄每增加一年，工龄工资增加100元/月，工龄工资增加到15年为止。</w:t>
      </w:r>
    </w:p>
    <w:p>
      <w:pPr>
        <w:keepNext w:val="0"/>
        <w:keepLines w:val="0"/>
        <w:pageBreakBefore w:val="0"/>
        <w:widowControl w:val="0"/>
        <w:numPr>
          <w:ilvl w:val="0"/>
          <w:numId w:val="52"/>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绩效工资：绩效工资是指员工完成岗位责任及工作，公司对该岗位所达成的业绩以及个人表现而予以支付的薪酬部分。绩效工资的结算及支付方式详见《绩效考核管理制度》。</w:t>
      </w:r>
    </w:p>
    <w:p>
      <w:pPr>
        <w:keepNext w:val="0"/>
        <w:keepLines w:val="0"/>
        <w:pageBreakBefore w:val="0"/>
        <w:widowControl w:val="0"/>
        <w:numPr>
          <w:ilvl w:val="0"/>
          <w:numId w:val="52"/>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各类补贴：</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1.特殊津贴：是指公司对高级管理岗位人员基于他的特长或特殊贡献而协议确定的薪酬部分；</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2.其他补贴：其他补贴包括住房补贴、出差补贴、车贴等，详见《福利管理制度》。</w:t>
      </w:r>
    </w:p>
    <w:p>
      <w:pPr>
        <w:keepNext w:val="0"/>
        <w:keepLines w:val="0"/>
        <w:pageBreakBefore w:val="0"/>
        <w:widowControl w:val="0"/>
        <w:numPr>
          <w:ilvl w:val="0"/>
          <w:numId w:val="52"/>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奖金：奖金是公司为了员工完成专项工作或对做出突出贡献等的一种奖励，按公司《奖罚细则》执行。</w:t>
      </w:r>
    </w:p>
    <w:p>
      <w:pPr>
        <w:keepNext w:val="0"/>
        <w:keepLines w:val="0"/>
        <w:pageBreakBefore w:val="0"/>
        <w:widowControl w:val="0"/>
        <w:numPr>
          <w:ilvl w:val="0"/>
          <w:numId w:val="52"/>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个人相关扣款</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1.扣款包括各种福利个人必须承担的部分、代扣代缴、赔偿；</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2.员工违反公司相关规章制度而被处的罚款，该部分罚款在绩效工资中予以扣除。</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b/>
          <w:i/>
          <w:iCs/>
          <w:color w:val="000000"/>
          <w:sz w:val="28"/>
          <w:szCs w:val="28"/>
        </w:rPr>
      </w:pPr>
      <w:r>
        <w:rPr>
          <w:rFonts w:hint="eastAsia" w:ascii="仿宋_GB2312" w:hAnsi="仿宋" w:eastAsia="仿宋_GB2312" w:cs="仿宋"/>
          <w:b/>
          <w:color w:val="000000"/>
          <w:sz w:val="28"/>
          <w:szCs w:val="28"/>
        </w:rPr>
        <w:t>第六条  试用期薪资</w:t>
      </w:r>
    </w:p>
    <w:p>
      <w:pPr>
        <w:keepNext w:val="0"/>
        <w:keepLines w:val="0"/>
        <w:pageBreakBefore w:val="0"/>
        <w:widowControl w:val="0"/>
        <w:numPr>
          <w:ilvl w:val="0"/>
          <w:numId w:val="53"/>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试用期基本工资和岗位工资按80%发放，参与绩效考核的，绩效工资按考核结果发放；补贴正常发放；</w:t>
      </w:r>
    </w:p>
    <w:p>
      <w:pPr>
        <w:keepNext w:val="0"/>
        <w:keepLines w:val="0"/>
        <w:pageBreakBefore w:val="0"/>
        <w:widowControl w:val="0"/>
        <w:numPr>
          <w:ilvl w:val="0"/>
          <w:numId w:val="53"/>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其他关于试用及转正的规定详见《试用及转正管理制度》。</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第七条  薪酬调整</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薪酬调整分为整体调整和个别调整。</w:t>
      </w:r>
    </w:p>
    <w:p>
      <w:pPr>
        <w:keepNext w:val="0"/>
        <w:keepLines w:val="0"/>
        <w:pageBreakBefore w:val="0"/>
        <w:widowControl w:val="0"/>
        <w:numPr>
          <w:ilvl w:val="0"/>
          <w:numId w:val="54"/>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整体调整：指公司根据国家政策和物价水平等宏观因素的变化、行业及地区竞争状况、公司发展战略变化以及公司整体效益情况而进行的调整，包括薪酬水平调整和薪酬结构调整，调整幅度由股东会根据经营状况决定。</w:t>
      </w:r>
    </w:p>
    <w:p>
      <w:pPr>
        <w:keepNext w:val="0"/>
        <w:keepLines w:val="0"/>
        <w:pageBreakBefore w:val="0"/>
        <w:widowControl w:val="0"/>
        <w:numPr>
          <w:ilvl w:val="0"/>
          <w:numId w:val="54"/>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个别调整：主要指薪酬级别的调整，分为定期调整与不定期调整。</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薪酬级别定期调整：指公司在年底根据《绩效考核管理制度》等管理制度对员工工资的调整。</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薪酬级别不定期调整：指公司在年中由于职务或岗位变动等原因对员工薪酬进行的调整。</w:t>
      </w:r>
    </w:p>
    <w:p>
      <w:pPr>
        <w:keepNext w:val="0"/>
        <w:keepLines w:val="0"/>
        <w:pageBreakBefore w:val="0"/>
        <w:widowControl w:val="0"/>
        <w:numPr>
          <w:ilvl w:val="0"/>
          <w:numId w:val="54"/>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各岗位员工薪酬调整由总经理审批，审批通过的调整方案和各项薪酬发放方案由行政人事部部执行。</w:t>
      </w:r>
      <w:bookmarkStart w:id="124" w:name="_Hlt48532502"/>
      <w:bookmarkEnd w:id="124"/>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第八条  薪酬的支付</w:t>
      </w:r>
    </w:p>
    <w:p>
      <w:pPr>
        <w:keepNext w:val="0"/>
        <w:keepLines w:val="0"/>
        <w:pageBreakBefore w:val="0"/>
        <w:widowControl w:val="0"/>
        <w:numPr>
          <w:ilvl w:val="0"/>
          <w:numId w:val="55"/>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薪酬支付时间计算</w:t>
      </w:r>
    </w:p>
    <w:p>
      <w:pPr>
        <w:keepNext w:val="0"/>
        <w:keepLines w:val="0"/>
        <w:pageBreakBefore w:val="0"/>
        <w:widowControl w:val="0"/>
        <w:numPr>
          <w:ilvl w:val="0"/>
          <w:numId w:val="56"/>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执行月薪制的员工，日工资标准统一按国家规定的当年月平均上班天数计算；</w:t>
      </w:r>
    </w:p>
    <w:p>
      <w:pPr>
        <w:keepNext w:val="0"/>
        <w:keepLines w:val="0"/>
        <w:pageBreakBefore w:val="0"/>
        <w:widowControl w:val="0"/>
        <w:numPr>
          <w:ilvl w:val="0"/>
          <w:numId w:val="56"/>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薪酬支付时间：每月15日发放上月工资。遇到双休日及假期，提前至休息日的前一个工作日发放； </w:t>
      </w:r>
    </w:p>
    <w:p>
      <w:pPr>
        <w:keepNext w:val="0"/>
        <w:keepLines w:val="0"/>
        <w:pageBreakBefore w:val="0"/>
        <w:widowControl w:val="0"/>
        <w:numPr>
          <w:ilvl w:val="0"/>
          <w:numId w:val="56"/>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到公司参与录用前培训，但考核未通过未正式入职的人员，培训期间按照当地最低工资标准的80%核算生活补贴，并于培训完的第二天进行结算。</w:t>
      </w:r>
    </w:p>
    <w:p>
      <w:pPr>
        <w:keepNext w:val="0"/>
        <w:keepLines w:val="0"/>
        <w:pageBreakBefore w:val="0"/>
        <w:widowControl w:val="0"/>
        <w:numPr>
          <w:ilvl w:val="0"/>
          <w:numId w:val="55"/>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下列各款项须直接从薪酬中扣除：</w:t>
      </w:r>
    </w:p>
    <w:p>
      <w:pPr>
        <w:keepNext w:val="0"/>
        <w:keepLines w:val="0"/>
        <w:pageBreakBefore w:val="0"/>
        <w:widowControl w:val="0"/>
        <w:numPr>
          <w:ilvl w:val="0"/>
          <w:numId w:val="57"/>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员工工资个人所得税；</w:t>
      </w:r>
    </w:p>
    <w:p>
      <w:pPr>
        <w:keepNext w:val="0"/>
        <w:keepLines w:val="0"/>
        <w:pageBreakBefore w:val="0"/>
        <w:widowControl w:val="0"/>
        <w:numPr>
          <w:ilvl w:val="0"/>
          <w:numId w:val="57"/>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应由员工个人缴纳的社会保险费用；</w:t>
      </w:r>
    </w:p>
    <w:p>
      <w:pPr>
        <w:keepNext w:val="0"/>
        <w:keepLines w:val="0"/>
        <w:pageBreakBefore w:val="0"/>
        <w:widowControl w:val="0"/>
        <w:numPr>
          <w:ilvl w:val="0"/>
          <w:numId w:val="57"/>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与公司订有协议应从个人工资中扣除的款项；</w:t>
      </w:r>
    </w:p>
    <w:p>
      <w:pPr>
        <w:keepNext w:val="0"/>
        <w:keepLines w:val="0"/>
        <w:pageBreakBefore w:val="0"/>
        <w:widowControl w:val="0"/>
        <w:numPr>
          <w:ilvl w:val="0"/>
          <w:numId w:val="57"/>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法律、法规规定的以及公司规章制度规定的应从工资中扣除的款项（如罚款）；</w:t>
      </w:r>
    </w:p>
    <w:p>
      <w:pPr>
        <w:keepNext w:val="0"/>
        <w:keepLines w:val="0"/>
        <w:pageBreakBefore w:val="0"/>
        <w:widowControl w:val="0"/>
        <w:numPr>
          <w:ilvl w:val="0"/>
          <w:numId w:val="57"/>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司法、仲裁机构判决、裁定中要求代扣的款项。</w:t>
      </w:r>
    </w:p>
    <w:p>
      <w:pPr>
        <w:keepNext w:val="0"/>
        <w:keepLines w:val="0"/>
        <w:pageBreakBefore w:val="0"/>
        <w:widowControl w:val="0"/>
        <w:numPr>
          <w:ilvl w:val="0"/>
          <w:numId w:val="55"/>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工资计算期间中途聘用或解除劳动关系人员，当月工资的计算公式如下：</w:t>
      </w:r>
    </w:p>
    <w:p>
      <w:pPr>
        <w:pStyle w:val="6"/>
        <w:keepNext w:val="0"/>
        <w:keepLines w:val="0"/>
        <w:pageBreakBefore w:val="0"/>
        <w:widowControl w:val="0"/>
        <w:wordWrap/>
        <w:bidi w:val="0"/>
        <w:spacing w:line="500" w:lineRule="exact"/>
        <w:ind w:firstLine="602"/>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实发工资=（基本工资+岗位工资+工龄工资+绩效工资+各类补贴）×实际工作日数/21.75</w:t>
      </w:r>
    </w:p>
    <w:p>
      <w:pPr>
        <w:pStyle w:val="6"/>
        <w:keepNext w:val="0"/>
        <w:keepLines w:val="0"/>
        <w:pageBreakBefore w:val="0"/>
        <w:widowControl w:val="0"/>
        <w:wordWrap/>
        <w:bidi w:val="0"/>
        <w:spacing w:line="500" w:lineRule="exact"/>
        <w:ind w:firstLine="602"/>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工资计算期间未全勤的在职人员工资计算如下： </w:t>
      </w:r>
    </w:p>
    <w:p>
      <w:pPr>
        <w:pStyle w:val="6"/>
        <w:keepNext w:val="0"/>
        <w:keepLines w:val="0"/>
        <w:pageBreakBefore w:val="0"/>
        <w:widowControl w:val="0"/>
        <w:wordWrap/>
        <w:bidi w:val="0"/>
        <w:spacing w:line="500" w:lineRule="exact"/>
        <w:ind w:firstLine="602"/>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应发工资 =（基本工资+岗位工资+工龄工资+绩效工资+各类补贴）—（基本工资+岗位工资+绩效工资+各类补贴）×缺勤天数/21.75</w:t>
      </w:r>
    </w:p>
    <w:p>
      <w:pPr>
        <w:pStyle w:val="6"/>
        <w:keepNext w:val="0"/>
        <w:keepLines w:val="0"/>
        <w:pageBreakBefore w:val="0"/>
        <w:widowControl w:val="0"/>
        <w:numPr>
          <w:ilvl w:val="0"/>
          <w:numId w:val="55"/>
        </w:numPr>
        <w:wordWrap/>
        <w:bidi w:val="0"/>
        <w:spacing w:line="500" w:lineRule="exact"/>
        <w:ind w:firstLine="602"/>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公司因各种原因停工、停产，以基本工资为基数，结合法律规定核算停工、停产期间的停工津贴。</w:t>
      </w:r>
    </w:p>
    <w:p>
      <w:pPr>
        <w:pStyle w:val="6"/>
        <w:keepNext w:val="0"/>
        <w:keepLines w:val="0"/>
        <w:pageBreakBefore w:val="0"/>
        <w:widowControl w:val="0"/>
        <w:numPr>
          <w:ilvl w:val="0"/>
          <w:numId w:val="55"/>
        </w:numPr>
        <w:wordWrap/>
        <w:bidi w:val="0"/>
        <w:spacing w:line="500" w:lineRule="exact"/>
        <w:ind w:firstLine="602"/>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各类假期薪酬支付标准，详见《考勤管理制度》。</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第九条  薪酬保密</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行政人事部、财务部等所有经手工资信息的员工及管理人员必须保守薪酬秘密。非因工作需要，不得将员工的薪酬信息透漏给任何第三方或公司以外的任何人员。薪酬信息的传递必须通过正式渠道。有关薪酬的书面材料（包括各种有关财务凭证）必须加锁管理。工作人员在离开办公区域时，不得将相关保密材料堆放在桌面或容易泄露的地方。有关薪酬方面的电子文档必须加密存储，密码不得转交给他人。员工需查核本人工资情况时，必须由行政人事部会同财务部门出纳进行核查。违反薪酬保密相关规定的一律视为严重违反公司劳动纪律，按实际情况及公司相关规章制度进行处理。</w:t>
      </w:r>
    </w:p>
    <w:p>
      <w:pPr>
        <w:keepNext w:val="0"/>
        <w:keepLines w:val="0"/>
        <w:pageBreakBefore w:val="0"/>
        <w:widowControl w:val="0"/>
        <w:numPr>
          <w:ilvl w:val="0"/>
          <w:numId w:val="58"/>
        </w:numPr>
        <w:wordWrap/>
        <w:bidi w:val="0"/>
        <w:adjustRightInd/>
        <w:snapToGrid/>
        <w:spacing w:after="0" w:line="500" w:lineRule="exact"/>
        <w:ind w:firstLine="522" w:firstLineChars="200"/>
        <w:jc w:val="both"/>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 xml:space="preserve"> 本制度自     年   月   日起执行。</w:t>
      </w:r>
    </w:p>
    <w:p>
      <w:pPr>
        <w:keepNext w:val="0"/>
        <w:keepLines w:val="0"/>
        <w:pageBreakBefore w:val="0"/>
        <w:widowControl w:val="0"/>
        <w:wordWrap/>
        <w:bidi w:val="0"/>
        <w:spacing w:line="500" w:lineRule="exact"/>
        <w:jc w:val="center"/>
        <w:rPr>
          <w:rFonts w:hint="eastAsia" w:ascii="方正小标宋简体" w:hAnsi="方正小标宋简体" w:eastAsia="方正小标宋简体" w:cs="方正小标宋简体"/>
          <w:color w:val="000000"/>
          <w:sz w:val="40"/>
          <w:szCs w:val="40"/>
        </w:rPr>
      </w:pPr>
      <w:r>
        <w:rPr>
          <w:rFonts w:hint="eastAsia" w:ascii="方正小标宋简体" w:hAnsi="方正小标宋简体" w:eastAsia="方正小标宋简体" w:cs="方正小标宋简体"/>
          <w:color w:val="000000"/>
          <w:sz w:val="40"/>
          <w:szCs w:val="40"/>
        </w:rPr>
        <w:br w:type="page"/>
      </w:r>
      <w:r>
        <w:rPr>
          <w:rFonts w:hint="eastAsia" w:ascii="方正小标宋简体" w:hAnsi="方正小标宋简体" w:eastAsia="方正小标宋简体" w:cs="方正小标宋简体"/>
          <w:color w:val="000000"/>
          <w:sz w:val="40"/>
          <w:szCs w:val="40"/>
        </w:rPr>
        <w:t>工 资 表</w:t>
      </w:r>
    </w:p>
    <w:p>
      <w:pPr>
        <w:keepNext w:val="0"/>
        <w:keepLines w:val="0"/>
        <w:pageBreakBefore w:val="0"/>
        <w:widowControl w:val="0"/>
        <w:wordWrap/>
        <w:bidi w:val="0"/>
        <w:spacing w:line="500" w:lineRule="exact"/>
        <w:jc w:val="center"/>
        <w:rPr>
          <w:rFonts w:hint="eastAsia" w:ascii="方正小标宋简体" w:hAnsi="方正小标宋简体" w:eastAsia="方正小标宋简体" w:cs="方正小标宋简体"/>
          <w:color w:val="000000"/>
          <w:sz w:val="40"/>
          <w:szCs w:val="40"/>
        </w:rPr>
      </w:pPr>
    </w:p>
    <w:tbl>
      <w:tblPr>
        <w:tblStyle w:val="15"/>
        <w:tblW w:w="4998" w:type="pct"/>
        <w:jc w:val="center"/>
        <w:tblLayout w:type="autofit"/>
        <w:tblCellMar>
          <w:top w:w="0" w:type="dxa"/>
          <w:left w:w="108" w:type="dxa"/>
          <w:bottom w:w="0" w:type="dxa"/>
          <w:right w:w="108" w:type="dxa"/>
        </w:tblCellMar>
      </w:tblPr>
      <w:tblGrid>
        <w:gridCol w:w="650"/>
        <w:gridCol w:w="650"/>
        <w:gridCol w:w="1084"/>
        <w:gridCol w:w="650"/>
        <w:gridCol w:w="1084"/>
        <w:gridCol w:w="650"/>
        <w:gridCol w:w="433"/>
        <w:gridCol w:w="433"/>
        <w:gridCol w:w="867"/>
        <w:gridCol w:w="434"/>
        <w:gridCol w:w="651"/>
      </w:tblGrid>
      <w:tr>
        <w:tblPrEx>
          <w:tblCellMar>
            <w:top w:w="0" w:type="dxa"/>
            <w:left w:w="108" w:type="dxa"/>
            <w:bottom w:w="0" w:type="dxa"/>
            <w:right w:w="108" w:type="dxa"/>
          </w:tblCellMar>
        </w:tblPrEx>
        <w:trPr>
          <w:trHeight w:val="624" w:hRule="atLeast"/>
          <w:jc w:val="center"/>
        </w:trPr>
        <w:tc>
          <w:tcPr>
            <w:tcW w:w="280" w:type="pct"/>
            <w:tcBorders>
              <w:top w:val="single" w:color="auto" w:sz="8" w:space="0"/>
              <w:left w:val="single" w:color="auto" w:sz="8" w:space="0"/>
              <w:bottom w:val="single" w:color="auto" w:sz="4" w:space="0"/>
              <w:right w:val="single" w:color="auto" w:sz="4" w:space="0"/>
            </w:tcBorders>
            <w:shd w:val="clear" w:color="auto" w:fill="auto"/>
            <w:noWrap/>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月份</w:t>
            </w:r>
          </w:p>
        </w:tc>
        <w:tc>
          <w:tcPr>
            <w:tcW w:w="336" w:type="pct"/>
            <w:tcBorders>
              <w:top w:val="single" w:color="auto" w:sz="8" w:space="0"/>
              <w:left w:val="nil"/>
              <w:bottom w:val="single" w:color="auto" w:sz="4" w:space="0"/>
              <w:right w:val="single" w:color="auto" w:sz="4" w:space="0"/>
            </w:tcBorders>
            <w:shd w:val="clear" w:color="auto" w:fill="auto"/>
            <w:noWrap/>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编号</w:t>
            </w:r>
          </w:p>
        </w:tc>
        <w:tc>
          <w:tcPr>
            <w:tcW w:w="506" w:type="pct"/>
            <w:tcBorders>
              <w:top w:val="single" w:color="auto" w:sz="8" w:space="0"/>
              <w:left w:val="nil"/>
              <w:bottom w:val="single" w:color="auto" w:sz="4" w:space="0"/>
              <w:right w:val="single" w:color="auto" w:sz="4" w:space="0"/>
            </w:tcBorders>
            <w:shd w:val="clear" w:color="000000" w:fill="FFFFFF"/>
            <w:noWrap/>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部门</w:t>
            </w:r>
          </w:p>
        </w:tc>
        <w:tc>
          <w:tcPr>
            <w:tcW w:w="336" w:type="pct"/>
            <w:tcBorders>
              <w:top w:val="single" w:color="auto" w:sz="8" w:space="0"/>
              <w:left w:val="nil"/>
              <w:bottom w:val="single" w:color="auto" w:sz="4" w:space="0"/>
              <w:right w:val="single" w:color="auto" w:sz="4" w:space="0"/>
            </w:tcBorders>
            <w:shd w:val="clear" w:color="000000" w:fill="FFFFFF"/>
            <w:noWrap/>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职务</w:t>
            </w:r>
          </w:p>
        </w:tc>
        <w:tc>
          <w:tcPr>
            <w:tcW w:w="506" w:type="pct"/>
            <w:tcBorders>
              <w:top w:val="single" w:color="auto" w:sz="8" w:space="0"/>
              <w:left w:val="nil"/>
              <w:bottom w:val="single" w:color="auto" w:sz="4" w:space="0"/>
              <w:right w:val="single" w:color="auto" w:sz="4" w:space="0"/>
            </w:tcBorders>
            <w:noWrap/>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姓名</w:t>
            </w:r>
          </w:p>
        </w:tc>
        <w:tc>
          <w:tcPr>
            <w:tcW w:w="501" w:type="pct"/>
            <w:tcBorders>
              <w:top w:val="single" w:color="auto" w:sz="8" w:space="0"/>
              <w:left w:val="nil"/>
              <w:bottom w:val="single" w:color="auto" w:sz="4" w:space="0"/>
              <w:right w:val="single" w:color="auto" w:sz="4" w:space="0"/>
            </w:tcBorders>
            <w:noWrap/>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底薪</w:t>
            </w:r>
          </w:p>
        </w:tc>
        <w:tc>
          <w:tcPr>
            <w:tcW w:w="506" w:type="pct"/>
            <w:tcBorders>
              <w:top w:val="single" w:color="auto" w:sz="8" w:space="0"/>
              <w:left w:val="nil"/>
              <w:bottom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工薪</w:t>
            </w:r>
          </w:p>
        </w:tc>
        <w:tc>
          <w:tcPr>
            <w:tcW w:w="506" w:type="pct"/>
            <w:tcBorders>
              <w:top w:val="single" w:color="auto" w:sz="8" w:space="0"/>
              <w:left w:val="nil"/>
              <w:bottom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早退次数</w:t>
            </w:r>
          </w:p>
        </w:tc>
        <w:tc>
          <w:tcPr>
            <w:tcW w:w="506" w:type="pct"/>
            <w:tcBorders>
              <w:top w:val="single" w:color="auto" w:sz="8" w:space="0"/>
              <w:left w:val="nil"/>
              <w:bottom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出勤天数</w:t>
            </w:r>
          </w:p>
        </w:tc>
        <w:tc>
          <w:tcPr>
            <w:tcW w:w="505" w:type="pct"/>
            <w:tcBorders>
              <w:top w:val="single" w:color="auto" w:sz="8" w:space="0"/>
              <w:left w:val="nil"/>
              <w:bottom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请假天数</w:t>
            </w:r>
          </w:p>
        </w:tc>
        <w:tc>
          <w:tcPr>
            <w:tcW w:w="506" w:type="pct"/>
            <w:tcBorders>
              <w:top w:val="single" w:color="auto" w:sz="8" w:space="0"/>
              <w:left w:val="nil"/>
              <w:bottom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加班天数</w:t>
            </w:r>
          </w:p>
        </w:tc>
      </w:tr>
      <w:tr>
        <w:tblPrEx>
          <w:tblCellMar>
            <w:top w:w="0" w:type="dxa"/>
            <w:left w:w="108" w:type="dxa"/>
            <w:bottom w:w="0" w:type="dxa"/>
            <w:right w:w="108" w:type="dxa"/>
          </w:tblCellMar>
        </w:tblPrEx>
        <w:trPr>
          <w:trHeight w:val="624" w:hRule="atLeast"/>
          <w:jc w:val="center"/>
        </w:trPr>
        <w:tc>
          <w:tcPr>
            <w:tcW w:w="280" w:type="pct"/>
            <w:tcBorders>
              <w:top w:val="nil"/>
              <w:left w:val="single" w:color="auto" w:sz="8" w:space="0"/>
              <w:bottom w:val="double" w:color="auto" w:sz="6" w:space="0"/>
              <w:right w:val="single" w:color="auto" w:sz="4" w:space="0"/>
            </w:tcBorders>
            <w:shd w:val="clear" w:color="000000" w:fill="FFFFFF"/>
            <w:noWrap/>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p>
        </w:tc>
        <w:tc>
          <w:tcPr>
            <w:tcW w:w="336" w:type="pct"/>
            <w:tcBorders>
              <w:top w:val="nil"/>
              <w:left w:val="nil"/>
              <w:bottom w:val="double" w:color="auto" w:sz="6" w:space="0"/>
              <w:right w:val="single" w:color="auto" w:sz="4" w:space="0"/>
            </w:tcBorders>
            <w:shd w:val="clear" w:color="000000" w:fill="FFFFFF"/>
            <w:noWrap/>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p>
        </w:tc>
        <w:tc>
          <w:tcPr>
            <w:tcW w:w="506" w:type="pct"/>
            <w:tcBorders>
              <w:top w:val="nil"/>
              <w:left w:val="nil"/>
              <w:bottom w:val="double" w:color="auto" w:sz="6" w:space="0"/>
              <w:right w:val="single" w:color="auto" w:sz="4" w:space="0"/>
            </w:tcBorders>
            <w:shd w:val="clear" w:color="000000" w:fill="FFFFFF"/>
            <w:noWrap/>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p>
        </w:tc>
        <w:tc>
          <w:tcPr>
            <w:tcW w:w="336" w:type="pct"/>
            <w:tcBorders>
              <w:top w:val="nil"/>
              <w:left w:val="nil"/>
              <w:bottom w:val="double" w:color="auto" w:sz="6" w:space="0"/>
              <w:right w:val="single" w:color="auto" w:sz="4" w:space="0"/>
            </w:tcBorders>
            <w:shd w:val="clear" w:color="auto" w:fill="auto"/>
            <w:noWrap/>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p>
        </w:tc>
        <w:tc>
          <w:tcPr>
            <w:tcW w:w="506" w:type="pct"/>
            <w:tcBorders>
              <w:top w:val="nil"/>
              <w:left w:val="nil"/>
              <w:bottom w:val="double" w:color="auto" w:sz="6" w:space="0"/>
              <w:right w:val="single" w:color="auto" w:sz="4" w:space="0"/>
            </w:tcBorders>
            <w:shd w:val="clear" w:color="000000" w:fill="FFFFFF"/>
            <w:noWrap/>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p>
        </w:tc>
        <w:tc>
          <w:tcPr>
            <w:tcW w:w="501" w:type="pct"/>
            <w:tcBorders>
              <w:top w:val="nil"/>
              <w:left w:val="nil"/>
              <w:bottom w:val="double" w:color="auto" w:sz="6" w:space="0"/>
              <w:right w:val="single" w:color="auto" w:sz="4" w:space="0"/>
            </w:tcBorders>
            <w:shd w:val="clear" w:color="auto" w:fill="auto"/>
            <w:noWrap/>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p>
        </w:tc>
        <w:tc>
          <w:tcPr>
            <w:tcW w:w="506" w:type="pct"/>
            <w:tcBorders>
              <w:top w:val="nil"/>
              <w:left w:val="nil"/>
              <w:bottom w:val="double" w:color="auto" w:sz="6" w:space="0"/>
              <w:right w:val="single" w:color="auto" w:sz="4" w:space="0"/>
            </w:tcBorders>
            <w:shd w:val="clear" w:color="auto" w:fill="auto"/>
            <w:noWrap w:val="0"/>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p>
        </w:tc>
        <w:tc>
          <w:tcPr>
            <w:tcW w:w="506" w:type="pct"/>
            <w:tcBorders>
              <w:top w:val="nil"/>
              <w:left w:val="nil"/>
              <w:bottom w:val="double" w:color="auto" w:sz="6" w:space="0"/>
              <w:right w:val="single" w:color="auto" w:sz="4" w:space="0"/>
            </w:tcBorders>
            <w:shd w:val="clear" w:color="auto" w:fill="auto"/>
            <w:noWrap w:val="0"/>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p>
        </w:tc>
        <w:tc>
          <w:tcPr>
            <w:tcW w:w="506" w:type="pct"/>
            <w:tcBorders>
              <w:top w:val="nil"/>
              <w:left w:val="nil"/>
              <w:bottom w:val="double" w:color="auto" w:sz="6" w:space="0"/>
              <w:right w:val="single" w:color="auto" w:sz="4" w:space="0"/>
            </w:tcBorders>
            <w:shd w:val="clear" w:color="000000" w:fill="FFFFFF"/>
            <w:noWrap w:val="0"/>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p>
        </w:tc>
        <w:tc>
          <w:tcPr>
            <w:tcW w:w="505" w:type="pct"/>
            <w:tcBorders>
              <w:top w:val="nil"/>
              <w:left w:val="nil"/>
              <w:bottom w:val="double" w:color="auto" w:sz="6"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p>
        </w:tc>
        <w:tc>
          <w:tcPr>
            <w:tcW w:w="506" w:type="pct"/>
            <w:tcBorders>
              <w:top w:val="nil"/>
              <w:left w:val="nil"/>
              <w:bottom w:val="double" w:color="auto" w:sz="6"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p>
        </w:tc>
      </w:tr>
      <w:tr>
        <w:tblPrEx>
          <w:tblCellMar>
            <w:top w:w="0" w:type="dxa"/>
            <w:left w:w="108" w:type="dxa"/>
            <w:bottom w:w="0" w:type="dxa"/>
            <w:right w:w="108" w:type="dxa"/>
          </w:tblCellMar>
        </w:tblPrEx>
        <w:trPr>
          <w:trHeight w:val="624" w:hRule="atLeast"/>
          <w:jc w:val="center"/>
        </w:trPr>
        <w:tc>
          <w:tcPr>
            <w:tcW w:w="280" w:type="pct"/>
            <w:tcBorders>
              <w:top w:val="single" w:color="auto" w:sz="8" w:space="0"/>
              <w:left w:val="single" w:color="auto" w:sz="4" w:space="0"/>
              <w:bottom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加班费</w:t>
            </w:r>
          </w:p>
        </w:tc>
        <w:tc>
          <w:tcPr>
            <w:tcW w:w="336" w:type="pct"/>
            <w:tcBorders>
              <w:top w:val="single" w:color="auto" w:sz="8" w:space="0"/>
              <w:left w:val="nil"/>
              <w:bottom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事假</w:t>
            </w:r>
          </w:p>
        </w:tc>
        <w:tc>
          <w:tcPr>
            <w:tcW w:w="506" w:type="pct"/>
            <w:tcBorders>
              <w:top w:val="single" w:color="auto" w:sz="8" w:space="0"/>
              <w:left w:val="nil"/>
              <w:bottom w:val="single" w:color="auto" w:sz="4" w:space="0"/>
              <w:right w:val="single" w:color="auto" w:sz="4" w:space="0"/>
            </w:tcBorders>
            <w:noWrap/>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补贴报销</w:t>
            </w:r>
          </w:p>
        </w:tc>
        <w:tc>
          <w:tcPr>
            <w:tcW w:w="336" w:type="pct"/>
            <w:tcBorders>
              <w:top w:val="single" w:color="auto" w:sz="8" w:space="0"/>
              <w:left w:val="nil"/>
              <w:bottom w:val="single" w:color="auto" w:sz="4" w:space="0"/>
              <w:right w:val="single" w:color="auto" w:sz="4" w:space="0"/>
            </w:tcBorders>
            <w:noWrap/>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罚款</w:t>
            </w:r>
          </w:p>
        </w:tc>
        <w:tc>
          <w:tcPr>
            <w:tcW w:w="506" w:type="pct"/>
            <w:tcBorders>
              <w:top w:val="single" w:color="auto" w:sz="8" w:space="0"/>
              <w:left w:val="nil"/>
              <w:bottom w:val="single" w:color="auto" w:sz="4" w:space="0"/>
              <w:right w:val="single" w:color="auto" w:sz="4" w:space="0"/>
            </w:tcBorders>
            <w:noWrap/>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食宿扣款</w:t>
            </w:r>
          </w:p>
        </w:tc>
        <w:tc>
          <w:tcPr>
            <w:tcW w:w="501" w:type="pct"/>
            <w:tcBorders>
              <w:top w:val="single" w:color="auto" w:sz="8" w:space="0"/>
              <w:left w:val="nil"/>
              <w:bottom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绩效考核</w:t>
            </w:r>
          </w:p>
        </w:tc>
        <w:tc>
          <w:tcPr>
            <w:tcW w:w="506" w:type="pct"/>
            <w:tcBorders>
              <w:top w:val="single" w:color="auto" w:sz="8" w:space="0"/>
              <w:left w:val="nil"/>
              <w:bottom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社保补贴</w:t>
            </w:r>
          </w:p>
        </w:tc>
        <w:tc>
          <w:tcPr>
            <w:tcW w:w="506" w:type="pct"/>
            <w:tcBorders>
              <w:top w:val="single" w:color="auto" w:sz="8" w:space="0"/>
              <w:left w:val="nil"/>
              <w:bottom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工资</w:t>
            </w:r>
          </w:p>
        </w:tc>
        <w:tc>
          <w:tcPr>
            <w:tcW w:w="506" w:type="pct"/>
            <w:tcBorders>
              <w:top w:val="single" w:color="auto" w:sz="8" w:space="0"/>
              <w:left w:val="nil"/>
              <w:bottom w:val="single" w:color="auto" w:sz="4" w:space="0"/>
              <w:right w:val="single" w:color="auto" w:sz="4" w:space="0"/>
            </w:tcBorders>
            <w:noWrap/>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保密费</w:t>
            </w:r>
          </w:p>
        </w:tc>
        <w:tc>
          <w:tcPr>
            <w:tcW w:w="505" w:type="pct"/>
            <w:tcBorders>
              <w:top w:val="single" w:color="auto" w:sz="8" w:space="0"/>
              <w:left w:val="nil"/>
              <w:bottom w:val="single" w:color="auto" w:sz="4"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总计</w:t>
            </w:r>
          </w:p>
        </w:tc>
        <w:tc>
          <w:tcPr>
            <w:tcW w:w="506" w:type="pct"/>
            <w:tcBorders>
              <w:top w:val="single" w:color="auto" w:sz="8" w:space="0"/>
              <w:left w:val="nil"/>
              <w:bottom w:val="single" w:color="auto" w:sz="4" w:space="0"/>
              <w:right w:val="single" w:color="auto" w:sz="8" w:space="0"/>
            </w:tcBorders>
            <w:noWrap/>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备注</w:t>
            </w:r>
          </w:p>
        </w:tc>
      </w:tr>
      <w:tr>
        <w:tblPrEx>
          <w:tblCellMar>
            <w:top w:w="0" w:type="dxa"/>
            <w:left w:w="108" w:type="dxa"/>
            <w:bottom w:w="0" w:type="dxa"/>
            <w:right w:w="108" w:type="dxa"/>
          </w:tblCellMar>
        </w:tblPrEx>
        <w:trPr>
          <w:trHeight w:val="624" w:hRule="atLeast"/>
          <w:jc w:val="center"/>
        </w:trPr>
        <w:tc>
          <w:tcPr>
            <w:tcW w:w="280" w:type="pct"/>
            <w:tcBorders>
              <w:top w:val="nil"/>
              <w:left w:val="single" w:color="auto" w:sz="4" w:space="0"/>
              <w:bottom w:val="double" w:color="auto" w:sz="6" w:space="0"/>
              <w:right w:val="single" w:color="auto" w:sz="4" w:space="0"/>
            </w:tcBorders>
            <w:shd w:val="clear" w:color="auto" w:fill="auto"/>
            <w:noWrap/>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p>
        </w:tc>
        <w:tc>
          <w:tcPr>
            <w:tcW w:w="336" w:type="pct"/>
            <w:tcBorders>
              <w:top w:val="nil"/>
              <w:left w:val="nil"/>
              <w:bottom w:val="double" w:color="auto" w:sz="6" w:space="0"/>
              <w:right w:val="single" w:color="auto" w:sz="4" w:space="0"/>
            </w:tcBorders>
            <w:shd w:val="clear" w:color="auto" w:fill="auto"/>
            <w:noWrap/>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p>
        </w:tc>
        <w:tc>
          <w:tcPr>
            <w:tcW w:w="506" w:type="pct"/>
            <w:tcBorders>
              <w:top w:val="nil"/>
              <w:left w:val="nil"/>
              <w:bottom w:val="double" w:color="auto" w:sz="6" w:space="0"/>
              <w:right w:val="single" w:color="auto" w:sz="4" w:space="0"/>
            </w:tcBorders>
            <w:shd w:val="clear" w:color="auto" w:fill="auto"/>
            <w:noWrap/>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p>
        </w:tc>
        <w:tc>
          <w:tcPr>
            <w:tcW w:w="336" w:type="pct"/>
            <w:tcBorders>
              <w:top w:val="nil"/>
              <w:left w:val="nil"/>
              <w:bottom w:val="double" w:color="auto" w:sz="6" w:space="0"/>
              <w:right w:val="single" w:color="auto" w:sz="4" w:space="0"/>
            </w:tcBorders>
            <w:shd w:val="clear" w:color="auto" w:fill="auto"/>
            <w:noWrap/>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p>
        </w:tc>
        <w:tc>
          <w:tcPr>
            <w:tcW w:w="506" w:type="pct"/>
            <w:tcBorders>
              <w:top w:val="nil"/>
              <w:left w:val="nil"/>
              <w:bottom w:val="double" w:color="auto" w:sz="6" w:space="0"/>
              <w:right w:val="single" w:color="auto" w:sz="4" w:space="0"/>
            </w:tcBorders>
            <w:shd w:val="clear" w:color="auto" w:fill="auto"/>
            <w:noWrap/>
            <w:vAlign w:val="center"/>
          </w:tcPr>
          <w:p>
            <w:pPr>
              <w:keepNext w:val="0"/>
              <w:keepLines w:val="0"/>
              <w:pageBreakBefore w:val="0"/>
              <w:widowControl w:val="0"/>
              <w:wordWrap/>
              <w:bidi w:val="0"/>
              <w:spacing w:before="227" w:beforeLines="50" w:after="227" w:afterLines="50" w:line="500" w:lineRule="exact"/>
              <w:rPr>
                <w:rFonts w:hint="eastAsia" w:ascii="仿宋_GB2312" w:hAnsi="仿宋" w:eastAsia="仿宋_GB2312" w:cs="仿宋"/>
                <w:color w:val="000000"/>
                <w:sz w:val="24"/>
                <w:szCs w:val="24"/>
              </w:rPr>
            </w:pPr>
          </w:p>
        </w:tc>
        <w:tc>
          <w:tcPr>
            <w:tcW w:w="501" w:type="pct"/>
            <w:tcBorders>
              <w:top w:val="nil"/>
              <w:left w:val="nil"/>
              <w:bottom w:val="double" w:color="auto" w:sz="6" w:space="0"/>
              <w:right w:val="single" w:color="auto" w:sz="4" w:space="0"/>
            </w:tcBorders>
            <w:shd w:val="clear" w:color="auto" w:fill="auto"/>
            <w:noWrap/>
            <w:vAlign w:val="center"/>
          </w:tcPr>
          <w:p>
            <w:pPr>
              <w:keepNext w:val="0"/>
              <w:keepLines w:val="0"/>
              <w:pageBreakBefore w:val="0"/>
              <w:widowControl w:val="0"/>
              <w:wordWrap/>
              <w:bidi w:val="0"/>
              <w:spacing w:before="227" w:beforeLines="50" w:after="227" w:afterLines="50" w:line="500" w:lineRule="exact"/>
              <w:rPr>
                <w:rFonts w:hint="eastAsia" w:ascii="仿宋_GB2312" w:hAnsi="仿宋" w:eastAsia="仿宋_GB2312" w:cs="仿宋"/>
                <w:color w:val="000000"/>
                <w:sz w:val="24"/>
                <w:szCs w:val="24"/>
              </w:rPr>
            </w:pPr>
          </w:p>
        </w:tc>
        <w:tc>
          <w:tcPr>
            <w:tcW w:w="506" w:type="pct"/>
            <w:tcBorders>
              <w:top w:val="nil"/>
              <w:left w:val="nil"/>
              <w:bottom w:val="double" w:color="auto" w:sz="6" w:space="0"/>
              <w:right w:val="single" w:color="auto" w:sz="4" w:space="0"/>
            </w:tcBorders>
            <w:shd w:val="clear" w:color="auto" w:fill="auto"/>
            <w:noWrap/>
            <w:vAlign w:val="center"/>
          </w:tcPr>
          <w:p>
            <w:pPr>
              <w:keepNext w:val="0"/>
              <w:keepLines w:val="0"/>
              <w:pageBreakBefore w:val="0"/>
              <w:widowControl w:val="0"/>
              <w:wordWrap/>
              <w:bidi w:val="0"/>
              <w:spacing w:before="227" w:beforeLines="50" w:after="227" w:afterLines="50" w:line="500" w:lineRule="exact"/>
              <w:rPr>
                <w:rFonts w:hint="eastAsia" w:ascii="仿宋_GB2312" w:hAnsi="仿宋" w:eastAsia="仿宋_GB2312" w:cs="仿宋"/>
                <w:color w:val="000000"/>
                <w:sz w:val="24"/>
                <w:szCs w:val="24"/>
              </w:rPr>
            </w:pPr>
          </w:p>
        </w:tc>
        <w:tc>
          <w:tcPr>
            <w:tcW w:w="506" w:type="pct"/>
            <w:tcBorders>
              <w:top w:val="nil"/>
              <w:left w:val="nil"/>
              <w:bottom w:val="double" w:color="auto" w:sz="6" w:space="0"/>
              <w:right w:val="single" w:color="auto" w:sz="4" w:space="0"/>
            </w:tcBorders>
            <w:shd w:val="clear" w:color="000000" w:fill="FFFFFF"/>
            <w:noWrap/>
            <w:vAlign w:val="center"/>
          </w:tcPr>
          <w:p>
            <w:pPr>
              <w:keepNext w:val="0"/>
              <w:keepLines w:val="0"/>
              <w:pageBreakBefore w:val="0"/>
              <w:widowControl w:val="0"/>
              <w:wordWrap/>
              <w:bidi w:val="0"/>
              <w:spacing w:before="227" w:beforeLines="50" w:after="227" w:afterLines="50" w:line="500" w:lineRule="exact"/>
              <w:rPr>
                <w:rFonts w:hint="eastAsia" w:ascii="仿宋_GB2312" w:hAnsi="仿宋" w:eastAsia="仿宋_GB2312" w:cs="仿宋"/>
                <w:color w:val="000000"/>
                <w:sz w:val="24"/>
                <w:szCs w:val="24"/>
              </w:rPr>
            </w:pPr>
          </w:p>
        </w:tc>
        <w:tc>
          <w:tcPr>
            <w:tcW w:w="506" w:type="pct"/>
            <w:tcBorders>
              <w:top w:val="nil"/>
              <w:left w:val="nil"/>
              <w:bottom w:val="double" w:color="auto" w:sz="6"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rPr>
                <w:rFonts w:hint="eastAsia" w:ascii="仿宋_GB2312" w:hAnsi="仿宋" w:eastAsia="仿宋_GB2312" w:cs="仿宋"/>
                <w:color w:val="000000"/>
                <w:sz w:val="24"/>
                <w:szCs w:val="24"/>
              </w:rPr>
            </w:pPr>
          </w:p>
        </w:tc>
        <w:tc>
          <w:tcPr>
            <w:tcW w:w="505" w:type="pct"/>
            <w:tcBorders>
              <w:top w:val="nil"/>
              <w:left w:val="nil"/>
              <w:bottom w:val="double" w:color="auto" w:sz="6" w:space="0"/>
              <w:right w:val="single" w:color="auto" w:sz="4" w:space="0"/>
            </w:tcBorders>
            <w:noWrap w:val="0"/>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p>
        </w:tc>
        <w:tc>
          <w:tcPr>
            <w:tcW w:w="506" w:type="pct"/>
            <w:tcBorders>
              <w:top w:val="nil"/>
              <w:left w:val="nil"/>
              <w:bottom w:val="double" w:color="auto" w:sz="6" w:space="0"/>
              <w:right w:val="single" w:color="auto" w:sz="8" w:space="0"/>
            </w:tcBorders>
            <w:noWrap/>
            <w:vAlign w:val="center"/>
          </w:tcPr>
          <w:p>
            <w:pPr>
              <w:keepNext w:val="0"/>
              <w:keepLines w:val="0"/>
              <w:pageBreakBefore w:val="0"/>
              <w:widowControl w:val="0"/>
              <w:wordWrap/>
              <w:bidi w:val="0"/>
              <w:spacing w:before="227" w:beforeLines="50" w:after="227" w:afterLines="50" w:line="500" w:lineRule="exact"/>
              <w:jc w:val="center"/>
              <w:rPr>
                <w:rFonts w:hint="eastAsia" w:ascii="仿宋_GB2312" w:hAnsi="仿宋" w:eastAsia="仿宋_GB2312" w:cs="仿宋"/>
                <w:color w:val="000000"/>
                <w:sz w:val="24"/>
                <w:szCs w:val="24"/>
              </w:rPr>
            </w:pPr>
          </w:p>
        </w:tc>
      </w:tr>
    </w:tbl>
    <w:p>
      <w:pPr>
        <w:keepNext w:val="0"/>
        <w:keepLines w:val="0"/>
        <w:pageBreakBefore w:val="0"/>
        <w:widowControl w:val="0"/>
        <w:wordWrap/>
        <w:bidi w:val="0"/>
        <w:spacing w:line="500" w:lineRule="exact"/>
        <w:ind w:firstLine="522" w:firstLineChars="200"/>
        <w:rPr>
          <w:rFonts w:ascii="仿宋_GB2312" w:eastAsia="仿宋_GB2312"/>
          <w:color w:val="000000"/>
          <w:sz w:val="28"/>
          <w:szCs w:val="28"/>
        </w:rPr>
      </w:pPr>
    </w:p>
    <w:p>
      <w:pPr>
        <w:keepNext w:val="0"/>
        <w:keepLines w:val="0"/>
        <w:pageBreakBefore w:val="0"/>
        <w:widowControl w:val="0"/>
        <w:wordWrap/>
        <w:bidi w:val="0"/>
        <w:spacing w:line="500" w:lineRule="exact"/>
        <w:ind w:firstLine="522" w:firstLineChars="200"/>
        <w:rPr>
          <w:rFonts w:ascii="仿宋_GB2312" w:eastAsia="仿宋_GB2312"/>
          <w:color w:val="000000"/>
          <w:sz w:val="28"/>
          <w:szCs w:val="28"/>
        </w:rPr>
      </w:pPr>
      <w:r>
        <w:rPr>
          <w:rFonts w:ascii="仿宋_GB2312" w:eastAsia="仿宋_GB2312"/>
          <w:color w:val="000000"/>
          <w:sz w:val="28"/>
          <w:szCs w:val="28"/>
        </w:rPr>
        <w:br w:type="page"/>
      </w:r>
      <w:r>
        <w:rPr>
          <w:rFonts w:ascii="仿宋_GB2312" w:eastAsia="仿宋_GB2312"/>
          <w:color w:val="000000"/>
          <w:sz w:val="28"/>
          <w:szCs w:val="28"/>
        </w:rPr>
        <mc:AlternateContent>
          <mc:Choice Requires="wps">
            <w:drawing>
              <wp:anchor distT="0" distB="0" distL="114300" distR="114300" simplePos="0" relativeHeight="251695104" behindDoc="0" locked="0" layoutInCell="1" allowOverlap="1">
                <wp:simplePos x="0" y="0"/>
                <wp:positionH relativeFrom="column">
                  <wp:posOffset>-125730</wp:posOffset>
                </wp:positionH>
                <wp:positionV relativeFrom="paragraph">
                  <wp:posOffset>8397240</wp:posOffset>
                </wp:positionV>
                <wp:extent cx="1079500" cy="434340"/>
                <wp:effectExtent l="4445" t="5080" r="20955" b="17780"/>
                <wp:wrapNone/>
                <wp:docPr id="38" name="文本框 38"/>
                <wp:cNvGraphicFramePr/>
                <a:graphic xmlns:a="http://schemas.openxmlformats.org/drawingml/2006/main">
                  <a:graphicData uri="http://schemas.microsoft.com/office/word/2010/wordprocessingShape">
                    <wps:wsp>
                      <wps:cNvSpPr txBox="1"/>
                      <wps:spPr>
                        <a:xfrm>
                          <a:off x="0" y="0"/>
                          <a:ext cx="1079500" cy="434340"/>
                        </a:xfrm>
                        <a:prstGeom prst="rect">
                          <a:avLst/>
                        </a:prstGeom>
                        <a:solidFill>
                          <a:srgbClr val="FFFFFF"/>
                        </a:solidFill>
                        <a:ln w="9525" cap="flat" cmpd="sng">
                          <a:solidFill>
                            <a:srgbClr val="FFFFFF"/>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202" type="#_x0000_t202" style="position:absolute;left:0pt;margin-left:-9.9pt;margin-top:661.2pt;height:34.2pt;width:85pt;z-index:251695104;mso-width-relative:page;mso-height-relative:page;" fillcolor="#FFFFFF" filled="t" stroked="t" coordsize="21600,21600" o:gfxdata="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VfyfDZAAAADQEAAA8AAAAAAAAAAQAgAAAAIgAA&#10;AGRycy9kb3ducmV2LnhtbFBLAQIUABQAAAAIAIdO4kDtmHsFBwIAADgEAAAOAAAAAAAAAAEAIAAA&#10;ACgBAABkcnMvZTJvRG9jLnhtbFBLBQYAAAAABgAGAFkBAAChBQAAAAA=&#10;">
                <v:fill on="t" focussize="0,0"/>
                <v:stroke color="#FFFFFF" joinstyle="miter"/>
                <v:imagedata o:title=""/>
                <o:lock v:ext="edit" aspectratio="f"/>
                <v:textbox>
                  <w:txbxContent>
                    <w:p/>
                  </w:txbxContent>
                </v:textbox>
              </v:shape>
            </w:pict>
          </mc:Fallback>
        </mc:AlternateContent>
      </w:r>
    </w:p>
    <w:p>
      <w:pPr>
        <w:keepNext w:val="0"/>
        <w:keepLines w:val="0"/>
        <w:pageBreakBefore w:val="0"/>
        <w:widowControl w:val="0"/>
        <w:wordWrap/>
        <w:bidi w:val="0"/>
        <w:spacing w:after="0" w:line="500" w:lineRule="exact"/>
        <w:jc w:val="center"/>
        <w:rPr>
          <w:rFonts w:hint="eastAsia" w:ascii="方正小标宋简体" w:hAnsi="方正小标宋简体" w:eastAsia="方正小标宋简体" w:cs="方正小标宋简体"/>
          <w:color w:val="000000"/>
          <w:sz w:val="48"/>
          <w:szCs w:val="48"/>
        </w:rPr>
      </w:pPr>
    </w:p>
    <w:p>
      <w:pPr>
        <w:keepNext w:val="0"/>
        <w:keepLines w:val="0"/>
        <w:pageBreakBefore w:val="0"/>
        <w:widowControl w:val="0"/>
        <w:wordWrap/>
        <w:bidi w:val="0"/>
        <w:spacing w:after="0" w:line="500" w:lineRule="exact"/>
        <w:jc w:val="center"/>
        <w:rPr>
          <w:rFonts w:hint="eastAsia" w:ascii="方正小标宋简体" w:hAnsi="方正小标宋简体" w:eastAsia="方正小标宋简体" w:cs="方正小标宋简体"/>
          <w:color w:val="000000"/>
          <w:sz w:val="48"/>
          <w:szCs w:val="48"/>
        </w:rPr>
      </w:pPr>
    </w:p>
    <w:p>
      <w:pPr>
        <w:keepNext w:val="0"/>
        <w:keepLines w:val="0"/>
        <w:pageBreakBefore w:val="0"/>
        <w:widowControl w:val="0"/>
        <w:wordWrap/>
        <w:bidi w:val="0"/>
        <w:spacing w:after="0" w:line="500" w:lineRule="exact"/>
        <w:jc w:val="center"/>
        <w:rPr>
          <w:rFonts w:hint="eastAsia" w:ascii="方正小标宋简体" w:hAnsi="方正小标宋简体" w:eastAsia="方正小标宋简体" w:cs="方正小标宋简体"/>
          <w:color w:val="000000"/>
          <w:sz w:val="48"/>
          <w:szCs w:val="48"/>
        </w:rPr>
      </w:pPr>
    </w:p>
    <w:p>
      <w:pPr>
        <w:keepNext w:val="0"/>
        <w:keepLines w:val="0"/>
        <w:pageBreakBefore w:val="0"/>
        <w:widowControl w:val="0"/>
        <w:wordWrap/>
        <w:bidi w:val="0"/>
        <w:spacing w:after="0" w:line="500" w:lineRule="exact"/>
        <w:jc w:val="center"/>
        <w:rPr>
          <w:rFonts w:hint="eastAsia" w:ascii="方正小标宋简体" w:hAnsi="方正小标宋简体" w:eastAsia="方正小标宋简体" w:cs="方正小标宋简体"/>
          <w:color w:val="000000"/>
          <w:sz w:val="48"/>
          <w:szCs w:val="48"/>
        </w:rPr>
      </w:pPr>
    </w:p>
    <w:p>
      <w:pPr>
        <w:keepNext w:val="0"/>
        <w:keepLines w:val="0"/>
        <w:pageBreakBefore w:val="0"/>
        <w:widowControl w:val="0"/>
        <w:wordWrap/>
        <w:bidi w:val="0"/>
        <w:spacing w:after="0" w:line="500" w:lineRule="exact"/>
        <w:jc w:val="center"/>
        <w:rPr>
          <w:rFonts w:hint="eastAsia" w:ascii="方正小标宋简体" w:hAnsi="方正小标宋简体" w:eastAsia="方正小标宋简体" w:cs="方正小标宋简体"/>
          <w:color w:val="000000"/>
          <w:sz w:val="48"/>
          <w:szCs w:val="48"/>
        </w:rPr>
      </w:pPr>
    </w:p>
    <w:p>
      <w:pPr>
        <w:keepNext w:val="0"/>
        <w:keepLines w:val="0"/>
        <w:pageBreakBefore w:val="0"/>
        <w:widowControl w:val="0"/>
        <w:wordWrap/>
        <w:bidi w:val="0"/>
        <w:spacing w:after="0" w:line="500" w:lineRule="exact"/>
        <w:jc w:val="center"/>
        <w:rPr>
          <w:rFonts w:hint="eastAsia" w:ascii="方正小标宋简体" w:hAnsi="方正小标宋简体" w:eastAsia="方正小标宋简体" w:cs="方正小标宋简体"/>
          <w:color w:val="000000"/>
          <w:sz w:val="48"/>
          <w:szCs w:val="48"/>
        </w:rPr>
      </w:pPr>
    </w:p>
    <w:p>
      <w:pPr>
        <w:pStyle w:val="3"/>
        <w:keepNext w:val="0"/>
        <w:keepLines w:val="0"/>
        <w:pageBreakBefore w:val="0"/>
        <w:widowControl w:val="0"/>
        <w:wordWrap/>
        <w:bidi w:val="0"/>
        <w:spacing w:before="0" w:after="210" w:line="500" w:lineRule="exact"/>
        <w:jc w:val="center"/>
        <w:rPr>
          <w:rFonts w:hint="eastAsia" w:ascii="方正小标宋简体" w:hAnsi="方正小标宋简体" w:eastAsia="方正小标宋简体" w:cs="方正小标宋简体"/>
          <w:b w:val="0"/>
          <w:bCs w:val="0"/>
          <w:color w:val="000000"/>
          <w:sz w:val="48"/>
          <w:szCs w:val="48"/>
          <w:shd w:val="clear" w:color="auto" w:fill="FFFFFF"/>
        </w:rPr>
      </w:pPr>
      <w:r>
        <w:rPr>
          <w:rFonts w:hint="eastAsia" w:ascii="方正小标宋简体" w:hAnsi="方正小标宋简体" w:eastAsia="方正小标宋简体" w:cs="方正小标宋简体"/>
          <w:b w:val="0"/>
          <w:bCs w:val="0"/>
          <w:color w:val="000000"/>
          <w:sz w:val="48"/>
          <w:szCs w:val="48"/>
          <w:shd w:val="clear" w:color="auto" w:fill="FFFFFF"/>
        </w:rPr>
        <w:t>法律尽职调查业务操作指引</w:t>
      </w:r>
    </w:p>
    <w:p>
      <w:pPr>
        <w:pStyle w:val="3"/>
        <w:keepNext w:val="0"/>
        <w:keepLines w:val="0"/>
        <w:pageBreakBefore w:val="0"/>
        <w:widowControl w:val="0"/>
        <w:wordWrap/>
        <w:bidi w:val="0"/>
        <w:spacing w:before="0" w:after="210" w:line="500" w:lineRule="exact"/>
        <w:jc w:val="center"/>
        <w:outlineLvl w:val="9"/>
        <w:rPr>
          <w:rFonts w:hint="eastAsia" w:ascii="方正小标宋简体" w:hAnsi="方正小标宋简体" w:eastAsia="方正小标宋简体" w:cs="方正小标宋简体"/>
          <w:b w:val="0"/>
          <w:bCs w:val="0"/>
          <w:color w:val="000000"/>
          <w:sz w:val="48"/>
          <w:szCs w:val="48"/>
        </w:rPr>
      </w:pPr>
      <w:r>
        <w:rPr>
          <w:rFonts w:hint="eastAsia" w:ascii="方正小标宋简体" w:hAnsi="方正小标宋简体" w:eastAsia="方正小标宋简体" w:cs="方正小标宋简体"/>
          <w:b w:val="0"/>
          <w:bCs w:val="0"/>
          <w:color w:val="000000"/>
          <w:sz w:val="48"/>
          <w:szCs w:val="48"/>
          <w:shd w:val="clear" w:color="auto" w:fill="FFFFFF"/>
        </w:rPr>
        <w:br w:type="page"/>
      </w:r>
    </w:p>
    <w:p>
      <w:pPr>
        <w:keepNext w:val="0"/>
        <w:keepLines w:val="0"/>
        <w:pageBreakBefore w:val="0"/>
        <w:widowControl w:val="0"/>
        <w:wordWrap/>
        <w:bidi w:val="0"/>
        <w:spacing w:after="0" w:line="500" w:lineRule="exact"/>
        <w:jc w:val="center"/>
        <w:rPr>
          <w:rFonts w:hint="eastAsia" w:ascii="方正小标宋简体" w:hAnsi="方正小标宋简体" w:eastAsia="方正小标宋简体" w:cs="方正小标宋简体"/>
          <w:color w:val="000000"/>
          <w:sz w:val="48"/>
          <w:szCs w:val="48"/>
        </w:rPr>
      </w:pPr>
    </w:p>
    <w:p>
      <w:pPr>
        <w:keepNext w:val="0"/>
        <w:keepLines w:val="0"/>
        <w:pageBreakBefore w:val="0"/>
        <w:widowControl w:val="0"/>
        <w:wordWrap/>
        <w:bidi w:val="0"/>
        <w:spacing w:before="227" w:beforeLines="50" w:after="227" w:afterLines="50" w:line="500" w:lineRule="exact"/>
        <w:rPr>
          <w:color w:val="000000"/>
          <w:sz w:val="20"/>
          <w:szCs w:val="21"/>
        </w:rPr>
      </w:pPr>
    </w:p>
    <w:p>
      <w:pPr>
        <w:keepNext w:val="0"/>
        <w:keepLines w:val="0"/>
        <w:pageBreakBefore w:val="0"/>
        <w:widowControl w:val="0"/>
        <w:wordWrap/>
        <w:bidi w:val="0"/>
        <w:spacing w:after="0" w:line="500" w:lineRule="exact"/>
        <w:jc w:val="center"/>
        <w:rPr>
          <w:rFonts w:hint="eastAsia" w:ascii="方正小标宋简体" w:hAnsi="方正小标宋简体" w:eastAsia="方正小标宋简体" w:cs="方正小标宋简体"/>
          <w:color w:val="000000"/>
          <w:sz w:val="40"/>
          <w:szCs w:val="40"/>
        </w:rPr>
      </w:pPr>
      <w:r>
        <w:rPr>
          <w:sz w:val="28"/>
        </w:rPr>
        <mc:AlternateContent>
          <mc:Choice Requires="wps">
            <w:drawing>
              <wp:anchor distT="0" distB="0" distL="114300" distR="114300" simplePos="0" relativeHeight="251727872" behindDoc="0" locked="0" layoutInCell="1" allowOverlap="1">
                <wp:simplePos x="0" y="0"/>
                <wp:positionH relativeFrom="column">
                  <wp:posOffset>-60960</wp:posOffset>
                </wp:positionH>
                <wp:positionV relativeFrom="paragraph">
                  <wp:posOffset>5231130</wp:posOffset>
                </wp:positionV>
                <wp:extent cx="1249680" cy="714375"/>
                <wp:effectExtent l="0" t="0" r="7620" b="9525"/>
                <wp:wrapNone/>
                <wp:docPr id="39" name="文本框 39"/>
                <wp:cNvGraphicFramePr/>
                <a:graphic xmlns:a="http://schemas.openxmlformats.org/drawingml/2006/main">
                  <a:graphicData uri="http://schemas.microsoft.com/office/word/2010/wordprocessingShape">
                    <wps:wsp>
                      <wps:cNvSpPr txBox="1"/>
                      <wps:spPr>
                        <a:xfrm>
                          <a:off x="0" y="0"/>
                          <a:ext cx="1249680" cy="714375"/>
                        </a:xfrm>
                        <a:prstGeom prst="rect">
                          <a:avLst/>
                        </a:prstGeom>
                        <a:solidFill>
                          <a:srgbClr val="FFFFFF"/>
                        </a:solidFill>
                        <a:ln>
                          <a:noFill/>
                        </a:ln>
                      </wps:spPr>
                      <wps:txbx>
                        <w:txbxContent>
                          <w:p/>
                        </w:txbxContent>
                      </wps:txbx>
                      <wps:bodyPr upright="1"/>
                    </wps:wsp>
                  </a:graphicData>
                </a:graphic>
              </wp:anchor>
            </w:drawing>
          </mc:Choice>
          <mc:Fallback>
            <w:pict>
              <v:shape id="_x0000_s1026" o:spid="_x0000_s1026" o:spt="202" type="#_x0000_t202" style="position:absolute;left:0pt;margin-left:-4.8pt;margin-top:411.9pt;height:56.25pt;width:98.4pt;z-index:251727872;mso-width-relative:page;mso-height-relative:page;" fillcolor="#FFFFFF" filled="t" stroked="f" coordsize="21600,21600" o:gfxdata="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M926A9gAAAAKAQAADwAAAAAAAAABACAAAAAiAAAAZHJzL2Rvd25yZXYu&#10;eG1sUEsBAhQAFAAAAAgAh07iQM+atGDCAQAAeQMAAA4AAAAAAAAAAQAgAAAAJwEAAGRycy9lMm9E&#10;b2MueG1sUEsFBgAAAAAGAAYAWQEAAFsFAAAAAA==&#10;">
                <v:fill on="t" focussize="0,0"/>
                <v:stroke on="f"/>
                <v:imagedata o:title=""/>
                <o:lock v:ext="edit" aspectratio="f"/>
                <v:textbox>
                  <w:txbxContent>
                    <w:p/>
                  </w:txbxContent>
                </v:textbox>
              </v:shape>
            </w:pict>
          </mc:Fallback>
        </mc:AlternateContent>
      </w:r>
      <w:r>
        <w:rPr>
          <w:sz w:val="28"/>
        </w:rPr>
        <mc:AlternateContent>
          <mc:Choice Requires="wps">
            <w:drawing>
              <wp:anchor distT="0" distB="0" distL="114300" distR="114300" simplePos="0" relativeHeight="251710464" behindDoc="0" locked="0" layoutInCell="1" allowOverlap="1">
                <wp:simplePos x="0" y="0"/>
                <wp:positionH relativeFrom="column">
                  <wp:posOffset>-370840</wp:posOffset>
                </wp:positionH>
                <wp:positionV relativeFrom="paragraph">
                  <wp:posOffset>6876415</wp:posOffset>
                </wp:positionV>
                <wp:extent cx="2024380" cy="1047750"/>
                <wp:effectExtent l="0" t="0" r="13970" b="0"/>
                <wp:wrapNone/>
                <wp:docPr id="48" name="文本框 48"/>
                <wp:cNvGraphicFramePr/>
                <a:graphic xmlns:a="http://schemas.openxmlformats.org/drawingml/2006/main">
                  <a:graphicData uri="http://schemas.microsoft.com/office/word/2010/wordprocessingShape">
                    <wps:wsp>
                      <wps:cNvSpPr txBox="1"/>
                      <wps:spPr>
                        <a:xfrm>
                          <a:off x="0" y="0"/>
                          <a:ext cx="2024380" cy="1047750"/>
                        </a:xfrm>
                        <a:prstGeom prst="rect">
                          <a:avLst/>
                        </a:prstGeom>
                        <a:solidFill>
                          <a:srgbClr val="FFFFFF"/>
                        </a:solidFill>
                        <a:ln>
                          <a:noFill/>
                        </a:ln>
                      </wps:spPr>
                      <wps:txbx>
                        <w:txbxContent>
                          <w:p/>
                        </w:txbxContent>
                      </wps:txbx>
                      <wps:bodyPr upright="1"/>
                    </wps:wsp>
                  </a:graphicData>
                </a:graphic>
              </wp:anchor>
            </w:drawing>
          </mc:Choice>
          <mc:Fallback>
            <w:pict>
              <v:shape id="_x0000_s1026" o:spid="_x0000_s1026" o:spt="202" type="#_x0000_t202" style="position:absolute;left:0pt;margin-left:-29.2pt;margin-top:541.45pt;height:82.5pt;width:159.4pt;z-index:251710464;mso-width-relative:page;mso-height-relative:page;" fillcolor="#FFFFFF" filled="t" stroked="f" coordsize="21600,21600" o:gfxdata="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NU1+u9kAAAANAQAADwAAAAAAAAABACAAAAAiAAAAZHJzL2Rvd25y&#10;ZXYueG1sUEsBAhQAFAAAAAgAh07iQAzE8qTEAQAAegMAAA4AAAAAAAAAAQAgAAAAKAEAAGRycy9l&#10;Mm9Eb2MueG1sUEsFBgAAAAAGAAYAWQEAAF4FAAAAAA==&#10;">
                <v:fill on="t" focussize="0,0"/>
                <v:stroke on="f"/>
                <v:imagedata o:title=""/>
                <o:lock v:ext="edit" aspectratio="f"/>
                <v:textbox>
                  <w:txbxContent>
                    <w:p/>
                  </w:txbxContent>
                </v:textbox>
              </v:shape>
            </w:pict>
          </mc:Fallback>
        </mc:AlternateContent>
      </w:r>
      <w:r>
        <w:rPr>
          <w:sz w:val="28"/>
          <w:szCs w:val="21"/>
        </w:rPr>
        <mc:AlternateContent>
          <mc:Choice Requires="wps">
            <w:drawing>
              <wp:anchor distT="0" distB="0" distL="114300" distR="114300" simplePos="0" relativeHeight="251662336" behindDoc="0" locked="0" layoutInCell="1" allowOverlap="1">
                <wp:simplePos x="0" y="0"/>
                <wp:positionH relativeFrom="column">
                  <wp:posOffset>-233680</wp:posOffset>
                </wp:positionH>
                <wp:positionV relativeFrom="paragraph">
                  <wp:posOffset>6508115</wp:posOffset>
                </wp:positionV>
                <wp:extent cx="1118870" cy="654685"/>
                <wp:effectExtent l="4445" t="4445" r="19685" b="7620"/>
                <wp:wrapNone/>
                <wp:docPr id="40" name="矩形 40"/>
                <wp:cNvGraphicFramePr/>
                <a:graphic xmlns:a="http://schemas.openxmlformats.org/drawingml/2006/main">
                  <a:graphicData uri="http://schemas.microsoft.com/office/word/2010/wordprocessingShape">
                    <wps:wsp>
                      <wps:cNvSpPr/>
                      <wps:spPr>
                        <a:xfrm>
                          <a:off x="0" y="0"/>
                          <a:ext cx="1118870" cy="654685"/>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8.4pt;margin-top:512.45pt;height:51.55pt;width:88.1pt;z-index:251662336;mso-width-relative:page;mso-height-relative:page;" fillcolor="#FFFFFF" filled="t" stroked="t" coordsize="21600,21600" o:gfxdata="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LbB7M2gAAAA0BAAAPAAAAAAAAAAEAIAAAACIAAABkcnMvZG93bnJldi54&#10;bWxQSwECFAAUAAAACACHTuJA+RScB/gBAAAgBAAADgAAAAAAAAABACAAAAApAQAAZHJzL2Uyb0Rv&#10;Yy54bWxQSwUGAAAAAAYABgBZAQAAkwUAAAAA&#10;">
                <v:fill on="t" focussize="0,0"/>
                <v:stroke color="#FFFFFF" joinstyle="miter"/>
                <v:imagedata o:title=""/>
                <o:lock v:ext="edit" aspectratio="f"/>
              </v:rect>
            </w:pict>
          </mc:Fallback>
        </mc:AlternateContent>
      </w:r>
      <w:r>
        <w:rPr>
          <w:rFonts w:hint="eastAsia" w:ascii="仿宋_GB2312" w:hAnsi="仿宋" w:eastAsia="仿宋_GB2312" w:cs="仿宋"/>
          <w:color w:val="000000"/>
          <w:sz w:val="28"/>
          <w:szCs w:val="28"/>
          <w:shd w:val="clear" w:color="auto" w:fill="FFFFFF"/>
        </w:rPr>
        <w:br w:type="page"/>
      </w:r>
      <w:r>
        <w:rPr>
          <w:rFonts w:hint="eastAsia" w:ascii="方正小标宋简体" w:hAnsi="方正小标宋简体" w:eastAsia="方正小标宋简体" w:cs="方正小标宋简体"/>
          <w:color w:val="000000"/>
          <w:sz w:val="40"/>
          <w:szCs w:val="40"/>
        </w:rPr>
        <w:t>目   录</w:t>
      </w:r>
    </w:p>
    <w:p>
      <w:pPr>
        <w:pStyle w:val="14"/>
        <w:keepNext w:val="0"/>
        <w:keepLines w:val="0"/>
        <w:pageBreakBefore w:val="0"/>
        <w:widowControl w:val="0"/>
        <w:wordWrap/>
        <w:bidi w:val="0"/>
        <w:spacing w:beforeAutospacing="0" w:after="0" w:afterAutospacing="0" w:line="500" w:lineRule="exact"/>
        <w:jc w:val="both"/>
        <w:rPr>
          <w:rFonts w:hint="eastAsia" w:ascii="仿宋" w:hAnsi="仿宋" w:eastAsia="仿宋" w:cs="仿宋"/>
          <w:color w:val="000000"/>
          <w:sz w:val="28"/>
          <w:szCs w:val="28"/>
          <w:shd w:val="clear" w:color="auto" w:fill="FFFFFF"/>
        </w:rPr>
      </w:pPr>
    </w:p>
    <w:p>
      <w:pPr>
        <w:pStyle w:val="14"/>
        <w:keepNext w:val="0"/>
        <w:keepLines w:val="0"/>
        <w:pageBreakBefore w:val="0"/>
        <w:widowControl w:val="0"/>
        <w:wordWrap/>
        <w:bidi w:val="0"/>
        <w:spacing w:beforeAutospacing="0" w:after="0" w:afterAutospacing="0" w:line="500" w:lineRule="exact"/>
        <w:jc w:val="left"/>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第一章  总则</w:t>
      </w:r>
    </w:p>
    <w:p>
      <w:pPr>
        <w:pStyle w:val="14"/>
        <w:keepNext w:val="0"/>
        <w:keepLines w:val="0"/>
        <w:pageBreakBefore w:val="0"/>
        <w:widowControl w:val="0"/>
        <w:wordWrap/>
        <w:bidi w:val="0"/>
        <w:spacing w:beforeAutospacing="0" w:after="0" w:afterAutospacing="0" w:line="500" w:lineRule="exact"/>
        <w:jc w:val="left"/>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第二章  法律尽职调查业务的基本要求</w:t>
      </w:r>
    </w:p>
    <w:p>
      <w:pPr>
        <w:pStyle w:val="14"/>
        <w:keepNext w:val="0"/>
        <w:keepLines w:val="0"/>
        <w:pageBreakBefore w:val="0"/>
        <w:widowControl w:val="0"/>
        <w:wordWrap/>
        <w:bidi w:val="0"/>
        <w:spacing w:beforeAutospacing="0" w:after="0" w:afterAutospacing="0" w:line="500" w:lineRule="exact"/>
        <w:jc w:val="left"/>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第三章  法律尽职调查业务的基本流程</w:t>
      </w:r>
    </w:p>
    <w:p>
      <w:pPr>
        <w:pStyle w:val="14"/>
        <w:keepNext w:val="0"/>
        <w:keepLines w:val="0"/>
        <w:pageBreakBefore w:val="0"/>
        <w:widowControl w:val="0"/>
        <w:wordWrap/>
        <w:bidi w:val="0"/>
        <w:spacing w:beforeAutospacing="0" w:after="0" w:afterAutospacing="0" w:line="500" w:lineRule="exact"/>
        <w:jc w:val="left"/>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第四章   附则</w:t>
      </w:r>
    </w:p>
    <w:p>
      <w:pPr>
        <w:pStyle w:val="3"/>
        <w:keepNext w:val="0"/>
        <w:keepLines w:val="0"/>
        <w:pageBreakBefore w:val="0"/>
        <w:widowControl w:val="0"/>
        <w:wordWrap/>
        <w:bidi w:val="0"/>
        <w:spacing w:after="210" w:line="500" w:lineRule="exact"/>
        <w:jc w:val="center"/>
        <w:rPr>
          <w:rFonts w:hint="eastAsia" w:ascii="仿宋" w:hAnsi="仿宋" w:eastAsia="仿宋" w:cs="仿宋"/>
          <w:b w:val="0"/>
          <w:bCs w:val="0"/>
          <w:color w:val="000000"/>
          <w:sz w:val="28"/>
          <w:szCs w:val="28"/>
        </w:rPr>
      </w:pPr>
      <w:r>
        <w:rPr>
          <w:rFonts w:hint="eastAsia" w:ascii="仿宋" w:hAnsi="仿宋" w:eastAsia="仿宋" w:cs="仿宋"/>
          <w:color w:val="000000"/>
          <w:sz w:val="28"/>
          <w:szCs w:val="28"/>
          <w:shd w:val="clear" w:color="auto" w:fill="FFFFFF"/>
        </w:rPr>
        <w:br w:type="page"/>
      </w:r>
      <w:r>
        <w:rPr>
          <w:rFonts w:hint="eastAsia" w:ascii="方正小标宋简体" w:hAnsi="方正小标宋简体" w:eastAsia="方正小标宋简体" w:cs="方正小标宋简体"/>
          <w:b w:val="0"/>
          <w:bCs w:val="0"/>
          <w:color w:val="000000"/>
          <w:sz w:val="40"/>
          <w:szCs w:val="40"/>
          <w:shd w:val="clear" w:color="auto" w:fill="FFFFFF"/>
        </w:rPr>
        <w:t>法律尽职调查业务操作指引</w:t>
      </w:r>
    </w:p>
    <w:p>
      <w:pPr>
        <w:pStyle w:val="14"/>
        <w:keepNext w:val="0"/>
        <w:keepLines w:val="0"/>
        <w:pageBreakBefore w:val="0"/>
        <w:widowControl w:val="0"/>
        <w:wordWrap/>
        <w:bidi w:val="0"/>
        <w:spacing w:beforeAutospacing="0" w:after="0" w:afterAutospacing="0" w:line="500" w:lineRule="exact"/>
        <w:jc w:val="center"/>
        <w:rPr>
          <w:rFonts w:hint="eastAsia" w:ascii="黑体" w:hAnsi="黑体" w:eastAsia="黑体" w:cs="黑体"/>
          <w:color w:val="000000"/>
          <w:sz w:val="28"/>
          <w:szCs w:val="28"/>
          <w:shd w:val="clear" w:color="auto" w:fill="FFFFFF"/>
        </w:rPr>
      </w:pPr>
    </w:p>
    <w:p>
      <w:pPr>
        <w:pStyle w:val="14"/>
        <w:keepNext w:val="0"/>
        <w:keepLines w:val="0"/>
        <w:pageBreakBefore w:val="0"/>
        <w:widowControl w:val="0"/>
        <w:wordWrap/>
        <w:bidi w:val="0"/>
        <w:spacing w:beforeAutospacing="0" w:after="0" w:afterAutospacing="0" w:line="500" w:lineRule="exact"/>
        <w:jc w:val="center"/>
        <w:rPr>
          <w:rFonts w:hint="eastAsia" w:ascii="黑体" w:hAnsi="黑体" w:eastAsia="黑体" w:cs="黑体"/>
          <w:color w:val="000000"/>
          <w:sz w:val="28"/>
          <w:szCs w:val="28"/>
          <w:shd w:val="clear" w:color="auto" w:fill="FFFFFF"/>
        </w:rPr>
      </w:pPr>
      <w:r>
        <w:rPr>
          <w:rFonts w:hint="eastAsia" w:ascii="黑体" w:hAnsi="黑体" w:eastAsia="黑体" w:cs="黑体"/>
          <w:color w:val="000000"/>
          <w:sz w:val="28"/>
          <w:szCs w:val="28"/>
          <w:shd w:val="clear" w:color="auto" w:fill="FFFFFF"/>
        </w:rPr>
        <w:t>第一章  总则</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shd w:val="clear" w:color="auto" w:fill="FFFFFF"/>
        </w:rPr>
        <w:t>第一条</w:t>
      </w:r>
      <w:r>
        <w:rPr>
          <w:rFonts w:hint="eastAsia" w:ascii="仿宋_GB2312" w:hAnsi="仿宋" w:eastAsia="仿宋_GB2312" w:cs="仿宋"/>
          <w:color w:val="000000"/>
          <w:sz w:val="28"/>
          <w:szCs w:val="28"/>
          <w:shd w:val="clear" w:color="auto" w:fill="FFFFFF"/>
        </w:rPr>
        <w:t xml:space="preserve">  制订目的</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rPr>
        <w:t>为规范律师承办法律尽职调查业务的执业行为，保障服务质量，明确执业责任，根据中华人民共和国有关法律法规和律师行业公认的道德标准及执业规范，特制定本指引。</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shd w:val="clear" w:color="auto" w:fill="FFFFFF"/>
        </w:rPr>
        <w:t>第二条</w:t>
      </w:r>
      <w:r>
        <w:rPr>
          <w:rFonts w:hint="eastAsia" w:ascii="仿宋_GB2312" w:hAnsi="仿宋" w:eastAsia="仿宋_GB2312" w:cs="仿宋"/>
          <w:color w:val="000000"/>
          <w:sz w:val="28"/>
          <w:szCs w:val="28"/>
          <w:shd w:val="clear" w:color="auto" w:fill="FFFFFF"/>
        </w:rPr>
        <w:t xml:space="preserve">  适用范围</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rPr>
        <w:t>本省执业的律师事务所及律师在证券发行、收购兼并、重大资产转让等经济活动中，接受委托人的委托，开展法律尽职调查业务时，适用本指引。</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rPr>
        <w:t>法律尽职调查业务因被调查的企业所属行业、领域不同而各有其特点，本指引仅涉及具有普遍共性的企业法律尽职调查事项。</w:t>
      </w:r>
    </w:p>
    <w:p>
      <w:pPr>
        <w:pStyle w:val="14"/>
        <w:keepNext w:val="0"/>
        <w:keepLines w:val="0"/>
        <w:pageBreakBefore w:val="0"/>
        <w:widowControl w:val="0"/>
        <w:wordWrap/>
        <w:bidi w:val="0"/>
        <w:spacing w:beforeAutospacing="0" w:after="0" w:afterAutospacing="0" w:line="500" w:lineRule="exact"/>
        <w:jc w:val="center"/>
        <w:rPr>
          <w:rFonts w:hint="eastAsia" w:ascii="黑体" w:hAnsi="黑体" w:eastAsia="黑体" w:cs="黑体"/>
          <w:color w:val="000000"/>
          <w:sz w:val="28"/>
          <w:szCs w:val="28"/>
          <w:shd w:val="clear" w:color="auto" w:fill="FFFFFF"/>
        </w:rPr>
      </w:pPr>
      <w:r>
        <w:rPr>
          <w:rFonts w:hint="eastAsia" w:ascii="黑体" w:hAnsi="黑体" w:eastAsia="黑体" w:cs="黑体"/>
          <w:color w:val="000000"/>
          <w:sz w:val="28"/>
          <w:szCs w:val="28"/>
          <w:shd w:val="clear" w:color="auto" w:fill="FFFFFF"/>
        </w:rPr>
        <w:t>第二章  法律尽职调查业务的基本要求</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shd w:val="clear" w:color="auto" w:fill="FFFFFF"/>
        </w:rPr>
        <w:t>第三条</w:t>
      </w:r>
      <w:r>
        <w:rPr>
          <w:rFonts w:hint="eastAsia" w:ascii="仿宋_GB2312" w:hAnsi="仿宋" w:eastAsia="仿宋_GB2312" w:cs="仿宋"/>
          <w:color w:val="000000"/>
          <w:sz w:val="28"/>
          <w:szCs w:val="28"/>
          <w:shd w:val="clear" w:color="auto" w:fill="FFFFFF"/>
        </w:rPr>
        <w:t xml:space="preserve">  法律尽职调查业务</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rPr>
        <w:t>律师针对委托人拟进行的交易、证券发行等商业、经济活动中，依据相关法律、法规、规范性文件和政策性文件的要求，通过向委托人收集文件、与委托人的决策层及相关业务人员的面谈、向有关单位的书面函证、实地勘察、与相关方核对事实等方式，对目标企业的主体合法性存续、资产情况、债权债务、对外担保、业务开展、重大合同、税务、环保、劳动关系、关联关系、诉讼仲裁及可能涉及的行政处罚等一系列法律问题进行的调查核实，这种调查核实的过程通常称为尽职调查。</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shd w:val="clear" w:color="auto" w:fill="FFFFFF"/>
        </w:rPr>
        <w:t xml:space="preserve">第四条  </w:t>
      </w:r>
      <w:r>
        <w:rPr>
          <w:rFonts w:hint="eastAsia" w:ascii="仿宋_GB2312" w:hAnsi="仿宋" w:eastAsia="仿宋_GB2312" w:cs="仿宋"/>
          <w:color w:val="000000"/>
          <w:sz w:val="28"/>
          <w:szCs w:val="28"/>
          <w:shd w:val="clear" w:color="auto" w:fill="FFFFFF"/>
        </w:rPr>
        <w:t>法律尽职调查目的</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rPr>
        <w:t>法律尽职调查的目的是为了解目标企业、目标资产是否有现存的或潜在的法律障碍，并对目标企业相关情况的合法、合规性作出客观评价，进而向委托人提出相应的风险提示和必要的法律建议和意见。</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shd w:val="clear" w:color="auto" w:fill="FFFFFF"/>
        </w:rPr>
        <w:t xml:space="preserve">第五条 </w:t>
      </w:r>
      <w:r>
        <w:rPr>
          <w:rFonts w:hint="eastAsia" w:ascii="仿宋_GB2312" w:hAnsi="仿宋" w:eastAsia="仿宋_GB2312" w:cs="仿宋"/>
          <w:color w:val="000000"/>
          <w:sz w:val="28"/>
          <w:szCs w:val="28"/>
          <w:shd w:val="clear" w:color="auto" w:fill="FFFFFF"/>
        </w:rPr>
        <w:t>《专项法律服务协议》</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rPr>
        <w:t>办理法律尽职调查专项律师业务，应当由承办律所事先与委托人订立《专项法律服务协议》。该《专项法律服务协议》通常包括但不限于委托范围及要求、工作期限、工作成果的形式、工作报酬、费用及其支付方式和期限、违约责任、风险提示等相关内容。</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shd w:val="clear" w:color="auto" w:fill="FFFFFF"/>
        </w:rPr>
        <w:t>第六条</w:t>
      </w:r>
      <w:r>
        <w:rPr>
          <w:rFonts w:hint="eastAsia" w:ascii="仿宋_GB2312" w:hAnsi="仿宋" w:eastAsia="仿宋_GB2312" w:cs="仿宋"/>
          <w:color w:val="000000"/>
          <w:sz w:val="28"/>
          <w:szCs w:val="28"/>
          <w:shd w:val="clear" w:color="auto" w:fill="FFFFFF"/>
        </w:rPr>
        <w:t xml:space="preserve">  基本要求</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rPr>
        <w:t>办理法律尽职调查业务的，承办律师应符合以下基本要求:</w:t>
      </w:r>
    </w:p>
    <w:p>
      <w:pPr>
        <w:pStyle w:val="14"/>
        <w:keepNext w:val="0"/>
        <w:keepLines w:val="0"/>
        <w:pageBreakBefore w:val="0"/>
        <w:widowControl w:val="0"/>
        <w:numPr>
          <w:ilvl w:val="0"/>
          <w:numId w:val="59"/>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律师应当要求委托人如实陈述与所受理的非诉讼法律业务相关的一切事实，并提供相应的书面证据，律师调查的结果是律师出具法律意见书最直接的事实依据。</w:t>
      </w:r>
    </w:p>
    <w:p>
      <w:pPr>
        <w:pStyle w:val="14"/>
        <w:keepNext w:val="0"/>
        <w:keepLines w:val="0"/>
        <w:pageBreakBefore w:val="0"/>
        <w:widowControl w:val="0"/>
        <w:numPr>
          <w:ilvl w:val="0"/>
          <w:numId w:val="59"/>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律师应当合法、客观、全面、及时进行尽职调查，并就业务事项是否与法律相关、是否应当履行法律专业人士特别注意义务做出分析、判断。</w:t>
      </w:r>
    </w:p>
    <w:p>
      <w:pPr>
        <w:pStyle w:val="14"/>
        <w:keepNext w:val="0"/>
        <w:keepLines w:val="0"/>
        <w:pageBreakBefore w:val="0"/>
        <w:widowControl w:val="0"/>
        <w:numPr>
          <w:ilvl w:val="0"/>
          <w:numId w:val="59"/>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律师不得伪造、变造证据文件，不得协助或诱导委托人伪造证据文件。</w:t>
      </w:r>
    </w:p>
    <w:p>
      <w:pPr>
        <w:pStyle w:val="14"/>
        <w:keepNext w:val="0"/>
        <w:keepLines w:val="0"/>
        <w:pageBreakBefore w:val="0"/>
        <w:widowControl w:val="0"/>
        <w:numPr>
          <w:ilvl w:val="0"/>
          <w:numId w:val="59"/>
        </w:numPr>
        <w:kinsoku/>
        <w:wordWrap/>
        <w:overflowPunct/>
        <w:topLinePunct w:val="0"/>
        <w:autoSpaceDE/>
        <w:autoSpaceDN/>
        <w:bidi w:val="0"/>
        <w:adjustRightInd/>
        <w:snapToGrid/>
        <w:spacing w:beforeAutospacing="0" w:after="0" w:afterAutospacing="0" w:line="500" w:lineRule="exact"/>
        <w:ind w:firstLine="522"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律师收集文件应当收集原件，收集原件有困难的，可以复制或者收集副本、节录本，但对复制件、副本、节录本应由委托人加盖公章证明与原件相一致，委托人提供复印件的，应要求委托人加盖单位公章证明其来源。</w:t>
      </w:r>
    </w:p>
    <w:p>
      <w:pPr>
        <w:pStyle w:val="14"/>
        <w:keepNext w:val="0"/>
        <w:keepLines w:val="0"/>
        <w:pageBreakBefore w:val="0"/>
        <w:widowControl w:val="0"/>
        <w:numPr>
          <w:ilvl w:val="0"/>
          <w:numId w:val="59"/>
        </w:numPr>
        <w:kinsoku/>
        <w:wordWrap/>
        <w:overflowPunct/>
        <w:topLinePunct w:val="0"/>
        <w:autoSpaceDE/>
        <w:autoSpaceDN/>
        <w:bidi w:val="0"/>
        <w:adjustRightInd/>
        <w:snapToGrid/>
        <w:spacing w:beforeAutospacing="0" w:after="0" w:afterAutospacing="0" w:line="500" w:lineRule="exact"/>
        <w:ind w:firstLine="522"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律师认为需要进行公证、鉴证的文件，应当及时告知委托人进行办理。</w:t>
      </w:r>
    </w:p>
    <w:p>
      <w:pPr>
        <w:pStyle w:val="14"/>
        <w:keepNext w:val="0"/>
        <w:keepLines w:val="0"/>
        <w:pageBreakBefore w:val="0"/>
        <w:widowControl w:val="0"/>
        <w:numPr>
          <w:ilvl w:val="0"/>
          <w:numId w:val="59"/>
        </w:numPr>
        <w:kinsoku/>
        <w:wordWrap/>
        <w:overflowPunct/>
        <w:topLinePunct w:val="0"/>
        <w:autoSpaceDE/>
        <w:autoSpaceDN/>
        <w:bidi w:val="0"/>
        <w:adjustRightInd/>
        <w:snapToGrid/>
        <w:spacing w:beforeAutospacing="0" w:after="0" w:afterAutospacing="0" w:line="500" w:lineRule="exact"/>
        <w:ind w:firstLine="522"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律师不能及时进行尽职调查、收集文件的，应当向委托人说明原因，涉及向非诉讼法律业务的相关监管部门出具法律意见书的，应当在法律意见书中作出相应说明。</w:t>
      </w:r>
    </w:p>
    <w:p>
      <w:pPr>
        <w:pStyle w:val="14"/>
        <w:keepNext w:val="0"/>
        <w:keepLines w:val="0"/>
        <w:pageBreakBefore w:val="0"/>
        <w:widowControl w:val="0"/>
        <w:numPr>
          <w:ilvl w:val="0"/>
          <w:numId w:val="59"/>
        </w:numPr>
        <w:kinsoku/>
        <w:wordWrap/>
        <w:overflowPunct/>
        <w:topLinePunct w:val="0"/>
        <w:autoSpaceDE/>
        <w:autoSpaceDN/>
        <w:bidi w:val="0"/>
        <w:adjustRightInd/>
        <w:snapToGrid/>
        <w:spacing w:beforeAutospacing="0" w:after="0" w:afterAutospacing="0" w:line="500" w:lineRule="exact"/>
        <w:ind w:firstLine="522"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承办律师事务所应当留存尽职调查的工作底稿和至少一份尽职调查报告最终稿,保存期限应符合业务领域所属监管部门要求。</w:t>
      </w:r>
    </w:p>
    <w:p>
      <w:pPr>
        <w:pStyle w:val="14"/>
        <w:keepNext w:val="0"/>
        <w:keepLines w:val="0"/>
        <w:pageBreakBefore w:val="0"/>
        <w:widowControl w:val="0"/>
        <w:kinsoku/>
        <w:wordWrap/>
        <w:overflowPunct/>
        <w:topLinePunct w:val="0"/>
        <w:autoSpaceDE/>
        <w:autoSpaceDN/>
        <w:bidi w:val="0"/>
        <w:adjustRightInd/>
        <w:snapToGrid/>
        <w:spacing w:beforeAutospacing="0" w:after="0" w:afterAutospacing="0" w:line="500" w:lineRule="exact"/>
        <w:ind w:firstLine="52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shd w:val="clear" w:color="auto" w:fill="FFFFFF"/>
        </w:rPr>
        <w:t>第七条</w:t>
      </w:r>
      <w:r>
        <w:rPr>
          <w:rFonts w:hint="eastAsia" w:ascii="仿宋_GB2312" w:hAnsi="仿宋" w:eastAsia="仿宋_GB2312" w:cs="仿宋"/>
          <w:color w:val="000000"/>
          <w:sz w:val="28"/>
          <w:szCs w:val="28"/>
          <w:shd w:val="clear" w:color="auto" w:fill="FFFFFF"/>
        </w:rPr>
        <w:t xml:space="preserve">  基本内容</w:t>
      </w:r>
    </w:p>
    <w:p>
      <w:pPr>
        <w:pStyle w:val="14"/>
        <w:keepNext w:val="0"/>
        <w:keepLines w:val="0"/>
        <w:pageBreakBefore w:val="0"/>
        <w:widowControl w:val="0"/>
        <w:kinsoku/>
        <w:wordWrap/>
        <w:overflowPunct/>
        <w:topLinePunct w:val="0"/>
        <w:autoSpaceDE/>
        <w:autoSpaceDN/>
        <w:bidi w:val="0"/>
        <w:adjustRightInd/>
        <w:snapToGrid/>
        <w:spacing w:beforeAutospacing="0" w:after="0" w:afterAutospacing="0" w:line="500" w:lineRule="exact"/>
        <w:ind w:firstLine="52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rPr>
        <w:t>一般性法律尽职调查工作应包括但不限于:</w:t>
      </w:r>
    </w:p>
    <w:p>
      <w:pPr>
        <w:pStyle w:val="14"/>
        <w:keepNext w:val="0"/>
        <w:keepLines w:val="0"/>
        <w:pageBreakBefore w:val="0"/>
        <w:widowControl w:val="0"/>
        <w:numPr>
          <w:ilvl w:val="0"/>
          <w:numId w:val="60"/>
        </w:numPr>
        <w:kinsoku/>
        <w:wordWrap/>
        <w:overflowPunct/>
        <w:topLinePunct w:val="0"/>
        <w:autoSpaceDE/>
        <w:autoSpaceDN/>
        <w:bidi w:val="0"/>
        <w:adjustRightInd/>
        <w:snapToGrid/>
        <w:spacing w:beforeAutospacing="0" w:after="0" w:afterAutospacing="0" w:line="500" w:lineRule="exact"/>
        <w:ind w:firstLine="522"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目标企业基本情况:着重于对目标企业的主体资格、设立与历史沿革、公司的独立性、股权(投资)结构与控股股东及实际控制人、公司(企业)治理、对外投资、董事、监事及高级管理人员简历等方面进行尽职调查。</w:t>
      </w:r>
    </w:p>
    <w:p>
      <w:pPr>
        <w:pStyle w:val="14"/>
        <w:keepNext w:val="0"/>
        <w:keepLines w:val="0"/>
        <w:pageBreakBefore w:val="0"/>
        <w:widowControl w:val="0"/>
        <w:numPr>
          <w:ilvl w:val="0"/>
          <w:numId w:val="60"/>
        </w:numPr>
        <w:kinsoku/>
        <w:wordWrap/>
        <w:overflowPunct/>
        <w:topLinePunct w:val="0"/>
        <w:autoSpaceDE/>
        <w:autoSpaceDN/>
        <w:bidi w:val="0"/>
        <w:adjustRightInd/>
        <w:snapToGrid/>
        <w:spacing w:beforeAutospacing="0" w:after="0" w:afterAutospacing="0" w:line="500" w:lineRule="exact"/>
        <w:ind w:firstLine="522"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目标企业业务情况:目标企业的业务及客户范围，主营业务、在建项目情况。</w:t>
      </w:r>
    </w:p>
    <w:p>
      <w:pPr>
        <w:pStyle w:val="14"/>
        <w:keepNext w:val="0"/>
        <w:keepLines w:val="0"/>
        <w:pageBreakBefore w:val="0"/>
        <w:widowControl w:val="0"/>
        <w:numPr>
          <w:ilvl w:val="0"/>
          <w:numId w:val="60"/>
        </w:numPr>
        <w:kinsoku/>
        <w:wordWrap/>
        <w:overflowPunct/>
        <w:topLinePunct w:val="0"/>
        <w:autoSpaceDE/>
        <w:autoSpaceDN/>
        <w:bidi w:val="0"/>
        <w:adjustRightInd/>
        <w:snapToGrid/>
        <w:spacing w:beforeAutospacing="0" w:after="0" w:afterAutospacing="0" w:line="500" w:lineRule="exact"/>
        <w:ind w:firstLine="522"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本次交易行为的合法性:是否已经履行了特定的程序，如主管机关的审批、公司决策机构的批准等，进行本次交易行为是否有法律上的限制。</w:t>
      </w:r>
    </w:p>
    <w:p>
      <w:pPr>
        <w:pStyle w:val="14"/>
        <w:keepNext w:val="0"/>
        <w:keepLines w:val="0"/>
        <w:pageBreakBefore w:val="0"/>
        <w:widowControl w:val="0"/>
        <w:numPr>
          <w:ilvl w:val="0"/>
          <w:numId w:val="60"/>
        </w:numPr>
        <w:kinsoku/>
        <w:wordWrap/>
        <w:overflowPunct/>
        <w:topLinePunct w:val="0"/>
        <w:autoSpaceDE/>
        <w:autoSpaceDN/>
        <w:bidi w:val="0"/>
        <w:adjustRightInd/>
        <w:snapToGrid/>
        <w:spacing w:beforeAutospacing="0" w:after="0" w:afterAutospacing="0" w:line="500" w:lineRule="exact"/>
        <w:ind w:firstLine="52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rPr>
        <w:t>目标企业资产概况:重大资产权属是否清晰，是否存在权利瑕疵或法律障碍，相关协议与安排是否合法合规。</w:t>
      </w:r>
    </w:p>
    <w:p>
      <w:pPr>
        <w:pStyle w:val="14"/>
        <w:keepNext w:val="0"/>
        <w:keepLines w:val="0"/>
        <w:pageBreakBefore w:val="0"/>
        <w:widowControl w:val="0"/>
        <w:numPr>
          <w:ilvl w:val="0"/>
          <w:numId w:val="60"/>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rPr>
        <w:t>目标企业债权、债务概况和对外担保情况:目标企业债权的实现有无法律上的障碍以及实现的难易程度，债务承担的风险以及承担的大小，目标企业是否存在保证、抵押、质押等权利负担。</w:t>
      </w:r>
    </w:p>
    <w:p>
      <w:pPr>
        <w:pStyle w:val="14"/>
        <w:keepNext w:val="0"/>
        <w:keepLines w:val="0"/>
        <w:pageBreakBefore w:val="0"/>
        <w:widowControl w:val="0"/>
        <w:numPr>
          <w:ilvl w:val="0"/>
          <w:numId w:val="60"/>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rPr>
        <w:t>目标企业重大合同:通常包括长期购买或供应合同、技术许可合同、大额贷款合同、公司担保合同、代理合同、特许使用合同、关联交易合同等。</w:t>
      </w:r>
    </w:p>
    <w:p>
      <w:pPr>
        <w:pStyle w:val="14"/>
        <w:keepNext w:val="0"/>
        <w:keepLines w:val="0"/>
        <w:pageBreakBefore w:val="0"/>
        <w:widowControl w:val="0"/>
        <w:numPr>
          <w:ilvl w:val="0"/>
          <w:numId w:val="60"/>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rPr>
        <w:t>目标企业劳动关系及人力资源:目标企业各类劳动合同模板、保密协议、竞业禁止协议、高级管理人员任职情况、社会保险和公积金缴纳以及相关劳动争议的处理等。</w:t>
      </w:r>
    </w:p>
    <w:p>
      <w:pPr>
        <w:pStyle w:val="14"/>
        <w:keepNext w:val="0"/>
        <w:keepLines w:val="0"/>
        <w:pageBreakBefore w:val="0"/>
        <w:widowControl w:val="0"/>
        <w:numPr>
          <w:ilvl w:val="0"/>
          <w:numId w:val="60"/>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目标企业知识产权：目标企业知识产权的权利状况，是否存在侵权诉讼等。</w:t>
      </w:r>
    </w:p>
    <w:p>
      <w:pPr>
        <w:pStyle w:val="14"/>
        <w:keepNext w:val="0"/>
        <w:keepLines w:val="0"/>
        <w:pageBreakBefore w:val="0"/>
        <w:widowControl w:val="0"/>
        <w:numPr>
          <w:ilvl w:val="0"/>
          <w:numId w:val="60"/>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rPr>
        <w:t>环境保护问题:目标企业是否取得建设项目环境影响评价报告及其他许可证件，是否存在环境保护方面违法违规情形。</w:t>
      </w:r>
    </w:p>
    <w:p>
      <w:pPr>
        <w:pStyle w:val="14"/>
        <w:keepNext w:val="0"/>
        <w:keepLines w:val="0"/>
        <w:pageBreakBefore w:val="0"/>
        <w:widowControl w:val="0"/>
        <w:numPr>
          <w:ilvl w:val="0"/>
          <w:numId w:val="60"/>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rPr>
        <w:t>财务概况：目标企业是否具有健全的财务制度，财务制度是否能够得到执行和贯彻是否根据企业财务要求制备账簿，银行账户的开立是否合规等。</w:t>
      </w:r>
    </w:p>
    <w:p>
      <w:pPr>
        <w:pStyle w:val="14"/>
        <w:keepNext w:val="0"/>
        <w:keepLines w:val="0"/>
        <w:pageBreakBefore w:val="0"/>
        <w:widowControl w:val="0"/>
        <w:numPr>
          <w:ilvl w:val="0"/>
          <w:numId w:val="60"/>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rPr>
        <w:t>税务概况:目标企业税务登记、税赋缴纳情况及是否存在相关行政处罚等情形。</w:t>
      </w:r>
    </w:p>
    <w:p>
      <w:pPr>
        <w:pStyle w:val="14"/>
        <w:keepNext w:val="0"/>
        <w:keepLines w:val="0"/>
        <w:pageBreakBefore w:val="0"/>
        <w:widowControl w:val="0"/>
        <w:numPr>
          <w:ilvl w:val="0"/>
          <w:numId w:val="60"/>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诉讼与仲裁等情形:目标企业是否在境内外有未决的任何重大诉讼、仲裁以及尚在进行中的司法程序、可能面临行政机关的行政处罚等情形。</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除上述常规尽职调查中通常包括的内容之外，不同交易活动具有不同的特点，律师需要根据交易活动的特点调整和把握调查重点。</w:t>
      </w:r>
    </w:p>
    <w:p>
      <w:pPr>
        <w:pStyle w:val="14"/>
        <w:keepNext w:val="0"/>
        <w:keepLines w:val="0"/>
        <w:pageBreakBefore w:val="0"/>
        <w:widowControl w:val="0"/>
        <w:wordWrap/>
        <w:bidi w:val="0"/>
        <w:spacing w:beforeAutospacing="0" w:after="0" w:afterAutospacing="0" w:line="500" w:lineRule="exact"/>
        <w:ind w:firstLine="522" w:firstLineChars="200"/>
        <w:jc w:val="center"/>
        <w:rPr>
          <w:rFonts w:hint="eastAsia" w:ascii="黑体" w:hAnsi="黑体" w:eastAsia="黑体" w:cs="黑体"/>
          <w:color w:val="000000"/>
          <w:sz w:val="28"/>
          <w:szCs w:val="28"/>
          <w:shd w:val="clear" w:color="auto" w:fill="FFFFFF"/>
        </w:rPr>
      </w:pPr>
      <w:r>
        <w:rPr>
          <w:rFonts w:hint="eastAsia" w:ascii="黑体" w:hAnsi="黑体" w:eastAsia="黑体" w:cs="黑体"/>
          <w:color w:val="000000"/>
          <w:sz w:val="28"/>
          <w:szCs w:val="28"/>
          <w:shd w:val="clear" w:color="auto" w:fill="FFFFFF"/>
        </w:rPr>
        <w:t>第三章  法律尽职调查业务的基本流程</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shd w:val="clear" w:color="auto" w:fill="FFFFFF"/>
        </w:rPr>
        <w:t>第八条</w:t>
      </w:r>
      <w:r>
        <w:rPr>
          <w:rFonts w:hint="eastAsia" w:ascii="仿宋_GB2312" w:hAnsi="仿宋" w:eastAsia="仿宋_GB2312" w:cs="仿宋"/>
          <w:color w:val="000000"/>
          <w:sz w:val="28"/>
          <w:szCs w:val="28"/>
          <w:shd w:val="clear" w:color="auto" w:fill="FFFFFF"/>
        </w:rPr>
        <w:t xml:space="preserve">  需准备的相关事项 </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rPr>
        <w:t>在接受委托时，承办律师团队应先确认尽职调查的原因、拟进行的交易模式、交易基准日、目标企业的范围、尽职调查的具体事项、过程、工作方法和工作期限、服务成本等事项与委托人达成共识。</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shd w:val="clear" w:color="auto" w:fill="FFFFFF"/>
        </w:rPr>
        <w:t xml:space="preserve">第九条 </w:t>
      </w:r>
      <w:r>
        <w:rPr>
          <w:rFonts w:hint="eastAsia" w:ascii="仿宋_GB2312" w:hAnsi="仿宋" w:eastAsia="仿宋_GB2312" w:cs="仿宋"/>
          <w:color w:val="000000"/>
          <w:sz w:val="28"/>
          <w:szCs w:val="28"/>
          <w:shd w:val="clear" w:color="auto" w:fill="FFFFFF"/>
        </w:rPr>
        <w:t xml:space="preserve"> 制作法律依据文件夹 </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rPr>
        <w:t>承办律师团队应当根据法律尽职调查所涉及的领域、目标企业的内、外资性质、经营范围以及本次商业交易等特性进行专项法律调研，并制作法律、法规依据的文件夹。</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shd w:val="clear" w:color="auto" w:fill="FFFFFF"/>
        </w:rPr>
        <w:t>第十条</w:t>
      </w:r>
      <w:r>
        <w:rPr>
          <w:rFonts w:hint="eastAsia" w:ascii="仿宋_GB2312" w:hAnsi="仿宋" w:eastAsia="仿宋_GB2312" w:cs="仿宋"/>
          <w:color w:val="000000"/>
          <w:sz w:val="28"/>
          <w:szCs w:val="28"/>
          <w:shd w:val="clear" w:color="auto" w:fill="FFFFFF"/>
        </w:rPr>
        <w:t xml:space="preserve">  制作尽职调查清单 </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rPr>
        <w:t>承办律师应当根据尽职调查工作范围，并结合目标企业和被调查项目的实际情况，制作尽职调查清单。尽职调查清单的制作过程中，需要注意以下事项:</w:t>
      </w:r>
    </w:p>
    <w:p>
      <w:pPr>
        <w:pStyle w:val="14"/>
        <w:keepNext w:val="0"/>
        <w:keepLines w:val="0"/>
        <w:pageBreakBefore w:val="0"/>
        <w:widowControl w:val="0"/>
        <w:numPr>
          <w:ilvl w:val="0"/>
          <w:numId w:val="61"/>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尽职调查清单是法律尽职调查最经常使用的工具，项目投资、收购兼并、公司股票发行和上市使用的清单可能有所区别。尽管存在调查内容的共性，但是不同业务领域的法律尽职调查清单，仍然要围绕尽职调查的重点目标起草。</w:t>
      </w:r>
    </w:p>
    <w:p>
      <w:pPr>
        <w:pStyle w:val="14"/>
        <w:keepNext w:val="0"/>
        <w:keepLines w:val="0"/>
        <w:pageBreakBefore w:val="0"/>
        <w:widowControl w:val="0"/>
        <w:numPr>
          <w:ilvl w:val="0"/>
          <w:numId w:val="61"/>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 xml:space="preserve"> 在尽职调查开始之前，承办律师应当按照业务的具体情况编制尽职调查初步文件清单。</w:t>
      </w:r>
    </w:p>
    <w:p>
      <w:pPr>
        <w:pStyle w:val="14"/>
        <w:keepNext w:val="0"/>
        <w:keepLines w:val="0"/>
        <w:pageBreakBefore w:val="0"/>
        <w:widowControl w:val="0"/>
        <w:numPr>
          <w:ilvl w:val="0"/>
          <w:numId w:val="61"/>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 xml:space="preserve"> 在向委托人提供尽职初步调查文件清单时，承办律师应当明确告知委托人，在律师审查了按照该初步文件清单提供的文件后，律师还将根据文件收集过程中的具体情况发出进一步文件清单。</w:t>
      </w:r>
    </w:p>
    <w:p>
      <w:pPr>
        <w:pStyle w:val="14"/>
        <w:keepNext w:val="0"/>
        <w:keepLines w:val="0"/>
        <w:pageBreakBefore w:val="0"/>
        <w:widowControl w:val="0"/>
        <w:numPr>
          <w:ilvl w:val="0"/>
          <w:numId w:val="61"/>
        </w:numPr>
        <w:kinsoku/>
        <w:wordWrap/>
        <w:overflowPunct/>
        <w:topLinePunct w:val="0"/>
        <w:autoSpaceDE/>
        <w:autoSpaceDN/>
        <w:bidi w:val="0"/>
        <w:adjustRightInd/>
        <w:snapToGrid/>
        <w:spacing w:beforeAutospacing="0" w:after="0" w:afterAutospacing="0" w:line="500" w:lineRule="exact"/>
        <w:ind w:firstLine="522"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承办律师审查了按照初步文件清单提供的证据后，应该按照相关法律、法规的规定和承办律师的判断，制作审慎调查进一步文件清单，要求委托人提供进一步的文件，直到符合法律规定的和承办律师认为必要的要求。</w:t>
      </w:r>
    </w:p>
    <w:p>
      <w:pPr>
        <w:pStyle w:val="14"/>
        <w:keepNext w:val="0"/>
        <w:keepLines w:val="0"/>
        <w:pageBreakBefore w:val="0"/>
        <w:widowControl w:val="0"/>
        <w:kinsoku/>
        <w:wordWrap/>
        <w:overflowPunct/>
        <w:topLinePunct w:val="0"/>
        <w:autoSpaceDE/>
        <w:autoSpaceDN/>
        <w:bidi w:val="0"/>
        <w:adjustRightInd/>
        <w:snapToGrid/>
        <w:spacing w:beforeAutospacing="0" w:after="0" w:afterAutospacing="0" w:line="500" w:lineRule="exact"/>
        <w:ind w:firstLine="52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shd w:val="clear" w:color="auto" w:fill="FFFFFF"/>
        </w:rPr>
        <w:t>第十一条</w:t>
      </w:r>
      <w:r>
        <w:rPr>
          <w:rFonts w:hint="eastAsia" w:ascii="仿宋_GB2312" w:hAnsi="仿宋" w:eastAsia="仿宋_GB2312" w:cs="仿宋"/>
          <w:color w:val="000000"/>
          <w:sz w:val="28"/>
          <w:szCs w:val="28"/>
          <w:shd w:val="clear" w:color="auto" w:fill="FFFFFF"/>
        </w:rPr>
        <w:t xml:space="preserve">  文档的整理 </w:t>
      </w:r>
    </w:p>
    <w:p>
      <w:pPr>
        <w:pStyle w:val="14"/>
        <w:keepNext w:val="0"/>
        <w:keepLines w:val="0"/>
        <w:pageBreakBefore w:val="0"/>
        <w:widowControl w:val="0"/>
        <w:numPr>
          <w:ilvl w:val="0"/>
          <w:numId w:val="62"/>
        </w:numPr>
        <w:kinsoku/>
        <w:wordWrap/>
        <w:overflowPunct/>
        <w:topLinePunct w:val="0"/>
        <w:autoSpaceDE/>
        <w:autoSpaceDN/>
        <w:bidi w:val="0"/>
        <w:adjustRightInd/>
        <w:snapToGrid/>
        <w:spacing w:beforeAutospacing="0" w:after="0" w:afterAutospacing="0" w:line="500" w:lineRule="exact"/>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律师应当将委托人提供和律师调查、收集的文件进行归类整理。</w:t>
      </w:r>
    </w:p>
    <w:p>
      <w:pPr>
        <w:pStyle w:val="14"/>
        <w:keepNext w:val="0"/>
        <w:keepLines w:val="0"/>
        <w:pageBreakBefore w:val="0"/>
        <w:widowControl w:val="0"/>
        <w:numPr>
          <w:ilvl w:val="0"/>
          <w:numId w:val="62"/>
        </w:numPr>
        <w:kinsoku/>
        <w:wordWrap/>
        <w:overflowPunct/>
        <w:topLinePunct w:val="0"/>
        <w:autoSpaceDE/>
        <w:autoSpaceDN/>
        <w:bidi w:val="0"/>
        <w:adjustRightInd/>
        <w:snapToGrid/>
        <w:spacing w:beforeAutospacing="0" w:after="0" w:afterAutospacing="0" w:line="500" w:lineRule="exact"/>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对委托人提供的文件，律师可能留存复印件，原件交由委托人自己保管，律师保存原件的应当妥为保管。</w:t>
      </w:r>
    </w:p>
    <w:p>
      <w:pPr>
        <w:pStyle w:val="14"/>
        <w:keepNext w:val="0"/>
        <w:keepLines w:val="0"/>
        <w:pageBreakBefore w:val="0"/>
        <w:widowControl w:val="0"/>
        <w:numPr>
          <w:ilvl w:val="0"/>
          <w:numId w:val="62"/>
        </w:numPr>
        <w:kinsoku/>
        <w:wordWrap/>
        <w:overflowPunct/>
        <w:topLinePunct w:val="0"/>
        <w:autoSpaceDE/>
        <w:autoSpaceDN/>
        <w:bidi w:val="0"/>
        <w:adjustRightInd/>
        <w:snapToGrid/>
        <w:spacing w:beforeAutospacing="0" w:after="0" w:afterAutospacing="0" w:line="500" w:lineRule="exact"/>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律师就收集的文件向委托人或非诉讼法律业务的监管部门提交法律意见，应当编制文件目录作为法律意见的附录备查。</w:t>
      </w:r>
    </w:p>
    <w:p>
      <w:pPr>
        <w:pStyle w:val="14"/>
        <w:keepNext w:val="0"/>
        <w:keepLines w:val="0"/>
        <w:pageBreakBefore w:val="0"/>
        <w:widowControl w:val="0"/>
        <w:numPr>
          <w:ilvl w:val="0"/>
          <w:numId w:val="62"/>
        </w:numPr>
        <w:kinsoku/>
        <w:wordWrap/>
        <w:overflowPunct/>
        <w:topLinePunct w:val="0"/>
        <w:autoSpaceDE/>
        <w:autoSpaceDN/>
        <w:bidi w:val="0"/>
        <w:adjustRightInd/>
        <w:snapToGrid/>
        <w:spacing w:beforeAutospacing="0" w:after="0" w:afterAutospacing="0" w:line="500" w:lineRule="exact"/>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律师向委托人或非诉讼法律业务的监管部门提交的文件，应当按照该非诉讼监管部门的要求一次性提交，需要分批分期提交的，应当向委托人和非诉讼法律业务的监管部门说明原因、分批分期提交的时间表和文件清单，并征得非诉讼法律业务监管部门的同意和委托人的认可。</w:t>
      </w:r>
    </w:p>
    <w:p>
      <w:pPr>
        <w:pStyle w:val="14"/>
        <w:keepNext w:val="0"/>
        <w:keepLines w:val="0"/>
        <w:pageBreakBefore w:val="0"/>
        <w:widowControl w:val="0"/>
        <w:kinsoku/>
        <w:wordWrap/>
        <w:overflowPunct/>
        <w:topLinePunct w:val="0"/>
        <w:autoSpaceDE/>
        <w:autoSpaceDN/>
        <w:bidi w:val="0"/>
        <w:adjustRightInd/>
        <w:snapToGrid/>
        <w:spacing w:beforeAutospacing="0" w:after="0" w:afterAutospacing="0" w:line="500" w:lineRule="exact"/>
        <w:ind w:firstLine="52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shd w:val="clear" w:color="auto" w:fill="FFFFFF"/>
        </w:rPr>
        <w:t>第十二条</w:t>
      </w:r>
      <w:r>
        <w:rPr>
          <w:rFonts w:hint="eastAsia" w:ascii="仿宋_GB2312" w:hAnsi="仿宋" w:eastAsia="仿宋_GB2312" w:cs="仿宋"/>
          <w:color w:val="000000"/>
          <w:sz w:val="28"/>
          <w:szCs w:val="28"/>
          <w:shd w:val="clear" w:color="auto" w:fill="FFFFFF"/>
        </w:rPr>
        <w:t xml:space="preserve">  必要的访谈及记录 </w:t>
      </w:r>
    </w:p>
    <w:p>
      <w:pPr>
        <w:pStyle w:val="14"/>
        <w:keepNext w:val="0"/>
        <w:keepLines w:val="0"/>
        <w:pageBreakBefore w:val="0"/>
        <w:widowControl w:val="0"/>
        <w:kinsoku/>
        <w:wordWrap/>
        <w:overflowPunct/>
        <w:topLinePunct w:val="0"/>
        <w:autoSpaceDE/>
        <w:autoSpaceDN/>
        <w:bidi w:val="0"/>
        <w:adjustRightInd/>
        <w:snapToGrid/>
        <w:spacing w:beforeAutospacing="0" w:after="0" w:afterAutospacing="0" w:line="500" w:lineRule="exact"/>
        <w:ind w:firstLine="52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rPr>
        <w:t>在法律尽职调查中，通常在以下情况下进行访谈:</w:t>
      </w:r>
    </w:p>
    <w:p>
      <w:pPr>
        <w:pStyle w:val="14"/>
        <w:keepNext w:val="0"/>
        <w:keepLines w:val="0"/>
        <w:pageBreakBefore w:val="0"/>
        <w:widowControl w:val="0"/>
        <w:numPr>
          <w:ilvl w:val="0"/>
          <w:numId w:val="63"/>
        </w:numPr>
        <w:kinsoku/>
        <w:wordWrap/>
        <w:overflowPunct/>
        <w:topLinePunct w:val="0"/>
        <w:autoSpaceDE/>
        <w:autoSpaceDN/>
        <w:bidi w:val="0"/>
        <w:adjustRightInd/>
        <w:snapToGrid/>
        <w:spacing w:beforeAutospacing="0" w:after="0" w:afterAutospacing="0" w:line="500" w:lineRule="exact"/>
        <w:ind w:firstLine="522"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通过访谈向委托人了解与非诉讼法律业务相关的事实。</w:t>
      </w:r>
    </w:p>
    <w:p>
      <w:pPr>
        <w:pStyle w:val="14"/>
        <w:keepNext w:val="0"/>
        <w:keepLines w:val="0"/>
        <w:pageBreakBefore w:val="0"/>
        <w:widowControl w:val="0"/>
        <w:numPr>
          <w:ilvl w:val="0"/>
          <w:numId w:val="63"/>
        </w:numPr>
        <w:kinsoku/>
        <w:wordWrap/>
        <w:overflowPunct/>
        <w:topLinePunct w:val="0"/>
        <w:autoSpaceDE/>
        <w:autoSpaceDN/>
        <w:bidi w:val="0"/>
        <w:adjustRightInd/>
        <w:snapToGrid/>
        <w:spacing w:beforeAutospacing="0" w:after="0" w:afterAutospacing="0" w:line="500" w:lineRule="exact"/>
        <w:ind w:firstLine="522"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通过访谈讨论确定业务过程中的未定事宜。</w:t>
      </w:r>
    </w:p>
    <w:p>
      <w:pPr>
        <w:pStyle w:val="14"/>
        <w:keepNext w:val="0"/>
        <w:keepLines w:val="0"/>
        <w:pageBreakBefore w:val="0"/>
        <w:widowControl w:val="0"/>
        <w:numPr>
          <w:ilvl w:val="0"/>
          <w:numId w:val="63"/>
        </w:numPr>
        <w:kinsoku/>
        <w:wordWrap/>
        <w:overflowPunct/>
        <w:topLinePunct w:val="0"/>
        <w:autoSpaceDE/>
        <w:autoSpaceDN/>
        <w:bidi w:val="0"/>
        <w:adjustRightInd/>
        <w:snapToGrid/>
        <w:spacing w:beforeAutospacing="0" w:after="0" w:afterAutospacing="0" w:line="500" w:lineRule="exact"/>
        <w:ind w:firstLine="522"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通过访谈与其他中介机构讨论和分析委托事项的具体内容。</w:t>
      </w:r>
    </w:p>
    <w:p>
      <w:pPr>
        <w:pStyle w:val="14"/>
        <w:keepNext w:val="0"/>
        <w:keepLines w:val="0"/>
        <w:pageBreakBefore w:val="0"/>
        <w:widowControl w:val="0"/>
        <w:numPr>
          <w:ilvl w:val="0"/>
          <w:numId w:val="63"/>
        </w:numPr>
        <w:kinsoku/>
        <w:wordWrap/>
        <w:overflowPunct/>
        <w:topLinePunct w:val="0"/>
        <w:autoSpaceDE/>
        <w:autoSpaceDN/>
        <w:bidi w:val="0"/>
        <w:adjustRightInd/>
        <w:snapToGrid/>
        <w:spacing w:beforeAutospacing="0" w:after="0" w:afterAutospacing="0" w:line="500" w:lineRule="exact"/>
        <w:ind w:firstLine="522"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承办律师认为应该通过访谈方能确认的相关事项。</w:t>
      </w:r>
    </w:p>
    <w:p>
      <w:pPr>
        <w:pStyle w:val="14"/>
        <w:keepNext w:val="0"/>
        <w:keepLines w:val="0"/>
        <w:pageBreakBefore w:val="0"/>
        <w:widowControl w:val="0"/>
        <w:kinsoku/>
        <w:wordWrap/>
        <w:overflowPunct/>
        <w:topLinePunct w:val="0"/>
        <w:autoSpaceDE/>
        <w:autoSpaceDN/>
        <w:bidi w:val="0"/>
        <w:adjustRightInd/>
        <w:snapToGrid/>
        <w:spacing w:beforeAutospacing="0" w:after="0" w:afterAutospacing="0" w:line="500" w:lineRule="exact"/>
        <w:ind w:firstLine="522"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在调查访谈开始前，承办律师团队应根据实际需要制作访谈提纲。调查访谈一般可采用书面问卷方式，或指派调查人员当面访谈并做出书面问卷记录的方式，但调查人员应当确保访谈对象在问卷上签字确认。</w:t>
      </w:r>
    </w:p>
    <w:p>
      <w:pPr>
        <w:pStyle w:val="14"/>
        <w:keepNext w:val="0"/>
        <w:keepLines w:val="0"/>
        <w:pageBreakBefore w:val="0"/>
        <w:widowControl w:val="0"/>
        <w:kinsoku/>
        <w:wordWrap/>
        <w:overflowPunct/>
        <w:topLinePunct w:val="0"/>
        <w:autoSpaceDE/>
        <w:autoSpaceDN/>
        <w:bidi w:val="0"/>
        <w:adjustRightInd/>
        <w:snapToGrid/>
        <w:spacing w:beforeAutospacing="0" w:after="0" w:afterAutospacing="0" w:line="500" w:lineRule="exact"/>
        <w:ind w:firstLine="52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shd w:val="clear" w:color="auto" w:fill="FFFFFF"/>
        </w:rPr>
        <w:t>第十三条</w:t>
      </w:r>
      <w:r>
        <w:rPr>
          <w:rFonts w:hint="eastAsia" w:ascii="仿宋_GB2312" w:hAnsi="仿宋" w:eastAsia="仿宋_GB2312" w:cs="仿宋"/>
          <w:color w:val="000000"/>
          <w:sz w:val="28"/>
          <w:szCs w:val="28"/>
          <w:shd w:val="clear" w:color="auto" w:fill="FFFFFF"/>
        </w:rPr>
        <w:t xml:space="preserve">  独立调查 </w:t>
      </w:r>
    </w:p>
    <w:p>
      <w:pPr>
        <w:pStyle w:val="14"/>
        <w:keepNext w:val="0"/>
        <w:keepLines w:val="0"/>
        <w:pageBreakBefore w:val="0"/>
        <w:widowControl w:val="0"/>
        <w:kinsoku/>
        <w:wordWrap/>
        <w:overflowPunct/>
        <w:topLinePunct w:val="0"/>
        <w:autoSpaceDE/>
        <w:autoSpaceDN/>
        <w:bidi w:val="0"/>
        <w:adjustRightInd/>
        <w:snapToGrid/>
        <w:spacing w:beforeAutospacing="0" w:after="0" w:afterAutospacing="0" w:line="500" w:lineRule="exact"/>
        <w:ind w:firstLine="52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rPr>
        <w:t>律师独立调查是一种重要的尽职调查手段，通常情况下是指承办律师通过在目标企业所在地的政府部门或主管机关进行工商、税务、土地、房产等公开查询来核实相关法律事实或文件的行为。承办律师进行独立性调查，应当要求其走访和调查的政府部门或主管机关出具相关被调查资料的复印件，并加盖印章证明与原件核对一致。</w:t>
      </w:r>
    </w:p>
    <w:p>
      <w:pPr>
        <w:pStyle w:val="14"/>
        <w:keepNext w:val="0"/>
        <w:keepLines w:val="0"/>
        <w:pageBreakBefore w:val="0"/>
        <w:widowControl w:val="0"/>
        <w:kinsoku/>
        <w:wordWrap/>
        <w:overflowPunct/>
        <w:topLinePunct w:val="0"/>
        <w:autoSpaceDE/>
        <w:autoSpaceDN/>
        <w:bidi w:val="0"/>
        <w:adjustRightInd/>
        <w:snapToGrid/>
        <w:spacing w:beforeAutospacing="0" w:after="0" w:afterAutospacing="0" w:line="500" w:lineRule="exact"/>
        <w:ind w:firstLine="522"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b/>
          <w:bCs/>
          <w:color w:val="000000"/>
          <w:sz w:val="28"/>
          <w:szCs w:val="28"/>
          <w:shd w:val="clear" w:color="auto" w:fill="FFFFFF"/>
        </w:rPr>
        <w:t>第十四条</w:t>
      </w:r>
      <w:r>
        <w:rPr>
          <w:rFonts w:hint="eastAsia" w:ascii="仿宋_GB2312" w:hAnsi="仿宋" w:eastAsia="仿宋_GB2312" w:cs="仿宋"/>
          <w:color w:val="000000"/>
          <w:sz w:val="28"/>
          <w:szCs w:val="28"/>
          <w:shd w:val="clear" w:color="auto" w:fill="FFFFFF"/>
        </w:rPr>
        <w:t xml:space="preserve">  对文件的审查 </w:t>
      </w:r>
    </w:p>
    <w:p>
      <w:pPr>
        <w:pStyle w:val="14"/>
        <w:keepNext w:val="0"/>
        <w:keepLines w:val="0"/>
        <w:pageBreakBefore w:val="0"/>
        <w:widowControl w:val="0"/>
        <w:kinsoku/>
        <w:wordWrap/>
        <w:overflowPunct/>
        <w:topLinePunct w:val="0"/>
        <w:autoSpaceDE/>
        <w:autoSpaceDN/>
        <w:bidi w:val="0"/>
        <w:adjustRightInd/>
        <w:snapToGrid/>
        <w:spacing w:beforeAutospacing="0" w:after="0" w:afterAutospacing="0" w:line="500" w:lineRule="exact"/>
        <w:ind w:firstLine="522"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 xml:space="preserve">律师对尽职调查中收集的文件应当从以下几个方面进行审查： </w:t>
      </w:r>
    </w:p>
    <w:p>
      <w:pPr>
        <w:pStyle w:val="14"/>
        <w:keepNext w:val="0"/>
        <w:keepLines w:val="0"/>
        <w:pageBreakBefore w:val="0"/>
        <w:widowControl w:val="0"/>
        <w:numPr>
          <w:ilvl w:val="0"/>
          <w:numId w:val="64"/>
        </w:numPr>
        <w:kinsoku/>
        <w:wordWrap/>
        <w:overflowPunct/>
        <w:topLinePunct w:val="0"/>
        <w:autoSpaceDE/>
        <w:autoSpaceDN/>
        <w:bidi w:val="0"/>
        <w:adjustRightInd/>
        <w:snapToGrid/>
        <w:spacing w:beforeAutospacing="0" w:after="0" w:afterAutospacing="0" w:line="500" w:lineRule="exact"/>
        <w:ind w:firstLine="522"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文件的出处或来源；</w:t>
      </w:r>
    </w:p>
    <w:p>
      <w:pPr>
        <w:pStyle w:val="14"/>
        <w:keepNext w:val="0"/>
        <w:keepLines w:val="0"/>
        <w:pageBreakBefore w:val="0"/>
        <w:widowControl w:val="0"/>
        <w:numPr>
          <w:ilvl w:val="0"/>
          <w:numId w:val="64"/>
        </w:numPr>
        <w:kinsoku/>
        <w:wordWrap/>
        <w:overflowPunct/>
        <w:topLinePunct w:val="0"/>
        <w:autoSpaceDE/>
        <w:autoSpaceDN/>
        <w:bidi w:val="0"/>
        <w:adjustRightInd/>
        <w:snapToGrid/>
        <w:spacing w:beforeAutospacing="0" w:after="0" w:afterAutospacing="0" w:line="500" w:lineRule="exact"/>
        <w:ind w:firstLine="522"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文件颁发的时间；</w:t>
      </w:r>
    </w:p>
    <w:p>
      <w:pPr>
        <w:pStyle w:val="14"/>
        <w:keepNext w:val="0"/>
        <w:keepLines w:val="0"/>
        <w:pageBreakBefore w:val="0"/>
        <w:widowControl w:val="0"/>
        <w:numPr>
          <w:ilvl w:val="0"/>
          <w:numId w:val="64"/>
        </w:numPr>
        <w:kinsoku/>
        <w:wordWrap/>
        <w:overflowPunct/>
        <w:topLinePunct w:val="0"/>
        <w:autoSpaceDE/>
        <w:autoSpaceDN/>
        <w:bidi w:val="0"/>
        <w:adjustRightInd/>
        <w:snapToGrid/>
        <w:spacing w:beforeAutospacing="0" w:after="0" w:afterAutospacing="0" w:line="500" w:lineRule="exact"/>
        <w:ind w:firstLine="522"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文件的内容和形式；</w:t>
      </w:r>
    </w:p>
    <w:p>
      <w:pPr>
        <w:pStyle w:val="14"/>
        <w:keepNext w:val="0"/>
        <w:keepLines w:val="0"/>
        <w:pageBreakBefore w:val="0"/>
        <w:widowControl w:val="0"/>
        <w:numPr>
          <w:ilvl w:val="0"/>
          <w:numId w:val="64"/>
        </w:numPr>
        <w:kinsoku/>
        <w:wordWrap/>
        <w:overflowPunct/>
        <w:topLinePunct w:val="0"/>
        <w:autoSpaceDE/>
        <w:autoSpaceDN/>
        <w:bidi w:val="0"/>
        <w:adjustRightInd/>
        <w:snapToGrid/>
        <w:spacing w:beforeAutospacing="0" w:after="0" w:afterAutospacing="0" w:line="500" w:lineRule="exact"/>
        <w:ind w:firstLine="522"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文件要证明的事实及其与该非诉讼法律业务的关联性；</w:t>
      </w:r>
    </w:p>
    <w:p>
      <w:pPr>
        <w:pStyle w:val="14"/>
        <w:keepNext w:val="0"/>
        <w:keepLines w:val="0"/>
        <w:pageBreakBefore w:val="0"/>
        <w:widowControl w:val="0"/>
        <w:numPr>
          <w:ilvl w:val="0"/>
          <w:numId w:val="64"/>
        </w:numPr>
        <w:kinsoku/>
        <w:wordWrap/>
        <w:overflowPunct/>
        <w:topLinePunct w:val="0"/>
        <w:autoSpaceDE/>
        <w:autoSpaceDN/>
        <w:bidi w:val="0"/>
        <w:adjustRightInd/>
        <w:snapToGrid/>
        <w:spacing w:beforeAutospacing="0" w:after="0" w:afterAutospacing="0" w:line="500" w:lineRule="exact"/>
        <w:ind w:firstLine="522"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各文件之间的关系；</w:t>
      </w:r>
    </w:p>
    <w:p>
      <w:pPr>
        <w:pStyle w:val="14"/>
        <w:keepNext w:val="0"/>
        <w:keepLines w:val="0"/>
        <w:pageBreakBefore w:val="0"/>
        <w:widowControl w:val="0"/>
        <w:numPr>
          <w:ilvl w:val="0"/>
          <w:numId w:val="64"/>
        </w:numPr>
        <w:kinsoku/>
        <w:wordWrap/>
        <w:overflowPunct/>
        <w:topLinePunct w:val="0"/>
        <w:autoSpaceDE/>
        <w:autoSpaceDN/>
        <w:bidi w:val="0"/>
        <w:adjustRightInd/>
        <w:snapToGrid/>
        <w:spacing w:beforeAutospacing="0" w:after="0" w:afterAutospacing="0" w:line="500" w:lineRule="exact"/>
        <w:ind w:firstLine="522"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文件的合法性、合规性和时效期间；</w:t>
      </w:r>
    </w:p>
    <w:p>
      <w:pPr>
        <w:pStyle w:val="14"/>
        <w:keepNext w:val="0"/>
        <w:keepLines w:val="0"/>
        <w:pageBreakBefore w:val="0"/>
        <w:widowControl w:val="0"/>
        <w:numPr>
          <w:ilvl w:val="0"/>
          <w:numId w:val="64"/>
        </w:numPr>
        <w:kinsoku/>
        <w:wordWrap/>
        <w:overflowPunct/>
        <w:topLinePunct w:val="0"/>
        <w:autoSpaceDE/>
        <w:autoSpaceDN/>
        <w:bidi w:val="0"/>
        <w:adjustRightInd/>
        <w:snapToGrid/>
        <w:spacing w:beforeAutospacing="0" w:after="0" w:afterAutospacing="0" w:line="500" w:lineRule="exact"/>
        <w:ind w:firstLine="522"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文件的证明力。</w:t>
      </w:r>
    </w:p>
    <w:p>
      <w:pPr>
        <w:pStyle w:val="14"/>
        <w:keepNext w:val="0"/>
        <w:keepLines w:val="0"/>
        <w:pageBreakBefore w:val="0"/>
        <w:widowControl w:val="0"/>
        <w:kinsoku/>
        <w:wordWrap/>
        <w:overflowPunct/>
        <w:topLinePunct w:val="0"/>
        <w:autoSpaceDE/>
        <w:autoSpaceDN/>
        <w:bidi w:val="0"/>
        <w:adjustRightInd/>
        <w:snapToGrid/>
        <w:spacing w:beforeAutospacing="0" w:after="0" w:afterAutospacing="0" w:line="500" w:lineRule="exact"/>
        <w:ind w:firstLine="522" w:firstLineChars="200"/>
        <w:jc w:val="both"/>
        <w:textAlignment w:val="auto"/>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b/>
          <w:bCs/>
          <w:color w:val="000000"/>
          <w:sz w:val="28"/>
          <w:szCs w:val="28"/>
          <w:shd w:val="clear" w:color="auto" w:fill="FFFFFF"/>
        </w:rPr>
        <w:t>第十五条</w:t>
      </w:r>
      <w:r>
        <w:rPr>
          <w:rFonts w:hint="eastAsia" w:ascii="仿宋_GB2312" w:hAnsi="仿宋" w:eastAsia="仿宋_GB2312" w:cs="仿宋"/>
          <w:color w:val="000000"/>
          <w:sz w:val="28"/>
          <w:szCs w:val="28"/>
          <w:shd w:val="clear" w:color="auto" w:fill="FFFFFF"/>
        </w:rPr>
        <w:t xml:space="preserve">  必要的现场勘验 </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律师应根据实际情况判断对非诉讼法律业务涉及的实物资产进行必要实地勘验，这种勘验应与相关权利证书结合起来认定该等有形资产的真实性和合法性，这种勘验仅是出于确认该实物资产是否实际存在，而与确认该实物资产的价值无直接联系，这些实物资产的实际数量、价值、成新度等应当由其他专业机构和人士进行确认。</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shd w:val="clear" w:color="auto" w:fill="FFFFFF"/>
        </w:rPr>
        <w:t>第十六条</w:t>
      </w:r>
      <w:r>
        <w:rPr>
          <w:rFonts w:hint="eastAsia" w:ascii="仿宋_GB2312" w:hAnsi="仿宋" w:eastAsia="仿宋_GB2312" w:cs="仿宋"/>
          <w:color w:val="000000"/>
          <w:sz w:val="28"/>
          <w:szCs w:val="28"/>
          <w:shd w:val="clear" w:color="auto" w:fill="FFFFFF"/>
        </w:rPr>
        <w:t xml:space="preserve">  定期汇报 </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rPr>
        <w:t>在进行尽职调查过程中，承办律师应当定期向委托人汇报尽职调查进展。如出现突发事件或需要其他领域专业人士出具意见的部分等情形，承办律师应当根据自身的执业经验立即提出意见。承办律师应当尽量避免向委托人汇报尽职调查结果中所附带的任何非律师分析或判断。</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shd w:val="clear" w:color="auto" w:fill="FFFFFF"/>
        </w:rPr>
        <w:t>第十七条</w:t>
      </w:r>
      <w:r>
        <w:rPr>
          <w:rFonts w:hint="eastAsia" w:ascii="仿宋_GB2312" w:hAnsi="仿宋" w:eastAsia="仿宋_GB2312" w:cs="仿宋"/>
          <w:color w:val="000000"/>
          <w:sz w:val="28"/>
          <w:szCs w:val="28"/>
          <w:shd w:val="clear" w:color="auto" w:fill="FFFFFF"/>
        </w:rPr>
        <w:t xml:space="preserve">  与第三方中介机构的合作 </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rPr>
        <w:t>保持与券商、会计师事务所、资产评估、造价咨询机构等第三方中介机构的有效合作，就业务、财务、税务等相关问题进行机构间的相互提示与信息补充。</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shd w:val="clear" w:color="auto" w:fill="FFFFFF"/>
        </w:rPr>
        <w:t xml:space="preserve">第十八条 </w:t>
      </w:r>
      <w:r>
        <w:rPr>
          <w:rFonts w:hint="eastAsia" w:ascii="仿宋_GB2312" w:hAnsi="仿宋" w:eastAsia="仿宋_GB2312" w:cs="仿宋"/>
          <w:color w:val="000000"/>
          <w:sz w:val="28"/>
          <w:szCs w:val="28"/>
          <w:shd w:val="clear" w:color="auto" w:fill="FFFFFF"/>
        </w:rPr>
        <w:t xml:space="preserve"> 报告初稿 </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rPr>
        <w:t>报告初稿应交委托人审阅，并在根据委托人提出的意见进行调整后，最终形成尽职调查报告的终稿。</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shd w:val="clear" w:color="auto" w:fill="FFFFFF"/>
        </w:rPr>
        <w:t xml:space="preserve">第十九条 </w:t>
      </w:r>
      <w:r>
        <w:rPr>
          <w:rFonts w:hint="eastAsia" w:ascii="仿宋_GB2312" w:hAnsi="仿宋" w:eastAsia="仿宋_GB2312" w:cs="仿宋"/>
          <w:color w:val="000000"/>
          <w:sz w:val="28"/>
          <w:szCs w:val="28"/>
          <w:shd w:val="clear" w:color="auto" w:fill="FFFFFF"/>
        </w:rPr>
        <w:t xml:space="preserve"> 尽职调查报告的目录 </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rPr>
        <w:t>一般法律尽职调查的《尽职调查报告》采取以下体例和目录:</w:t>
      </w:r>
    </w:p>
    <w:p>
      <w:pPr>
        <w:pStyle w:val="14"/>
        <w:keepNext w:val="0"/>
        <w:keepLines w:val="0"/>
        <w:pageBreakBefore w:val="0"/>
        <w:widowControl w:val="0"/>
        <w:numPr>
          <w:ilvl w:val="0"/>
          <w:numId w:val="65"/>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rPr>
        <w:t>前言（接受委托情况、法律尽职调查的过程、出具《尽职调查报告》的材料和依据、《尽职调查报告》的基准日、承办律所及承办律师责任限制）</w:t>
      </w:r>
    </w:p>
    <w:p>
      <w:pPr>
        <w:pStyle w:val="14"/>
        <w:keepNext w:val="0"/>
        <w:keepLines w:val="0"/>
        <w:pageBreakBefore w:val="0"/>
        <w:widowControl w:val="0"/>
        <w:numPr>
          <w:ilvl w:val="0"/>
          <w:numId w:val="65"/>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rPr>
        <w:t>目标企业的概况</w:t>
      </w:r>
    </w:p>
    <w:p>
      <w:pPr>
        <w:pStyle w:val="14"/>
        <w:keepNext w:val="0"/>
        <w:keepLines w:val="0"/>
        <w:pageBreakBefore w:val="0"/>
        <w:widowControl w:val="0"/>
        <w:numPr>
          <w:ilvl w:val="0"/>
          <w:numId w:val="65"/>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目标企业组织机构</w:t>
      </w:r>
    </w:p>
    <w:p>
      <w:pPr>
        <w:pStyle w:val="14"/>
        <w:keepNext w:val="0"/>
        <w:keepLines w:val="0"/>
        <w:pageBreakBefore w:val="0"/>
        <w:widowControl w:val="0"/>
        <w:numPr>
          <w:ilvl w:val="0"/>
          <w:numId w:val="65"/>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本次交易的合法性</w:t>
      </w:r>
    </w:p>
    <w:p>
      <w:pPr>
        <w:pStyle w:val="14"/>
        <w:keepNext w:val="0"/>
        <w:keepLines w:val="0"/>
        <w:pageBreakBefore w:val="0"/>
        <w:widowControl w:val="0"/>
        <w:numPr>
          <w:ilvl w:val="0"/>
          <w:numId w:val="65"/>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rPr>
        <w:t>目标企业对外投资及主要资产</w:t>
      </w:r>
    </w:p>
    <w:p>
      <w:pPr>
        <w:pStyle w:val="14"/>
        <w:keepNext w:val="0"/>
        <w:keepLines w:val="0"/>
        <w:pageBreakBefore w:val="0"/>
        <w:widowControl w:val="0"/>
        <w:numPr>
          <w:ilvl w:val="0"/>
          <w:numId w:val="65"/>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负债及担保</w:t>
      </w:r>
    </w:p>
    <w:p>
      <w:pPr>
        <w:pStyle w:val="14"/>
        <w:keepNext w:val="0"/>
        <w:keepLines w:val="0"/>
        <w:pageBreakBefore w:val="0"/>
        <w:widowControl w:val="0"/>
        <w:numPr>
          <w:ilvl w:val="0"/>
          <w:numId w:val="65"/>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劳动关系及人力资源</w:t>
      </w:r>
    </w:p>
    <w:p>
      <w:pPr>
        <w:pStyle w:val="14"/>
        <w:keepNext w:val="0"/>
        <w:keepLines w:val="0"/>
        <w:pageBreakBefore w:val="0"/>
        <w:widowControl w:val="0"/>
        <w:numPr>
          <w:ilvl w:val="0"/>
          <w:numId w:val="65"/>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知识产权</w:t>
      </w:r>
    </w:p>
    <w:p>
      <w:pPr>
        <w:pStyle w:val="14"/>
        <w:keepNext w:val="0"/>
        <w:keepLines w:val="0"/>
        <w:pageBreakBefore w:val="0"/>
        <w:widowControl w:val="0"/>
        <w:numPr>
          <w:ilvl w:val="0"/>
          <w:numId w:val="65"/>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环境保护</w:t>
      </w:r>
    </w:p>
    <w:p>
      <w:pPr>
        <w:pStyle w:val="14"/>
        <w:keepNext w:val="0"/>
        <w:keepLines w:val="0"/>
        <w:pageBreakBefore w:val="0"/>
        <w:widowControl w:val="0"/>
        <w:numPr>
          <w:ilvl w:val="0"/>
          <w:numId w:val="65"/>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rPr>
        <w:t>财务</w:t>
      </w:r>
    </w:p>
    <w:p>
      <w:pPr>
        <w:pStyle w:val="14"/>
        <w:keepNext w:val="0"/>
        <w:keepLines w:val="0"/>
        <w:pageBreakBefore w:val="0"/>
        <w:widowControl w:val="0"/>
        <w:numPr>
          <w:ilvl w:val="0"/>
          <w:numId w:val="65"/>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rPr>
        <w:t>税务</w:t>
      </w:r>
    </w:p>
    <w:p>
      <w:pPr>
        <w:pStyle w:val="14"/>
        <w:keepNext w:val="0"/>
        <w:keepLines w:val="0"/>
        <w:pageBreakBefore w:val="0"/>
        <w:widowControl w:val="0"/>
        <w:numPr>
          <w:ilvl w:val="0"/>
          <w:numId w:val="65"/>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诉讼、仲裁及行政处罚</w:t>
      </w:r>
    </w:p>
    <w:p>
      <w:pPr>
        <w:pStyle w:val="14"/>
        <w:keepNext w:val="0"/>
        <w:keepLines w:val="0"/>
        <w:pageBreakBefore w:val="0"/>
        <w:widowControl w:val="0"/>
        <w:numPr>
          <w:ilvl w:val="0"/>
          <w:numId w:val="65"/>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rPr>
        <w:t>总结</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shd w:val="clear" w:color="auto" w:fill="FFFFFF"/>
        </w:rPr>
        <w:t>第二十条</w:t>
      </w:r>
      <w:r>
        <w:rPr>
          <w:rFonts w:hint="eastAsia" w:ascii="仿宋_GB2312" w:hAnsi="仿宋" w:eastAsia="仿宋_GB2312" w:cs="仿宋"/>
          <w:color w:val="000000"/>
          <w:sz w:val="28"/>
          <w:szCs w:val="28"/>
          <w:shd w:val="clear" w:color="auto" w:fill="FFFFFF"/>
        </w:rPr>
        <w:t xml:space="preserve">  问题和建议 </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rPr>
        <w:t>在尽职调查过程中，承办律师应当将发现的问题和法律风险，在尽职调查报告中进行提示。在提示法律风险的同时，承办律师还应提出对应的解决措施。</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shd w:val="clear" w:color="auto" w:fill="FFFFFF"/>
        </w:rPr>
        <w:t>第二十一条</w:t>
      </w:r>
      <w:r>
        <w:rPr>
          <w:rFonts w:hint="eastAsia" w:ascii="仿宋_GB2312" w:hAnsi="仿宋" w:eastAsia="仿宋_GB2312" w:cs="仿宋"/>
          <w:color w:val="000000"/>
          <w:sz w:val="28"/>
          <w:szCs w:val="28"/>
          <w:shd w:val="clear" w:color="auto" w:fill="FFFFFF"/>
        </w:rPr>
        <w:t xml:space="preserve">  需要说明的情形 </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rPr>
        <w:t>对于事实不清楚，材料不充分，不能全面反映目标企业情况、核查和验证范围受到客观条件的限制，无法取得应有证据以及承办律师认为应当予以说明的其他情形的，承办律师应当在尽职调查报告中予以说明，并充分揭示其对相关事项的影响程度及其风险。</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shd w:val="clear" w:color="auto" w:fill="FFFFFF"/>
        </w:rPr>
        <w:t xml:space="preserve">第二十二条  </w:t>
      </w:r>
      <w:r>
        <w:rPr>
          <w:rFonts w:hint="eastAsia" w:ascii="仿宋_GB2312" w:hAnsi="仿宋" w:eastAsia="仿宋_GB2312" w:cs="仿宋"/>
          <w:color w:val="000000"/>
          <w:sz w:val="28"/>
          <w:szCs w:val="28"/>
          <w:shd w:val="clear" w:color="auto" w:fill="FFFFFF"/>
        </w:rPr>
        <w:t xml:space="preserve">报告提交 </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rPr>
        <w:t>最终尽职调查报告应在签字律师签名并加盖律所公章后向委托人提供。提交方式可按照委托人的要求以电子邮件及/或邮递方式送达尽职调查报告正本及附件。</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shd w:val="clear" w:color="auto" w:fill="FFFFFF"/>
        </w:rPr>
        <w:t xml:space="preserve">第二十三条  </w:t>
      </w:r>
      <w:r>
        <w:rPr>
          <w:rFonts w:hint="eastAsia" w:ascii="仿宋_GB2312" w:hAnsi="仿宋" w:eastAsia="仿宋_GB2312" w:cs="仿宋"/>
          <w:color w:val="000000"/>
          <w:sz w:val="28"/>
          <w:szCs w:val="28"/>
          <w:shd w:val="clear" w:color="auto" w:fill="FFFFFF"/>
        </w:rPr>
        <w:t xml:space="preserve">工作底稿 </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制作、保存完整的各种记录是律师事务所及项目承办律师的基本职业操守之一。工作底稿应包括（但不限于）以下内容：</w:t>
      </w:r>
    </w:p>
    <w:p>
      <w:pPr>
        <w:pStyle w:val="14"/>
        <w:keepNext w:val="0"/>
        <w:keepLines w:val="0"/>
        <w:pageBreakBefore w:val="0"/>
        <w:widowControl w:val="0"/>
        <w:numPr>
          <w:ilvl w:val="0"/>
          <w:numId w:val="66"/>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律师承担项目的基本情况，包括委托单位名称、项目名称、制作项目的时间或期间、工作量统计。</w:t>
      </w:r>
    </w:p>
    <w:p>
      <w:pPr>
        <w:pStyle w:val="14"/>
        <w:keepNext w:val="0"/>
        <w:keepLines w:val="0"/>
        <w:pageBreakBefore w:val="0"/>
        <w:widowControl w:val="0"/>
        <w:numPr>
          <w:ilvl w:val="0"/>
          <w:numId w:val="66"/>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为出具尽职调查报告而制定的工作计划及其操作程序的记录。</w:t>
      </w:r>
    </w:p>
    <w:p>
      <w:pPr>
        <w:pStyle w:val="14"/>
        <w:keepNext w:val="0"/>
        <w:keepLines w:val="0"/>
        <w:pageBreakBefore w:val="0"/>
        <w:widowControl w:val="0"/>
        <w:numPr>
          <w:ilvl w:val="0"/>
          <w:numId w:val="66"/>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与委托人设立及历史沿革有关的资料，如设立批准证书、营业执照、合同、章程等文件或变更文件的复印件。</w:t>
      </w:r>
    </w:p>
    <w:p>
      <w:pPr>
        <w:pStyle w:val="14"/>
        <w:keepNext w:val="0"/>
        <w:keepLines w:val="0"/>
        <w:pageBreakBefore w:val="0"/>
        <w:widowControl w:val="0"/>
        <w:numPr>
          <w:ilvl w:val="0"/>
          <w:numId w:val="66"/>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重大合同、协议及其他重要文件和会议记录的摘要或副本。</w:t>
      </w:r>
    </w:p>
    <w:p>
      <w:pPr>
        <w:pStyle w:val="14"/>
        <w:keepNext w:val="0"/>
        <w:keepLines w:val="0"/>
        <w:pageBreakBefore w:val="0"/>
        <w:widowControl w:val="0"/>
        <w:numPr>
          <w:ilvl w:val="0"/>
          <w:numId w:val="66"/>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与委托人及相关人员相互沟通情况的记录，对委托人提供资料的检查、调查访问记录、往来函件、现场勘察记录、查阅文件清单等相关的资料及详细说明。</w:t>
      </w:r>
    </w:p>
    <w:p>
      <w:pPr>
        <w:pStyle w:val="14"/>
        <w:keepNext w:val="0"/>
        <w:keepLines w:val="0"/>
        <w:pageBreakBefore w:val="0"/>
        <w:widowControl w:val="0"/>
        <w:numPr>
          <w:ilvl w:val="0"/>
          <w:numId w:val="66"/>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委托人及相关人员的书面保证或声明书的复印件。</w:t>
      </w:r>
    </w:p>
    <w:p>
      <w:pPr>
        <w:pStyle w:val="14"/>
        <w:keepNext w:val="0"/>
        <w:keepLines w:val="0"/>
        <w:pageBreakBefore w:val="0"/>
        <w:widowControl w:val="0"/>
        <w:numPr>
          <w:ilvl w:val="0"/>
          <w:numId w:val="66"/>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对保留意见及疑难问题所作的说明。</w:t>
      </w:r>
    </w:p>
    <w:p>
      <w:pPr>
        <w:pStyle w:val="14"/>
        <w:keepNext w:val="0"/>
        <w:keepLines w:val="0"/>
        <w:pageBreakBefore w:val="0"/>
        <w:widowControl w:val="0"/>
        <w:numPr>
          <w:ilvl w:val="0"/>
          <w:numId w:val="66"/>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其他与出具法律意见书或改制总体方案相关的重要资料。</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上述资料应注明来源。凡涉及律师向有关委托人调查所作的记录，应由委托人和律师本人签名。承办律师应及时、准确、真实、完整地制作工作底稿，工作底稿的质量好坏是判断律师是否勤勉尽责的重要依据。</w:t>
      </w:r>
    </w:p>
    <w:p>
      <w:pPr>
        <w:pStyle w:val="14"/>
        <w:keepNext w:val="0"/>
        <w:keepLines w:val="0"/>
        <w:pageBreakBefore w:val="0"/>
        <w:widowControl w:val="0"/>
        <w:wordWrap/>
        <w:bidi w:val="0"/>
        <w:spacing w:beforeAutospacing="0" w:after="0" w:afterAutospacing="0" w:line="500" w:lineRule="exact"/>
        <w:jc w:val="center"/>
        <w:rPr>
          <w:rFonts w:hint="eastAsia" w:ascii="黑体" w:hAnsi="黑体" w:eastAsia="黑体" w:cs="黑体"/>
          <w:color w:val="000000"/>
          <w:sz w:val="28"/>
          <w:szCs w:val="28"/>
          <w:shd w:val="clear" w:color="auto" w:fill="FFFFFF"/>
        </w:rPr>
      </w:pPr>
    </w:p>
    <w:p>
      <w:pPr>
        <w:pStyle w:val="14"/>
        <w:keepNext w:val="0"/>
        <w:keepLines w:val="0"/>
        <w:pageBreakBefore w:val="0"/>
        <w:widowControl w:val="0"/>
        <w:wordWrap/>
        <w:bidi w:val="0"/>
        <w:spacing w:beforeAutospacing="0" w:after="0" w:afterAutospacing="0" w:line="500" w:lineRule="exact"/>
        <w:jc w:val="center"/>
        <w:rPr>
          <w:rFonts w:hint="eastAsia" w:ascii="黑体" w:hAnsi="黑体" w:eastAsia="黑体" w:cs="黑体"/>
          <w:color w:val="000000"/>
          <w:sz w:val="28"/>
          <w:szCs w:val="28"/>
          <w:shd w:val="clear" w:color="auto" w:fill="FFFFFF"/>
        </w:rPr>
      </w:pPr>
      <w:r>
        <w:rPr>
          <w:rFonts w:hint="eastAsia" w:ascii="黑体" w:hAnsi="黑体" w:eastAsia="黑体" w:cs="黑体"/>
          <w:color w:val="000000"/>
          <w:sz w:val="28"/>
          <w:szCs w:val="28"/>
          <w:shd w:val="clear" w:color="auto" w:fill="FFFFFF"/>
        </w:rPr>
        <w:t>第四章  附则</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shd w:val="clear" w:color="auto" w:fill="FFFFFF"/>
        </w:rPr>
        <w:t>第二十四条</w:t>
      </w:r>
      <w:r>
        <w:rPr>
          <w:rFonts w:hint="eastAsia" w:ascii="仿宋_GB2312" w:hAnsi="仿宋" w:eastAsia="仿宋_GB2312" w:cs="仿宋"/>
          <w:color w:val="000000"/>
          <w:sz w:val="28"/>
          <w:szCs w:val="28"/>
          <w:shd w:val="clear" w:color="auto" w:fill="FFFFFF"/>
        </w:rPr>
        <w:t xml:space="preserve">  指引效力</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本指引仅供律师承办法律尽职调查相关业务时作为参考，不具有强制性，亦不能作为评价律师工作成果及质量的依据。</w:t>
      </w:r>
    </w:p>
    <w:p>
      <w:pPr>
        <w:keepNext w:val="0"/>
        <w:keepLines w:val="0"/>
        <w:pageBreakBefore w:val="0"/>
        <w:widowControl w:val="0"/>
        <w:wordWrap/>
        <w:bidi w:val="0"/>
        <w:spacing w:line="500" w:lineRule="exact"/>
        <w:ind w:firstLine="522" w:firstLineChars="200"/>
        <w:jc w:val="center"/>
        <w:rPr>
          <w:rFonts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br w:type="page"/>
      </w:r>
    </w:p>
    <w:p>
      <w:pPr>
        <w:keepNext w:val="0"/>
        <w:keepLines w:val="0"/>
        <w:pageBreakBefore w:val="0"/>
        <w:widowControl w:val="0"/>
        <w:wordWrap/>
        <w:bidi w:val="0"/>
        <w:spacing w:line="500" w:lineRule="exact"/>
        <w:jc w:val="center"/>
        <w:rPr>
          <w:rFonts w:ascii="仿宋_GB2312" w:hAnsi="仿宋" w:eastAsia="仿宋_GB2312" w:cs="仿宋"/>
          <w:color w:val="000000"/>
          <w:sz w:val="28"/>
          <w:szCs w:val="28"/>
          <w:shd w:val="clear" w:color="auto" w:fill="FFFFFF"/>
        </w:rPr>
      </w:pPr>
    </w:p>
    <w:p>
      <w:pPr>
        <w:keepNext w:val="0"/>
        <w:keepLines w:val="0"/>
        <w:pageBreakBefore w:val="0"/>
        <w:widowControl w:val="0"/>
        <w:wordWrap/>
        <w:bidi w:val="0"/>
        <w:spacing w:line="500" w:lineRule="exact"/>
        <w:jc w:val="center"/>
        <w:rPr>
          <w:rFonts w:ascii="仿宋_GB2312" w:hAnsi="仿宋" w:eastAsia="仿宋_GB2312" w:cs="仿宋"/>
          <w:color w:val="000000"/>
          <w:sz w:val="28"/>
          <w:szCs w:val="28"/>
          <w:shd w:val="clear" w:color="auto" w:fill="FFFFFF"/>
        </w:rPr>
      </w:pPr>
    </w:p>
    <w:p>
      <w:pPr>
        <w:keepNext w:val="0"/>
        <w:keepLines w:val="0"/>
        <w:pageBreakBefore w:val="0"/>
        <w:widowControl w:val="0"/>
        <w:wordWrap/>
        <w:bidi w:val="0"/>
        <w:spacing w:line="500" w:lineRule="exact"/>
        <w:jc w:val="center"/>
        <w:rPr>
          <w:rFonts w:ascii="仿宋_GB2312" w:hAnsi="仿宋" w:eastAsia="仿宋_GB2312" w:cs="仿宋"/>
          <w:color w:val="000000"/>
          <w:sz w:val="28"/>
          <w:szCs w:val="28"/>
          <w:shd w:val="clear" w:color="auto" w:fill="FFFFFF"/>
        </w:rPr>
      </w:pPr>
    </w:p>
    <w:p>
      <w:pPr>
        <w:keepNext w:val="0"/>
        <w:keepLines w:val="0"/>
        <w:pageBreakBefore w:val="0"/>
        <w:widowControl w:val="0"/>
        <w:wordWrap/>
        <w:bidi w:val="0"/>
        <w:spacing w:line="500" w:lineRule="exact"/>
        <w:jc w:val="center"/>
        <w:rPr>
          <w:rFonts w:ascii="仿宋_GB2312" w:hAnsi="仿宋" w:eastAsia="仿宋_GB2312" w:cs="仿宋"/>
          <w:color w:val="000000"/>
          <w:sz w:val="28"/>
          <w:szCs w:val="28"/>
          <w:shd w:val="clear" w:color="auto" w:fill="FFFFFF"/>
        </w:rPr>
      </w:pPr>
    </w:p>
    <w:p>
      <w:pPr>
        <w:keepNext w:val="0"/>
        <w:keepLines w:val="0"/>
        <w:pageBreakBefore w:val="0"/>
        <w:widowControl w:val="0"/>
        <w:wordWrap/>
        <w:bidi w:val="0"/>
        <w:spacing w:line="500" w:lineRule="exact"/>
        <w:jc w:val="center"/>
        <w:rPr>
          <w:rFonts w:ascii="仿宋_GB2312" w:hAnsi="仿宋" w:eastAsia="仿宋_GB2312" w:cs="仿宋"/>
          <w:color w:val="000000"/>
          <w:sz w:val="28"/>
          <w:szCs w:val="28"/>
          <w:shd w:val="clear" w:color="auto" w:fill="FFFFFF"/>
        </w:rPr>
      </w:pPr>
    </w:p>
    <w:p>
      <w:pPr>
        <w:keepNext w:val="0"/>
        <w:keepLines w:val="0"/>
        <w:pageBreakBefore w:val="0"/>
        <w:widowControl w:val="0"/>
        <w:wordWrap/>
        <w:bidi w:val="0"/>
        <w:spacing w:line="500" w:lineRule="exact"/>
        <w:jc w:val="center"/>
        <w:rPr>
          <w:sz w:val="20"/>
          <w:szCs w:val="21"/>
        </w:rPr>
      </w:pPr>
      <w:r>
        <w:rPr>
          <w:sz w:val="48"/>
        </w:rPr>
        <mc:AlternateContent>
          <mc:Choice Requires="wps">
            <w:drawing>
              <wp:anchor distT="0" distB="0" distL="114300" distR="114300" simplePos="0" relativeHeight="251728896" behindDoc="0" locked="0" layoutInCell="1" allowOverlap="1">
                <wp:simplePos x="0" y="0"/>
                <wp:positionH relativeFrom="column">
                  <wp:posOffset>-409575</wp:posOffset>
                </wp:positionH>
                <wp:positionV relativeFrom="paragraph">
                  <wp:posOffset>4518025</wp:posOffset>
                </wp:positionV>
                <wp:extent cx="2000250" cy="941070"/>
                <wp:effectExtent l="0" t="0" r="0" b="11430"/>
                <wp:wrapNone/>
                <wp:docPr id="44" name="文本框 44"/>
                <wp:cNvGraphicFramePr/>
                <a:graphic xmlns:a="http://schemas.openxmlformats.org/drawingml/2006/main">
                  <a:graphicData uri="http://schemas.microsoft.com/office/word/2010/wordprocessingShape">
                    <wps:wsp>
                      <wps:cNvSpPr txBox="1"/>
                      <wps:spPr>
                        <a:xfrm>
                          <a:off x="0" y="0"/>
                          <a:ext cx="2000250" cy="941070"/>
                        </a:xfrm>
                        <a:prstGeom prst="rect">
                          <a:avLst/>
                        </a:prstGeom>
                        <a:solidFill>
                          <a:srgbClr val="FFFFFF"/>
                        </a:solidFill>
                        <a:ln>
                          <a:noFill/>
                        </a:ln>
                      </wps:spPr>
                      <wps:txbx>
                        <w:txbxContent>
                          <w:p/>
                        </w:txbxContent>
                      </wps:txbx>
                      <wps:bodyPr upright="1"/>
                    </wps:wsp>
                  </a:graphicData>
                </a:graphic>
              </wp:anchor>
            </w:drawing>
          </mc:Choice>
          <mc:Fallback>
            <w:pict>
              <v:shape id="_x0000_s1026" o:spid="_x0000_s1026" o:spt="202" type="#_x0000_t202" style="position:absolute;left:0pt;margin-left:-32.25pt;margin-top:355.75pt;height:74.1pt;width:157.5pt;z-index:251728896;mso-width-relative:page;mso-height-relative:page;" fillcolor="#FFFFFF" filled="t" stroked="f" coordsize="21600,21600" o:gfxdata="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il4T72QAAAAsBAAAPAAAAAAAAAAEAIAAAACIAAABkcnMvZG93bnJl&#10;di54bWxQSwECFAAUAAAACACHTuJA0MdxisMBAAB5AwAADgAAAAAAAAABACAAAAAoAQAAZHJzL2Uy&#10;b0RvYy54bWxQSwUGAAAAAAYABgBZAQAAXQUAAAAA&#10;">
                <v:fill on="t" focussize="0,0"/>
                <v:stroke on="f"/>
                <v:imagedata o:title=""/>
                <o:lock v:ext="edit" aspectratio="f"/>
                <v:textbox>
                  <w:txbxContent>
                    <w:p/>
                  </w:txbxContent>
                </v:textbox>
              </v:shape>
            </w:pict>
          </mc:Fallback>
        </mc:AlternateContent>
      </w:r>
      <w:r>
        <w:rPr>
          <w:sz w:val="48"/>
        </w:rPr>
        <mc:AlternateContent>
          <mc:Choice Requires="wps">
            <w:drawing>
              <wp:anchor distT="0" distB="0" distL="114300" distR="114300" simplePos="0" relativeHeight="251711488" behindDoc="0" locked="0" layoutInCell="1" allowOverlap="1">
                <wp:simplePos x="0" y="0"/>
                <wp:positionH relativeFrom="column">
                  <wp:posOffset>-168275</wp:posOffset>
                </wp:positionH>
                <wp:positionV relativeFrom="paragraph">
                  <wp:posOffset>6635115</wp:posOffset>
                </wp:positionV>
                <wp:extent cx="1547495" cy="571500"/>
                <wp:effectExtent l="0" t="0" r="14605" b="0"/>
                <wp:wrapNone/>
                <wp:docPr id="51" name="文本框 51"/>
                <wp:cNvGraphicFramePr/>
                <a:graphic xmlns:a="http://schemas.openxmlformats.org/drawingml/2006/main">
                  <a:graphicData uri="http://schemas.microsoft.com/office/word/2010/wordprocessingShape">
                    <wps:wsp>
                      <wps:cNvSpPr txBox="1"/>
                      <wps:spPr>
                        <a:xfrm>
                          <a:off x="0" y="0"/>
                          <a:ext cx="1547495" cy="571500"/>
                        </a:xfrm>
                        <a:prstGeom prst="rect">
                          <a:avLst/>
                        </a:prstGeom>
                        <a:solidFill>
                          <a:srgbClr val="FFFFFF"/>
                        </a:solidFill>
                        <a:ln>
                          <a:noFill/>
                        </a:ln>
                      </wps:spPr>
                      <wps:txbx>
                        <w:txbxContent>
                          <w:p/>
                        </w:txbxContent>
                      </wps:txbx>
                      <wps:bodyPr upright="1"/>
                    </wps:wsp>
                  </a:graphicData>
                </a:graphic>
              </wp:anchor>
            </w:drawing>
          </mc:Choice>
          <mc:Fallback>
            <w:pict>
              <v:shape id="_x0000_s1026" o:spid="_x0000_s1026" o:spt="202" type="#_x0000_t202" style="position:absolute;left:0pt;margin-left:-13.25pt;margin-top:522.45pt;height:45pt;width:121.85pt;z-index:251711488;mso-width-relative:page;mso-height-relative:page;" fillcolor="#FFFFFF" filled="t" stroked="f" coordsize="21600,21600" o:gfxdata="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ZGxi92QAAAA0BAAAPAAAAAAAAAAEAIAAAACIAAABkcnMvZG93bnJl&#10;di54bWxQSwECFAAUAAAACACHTuJAED5lasMBAAB5AwAADgAAAAAAAAABACAAAAAoAQAAZHJzL2Uy&#10;b0RvYy54bWxQSwUGAAAAAAYABgBZAQAAXQUAAAAA&#10;">
                <v:fill on="t" focussize="0,0"/>
                <v:stroke on="f"/>
                <v:imagedata o:title=""/>
                <o:lock v:ext="edit" aspectratio="f"/>
                <v:textbox>
                  <w:txbxContent>
                    <w:p/>
                  </w:txbxContent>
                </v:textbox>
              </v:shape>
            </w:pict>
          </mc:Fallback>
        </mc:AlternateContent>
      </w:r>
      <w:r>
        <w:rPr>
          <w:rFonts w:hint="eastAsia" w:ascii="方正小标宋简体" w:hAnsi="宋体" w:eastAsia="方正小标宋简体" w:cs="宋体"/>
          <w:color w:val="000000"/>
          <w:sz w:val="48"/>
          <w:szCs w:val="48"/>
        </w:rPr>
        <w:br w:type="page"/>
      </w:r>
    </w:p>
    <w:p>
      <w:pPr>
        <w:keepNext w:val="0"/>
        <w:keepLines w:val="0"/>
        <w:pageBreakBefore w:val="0"/>
        <w:widowControl w:val="0"/>
        <w:wordWrap/>
        <w:bidi w:val="0"/>
        <w:spacing w:line="500" w:lineRule="exact"/>
        <w:jc w:val="center"/>
        <w:rPr>
          <w:rFonts w:hint="eastAsia"/>
          <w:sz w:val="20"/>
          <w:szCs w:val="21"/>
        </w:rPr>
      </w:pPr>
    </w:p>
    <w:p>
      <w:pPr>
        <w:keepNext w:val="0"/>
        <w:keepLines w:val="0"/>
        <w:pageBreakBefore w:val="0"/>
        <w:widowControl w:val="0"/>
        <w:wordWrap/>
        <w:bidi w:val="0"/>
        <w:spacing w:line="500" w:lineRule="exact"/>
        <w:jc w:val="center"/>
        <w:rPr>
          <w:rFonts w:hint="eastAsia" w:ascii="方正小标宋简体" w:hAnsi="方正小标宋简体" w:eastAsia="方正小标宋简体" w:cs="方正小标宋简体"/>
          <w:color w:val="000000"/>
          <w:sz w:val="48"/>
          <w:szCs w:val="48"/>
          <w:shd w:val="clear" w:color="auto" w:fill="FFFFFF"/>
        </w:rPr>
      </w:pPr>
    </w:p>
    <w:p>
      <w:pPr>
        <w:keepNext w:val="0"/>
        <w:keepLines w:val="0"/>
        <w:pageBreakBefore w:val="0"/>
        <w:widowControl w:val="0"/>
        <w:wordWrap/>
        <w:bidi w:val="0"/>
        <w:spacing w:line="500" w:lineRule="exact"/>
        <w:jc w:val="center"/>
        <w:rPr>
          <w:rFonts w:hint="eastAsia" w:ascii="方正小标宋简体" w:hAnsi="方正小标宋简体" w:eastAsia="方正小标宋简体" w:cs="方正小标宋简体"/>
          <w:color w:val="000000"/>
          <w:sz w:val="48"/>
          <w:szCs w:val="48"/>
          <w:shd w:val="clear" w:color="auto" w:fill="FFFFFF"/>
        </w:rPr>
      </w:pPr>
    </w:p>
    <w:p>
      <w:pPr>
        <w:widowControl w:val="0"/>
        <w:spacing w:after="0"/>
        <w:jc w:val="center"/>
        <w:rPr>
          <w:rFonts w:hint="eastAsia" w:ascii="方正小标宋简体" w:hAnsi="方正小标宋简体" w:eastAsia="方正小标宋简体" w:cs="方正小标宋简体"/>
          <w:color w:val="000000"/>
          <w:sz w:val="48"/>
          <w:szCs w:val="48"/>
          <w:shd w:val="clear" w:color="auto" w:fill="FFFFFF"/>
        </w:rPr>
      </w:pPr>
    </w:p>
    <w:p>
      <w:pPr>
        <w:keepNext w:val="0"/>
        <w:keepLines w:val="0"/>
        <w:pageBreakBefore w:val="0"/>
        <w:widowControl w:val="0"/>
        <w:wordWrap/>
        <w:bidi w:val="0"/>
        <w:spacing w:after="0" w:line="240" w:lineRule="auto"/>
        <w:jc w:val="center"/>
        <w:rPr>
          <w:rFonts w:hint="eastAsia" w:ascii="方正小标宋简体" w:hAnsi="宋体" w:eastAsia="方正小标宋简体" w:cs="宋体"/>
          <w:color w:val="000000"/>
          <w:sz w:val="48"/>
          <w:szCs w:val="48"/>
        </w:rPr>
      </w:pPr>
      <w:r>
        <w:rPr>
          <w:rFonts w:hint="eastAsia" w:ascii="方正小标宋简体" w:hAnsi="宋体" w:eastAsia="方正小标宋简体" w:cs="宋体"/>
          <w:color w:val="000000"/>
          <w:sz w:val="48"/>
          <w:szCs w:val="48"/>
        </w:rPr>
        <w:t>律师审查涉外贸易合同</w:t>
      </w:r>
    </w:p>
    <w:p>
      <w:pPr>
        <w:keepNext w:val="0"/>
        <w:keepLines w:val="0"/>
        <w:pageBreakBefore w:val="0"/>
        <w:widowControl w:val="0"/>
        <w:wordWrap/>
        <w:bidi w:val="0"/>
        <w:spacing w:after="0" w:line="240" w:lineRule="auto"/>
        <w:jc w:val="center"/>
        <w:rPr>
          <w:rFonts w:hint="eastAsia" w:ascii="方正小标宋简体" w:hAnsi="宋体" w:eastAsia="方正小标宋简体" w:cs="宋体"/>
          <w:color w:val="000000"/>
          <w:sz w:val="48"/>
          <w:szCs w:val="48"/>
        </w:rPr>
      </w:pPr>
      <w:r>
        <w:rPr>
          <w:rFonts w:hint="eastAsia" w:ascii="方正小标宋简体" w:hAnsi="宋体" w:eastAsia="方正小标宋简体" w:cs="宋体"/>
          <w:color w:val="000000"/>
          <w:sz w:val="48"/>
          <w:szCs w:val="48"/>
        </w:rPr>
        <w:t>业务操作指引</w:t>
      </w:r>
    </w:p>
    <w:p>
      <w:pPr>
        <w:keepNext w:val="0"/>
        <w:keepLines w:val="0"/>
        <w:pageBreakBefore w:val="0"/>
        <w:widowControl w:val="0"/>
        <w:wordWrap/>
        <w:bidi w:val="0"/>
        <w:spacing w:after="0" w:line="500" w:lineRule="exact"/>
        <w:jc w:val="center"/>
        <w:rPr>
          <w:rFonts w:hint="eastAsia" w:ascii="方正小标宋简体" w:hAnsi="宋体" w:eastAsia="方正小标宋简体" w:cs="宋体"/>
          <w:color w:val="000000"/>
          <w:sz w:val="40"/>
          <w:szCs w:val="40"/>
        </w:rPr>
      </w:pPr>
      <w:r>
        <w:rPr>
          <w:rFonts w:hint="eastAsia" w:ascii="方正小标宋简体" w:hAnsi="宋体" w:eastAsia="方正小标宋简体" w:cs="宋体"/>
          <w:color w:val="000000"/>
          <w:sz w:val="48"/>
          <w:szCs w:val="48"/>
        </w:rPr>
        <w:br w:type="page"/>
      </w:r>
      <w:r>
        <w:rPr>
          <w:sz w:val="28"/>
        </w:rPr>
        <mc:AlternateContent>
          <mc:Choice Requires="wps">
            <w:drawing>
              <wp:anchor distT="0" distB="0" distL="114300" distR="114300" simplePos="0" relativeHeight="251729920" behindDoc="0" locked="0" layoutInCell="1" allowOverlap="1">
                <wp:simplePos x="0" y="0"/>
                <wp:positionH relativeFrom="column">
                  <wp:posOffset>-156210</wp:posOffset>
                </wp:positionH>
                <wp:positionV relativeFrom="paragraph">
                  <wp:posOffset>6447155</wp:posOffset>
                </wp:positionV>
                <wp:extent cx="1524000" cy="892810"/>
                <wp:effectExtent l="0" t="0" r="0" b="2540"/>
                <wp:wrapNone/>
                <wp:docPr id="41" name="文本框 41"/>
                <wp:cNvGraphicFramePr/>
                <a:graphic xmlns:a="http://schemas.openxmlformats.org/drawingml/2006/main">
                  <a:graphicData uri="http://schemas.microsoft.com/office/word/2010/wordprocessingShape">
                    <wps:wsp>
                      <wps:cNvSpPr txBox="1"/>
                      <wps:spPr>
                        <a:xfrm>
                          <a:off x="0" y="0"/>
                          <a:ext cx="1524000" cy="892810"/>
                        </a:xfrm>
                        <a:prstGeom prst="rect">
                          <a:avLst/>
                        </a:prstGeom>
                        <a:solidFill>
                          <a:srgbClr val="FFFFFF"/>
                        </a:solidFill>
                        <a:ln>
                          <a:noFill/>
                        </a:ln>
                      </wps:spPr>
                      <wps:txbx>
                        <w:txbxContent>
                          <w:p/>
                        </w:txbxContent>
                      </wps:txbx>
                      <wps:bodyPr upright="1"/>
                    </wps:wsp>
                  </a:graphicData>
                </a:graphic>
              </wp:anchor>
            </w:drawing>
          </mc:Choice>
          <mc:Fallback>
            <w:pict>
              <v:shape id="_x0000_s1026" o:spid="_x0000_s1026" o:spt="202" type="#_x0000_t202" style="position:absolute;left:0pt;margin-left:-12.3pt;margin-top:507.65pt;height:70.3pt;width:120pt;z-index:251729920;mso-width-relative:page;mso-height-relative:page;" fillcolor="#FFFFFF" filled="t" stroked="f" coordsize="21600,21600" o:gfxdata="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sYO8AtoAAAANAQAADwAAAAAAAAABACAAAAAiAAAAZHJzL2Rvd25y&#10;ZXYueG1sUEsBAhQAFAAAAAgAh07iQFBsw6XDAQAAeQMAAA4AAAAAAAAAAQAgAAAAKQEAAGRycy9l&#10;Mm9Eb2MueG1sUEsFBgAAAAAGAAYAWQEAAF4FAAAAAA==&#10;">
                <v:fill on="t" focussize="0,0"/>
                <v:stroke on="f"/>
                <v:imagedata o:title=""/>
                <o:lock v:ext="edit" aspectratio="f"/>
                <v:textbox>
                  <w:txbxContent>
                    <w:p/>
                  </w:txbxContent>
                </v:textbox>
              </v:shape>
            </w:pict>
          </mc:Fallback>
        </mc:AlternateContent>
      </w:r>
      <w:r>
        <w:rPr>
          <w:sz w:val="28"/>
          <w:szCs w:val="21"/>
        </w:rPr>
        <mc:AlternateContent>
          <mc:Choice Requires="wps">
            <w:drawing>
              <wp:anchor distT="0" distB="0" distL="114300" distR="114300" simplePos="0" relativeHeight="251663360" behindDoc="0" locked="0" layoutInCell="1" allowOverlap="1">
                <wp:simplePos x="0" y="0"/>
                <wp:positionH relativeFrom="column">
                  <wp:posOffset>-102870</wp:posOffset>
                </wp:positionH>
                <wp:positionV relativeFrom="paragraph">
                  <wp:posOffset>8244205</wp:posOffset>
                </wp:positionV>
                <wp:extent cx="1238250" cy="762000"/>
                <wp:effectExtent l="4445" t="4445" r="14605" b="14605"/>
                <wp:wrapNone/>
                <wp:docPr id="42" name="矩形 42"/>
                <wp:cNvGraphicFramePr/>
                <a:graphic xmlns:a="http://schemas.openxmlformats.org/drawingml/2006/main">
                  <a:graphicData uri="http://schemas.microsoft.com/office/word/2010/wordprocessingShape">
                    <wps:wsp>
                      <wps:cNvSpPr/>
                      <wps:spPr>
                        <a:xfrm>
                          <a:off x="0" y="0"/>
                          <a:ext cx="1238250" cy="762000"/>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8.1pt;margin-top:649.15pt;height:60pt;width:97.5pt;z-index:251663360;mso-width-relative:page;mso-height-relative:page;" fillcolor="#FFFFFF" filled="t" stroked="t" coordsize="21600,21600" o:gfxdata="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NmgLr2QAAAA0BAAAPAAAAAAAAAAEAIAAAACIAAABkcnMvZG93bnJldi54&#10;bWxQSwECFAAUAAAACACHTuJA6b+VvPkBAAAgBAAADgAAAAAAAAABACAAAAAoAQAAZHJzL2Uyb0Rv&#10;Yy54bWxQSwUGAAAAAAYABgBZAQAAkwUAAAAA&#10;">
                <v:fill on="t" focussize="0,0"/>
                <v:stroke color="#FFFFFF" joinstyle="miter"/>
                <v:imagedata o:title=""/>
                <o:lock v:ext="edit" aspectratio="f"/>
              </v:rect>
            </w:pict>
          </mc:Fallback>
        </mc:AlternateContent>
      </w:r>
      <w:r>
        <w:rPr>
          <w:rFonts w:ascii="仿宋_GB2312" w:hAnsi="仿宋" w:eastAsia="仿宋_GB2312" w:cs="仿宋"/>
          <w:color w:val="000000"/>
          <w:sz w:val="28"/>
          <w:szCs w:val="28"/>
          <w:shd w:val="clear" w:color="auto" w:fill="FFFFFF"/>
        </w:rPr>
        <w:br w:type="page"/>
      </w:r>
      <w:r>
        <w:rPr>
          <w:rFonts w:hint="eastAsia" w:ascii="方正小标宋简体" w:hAnsi="宋体" w:eastAsia="方正小标宋简体" w:cs="宋体"/>
          <w:color w:val="000000"/>
          <w:sz w:val="40"/>
          <w:szCs w:val="40"/>
        </w:rPr>
        <w:t>目    录</w:t>
      </w:r>
    </w:p>
    <w:p>
      <w:pPr>
        <w:pStyle w:val="25"/>
        <w:keepNext w:val="0"/>
        <w:keepLines w:val="0"/>
        <w:pageBreakBefore w:val="0"/>
        <w:widowControl w:val="0"/>
        <w:numPr>
          <w:ilvl w:val="0"/>
          <w:numId w:val="0"/>
        </w:numPr>
        <w:wordWrap/>
        <w:autoSpaceDE w:val="0"/>
        <w:autoSpaceDN w:val="0"/>
        <w:bidi w:val="0"/>
        <w:adjustRightInd w:val="0"/>
        <w:spacing w:line="500" w:lineRule="exact"/>
        <w:ind w:left="382" w:leftChars="200"/>
        <w:rPr>
          <w:rFonts w:hint="eastAsia" w:ascii="仿宋" w:hAnsi="仿宋" w:eastAsia="仿宋" w:cs="仿宋"/>
          <w:b/>
          <w:color w:val="000000"/>
          <w:sz w:val="28"/>
          <w:szCs w:val="28"/>
        </w:rPr>
      </w:pPr>
    </w:p>
    <w:p>
      <w:pPr>
        <w:pStyle w:val="25"/>
        <w:keepNext w:val="0"/>
        <w:keepLines w:val="0"/>
        <w:pageBreakBefore w:val="0"/>
        <w:widowControl w:val="0"/>
        <w:numPr>
          <w:ilvl w:val="0"/>
          <w:numId w:val="0"/>
        </w:numPr>
        <w:wordWrap/>
        <w:autoSpaceDE w:val="0"/>
        <w:autoSpaceDN w:val="0"/>
        <w:bidi w:val="0"/>
        <w:adjustRightInd w:val="0"/>
        <w:spacing w:line="500" w:lineRule="exact"/>
        <w:ind w:left="382" w:leftChars="200" w:firstLine="522" w:firstLineChars="200"/>
        <w:rPr>
          <w:rFonts w:hint="eastAsia" w:ascii="仿宋_GB2312" w:hAnsi="仿宋" w:eastAsia="仿宋_GB2312" w:cs="仿宋"/>
          <w:bCs/>
          <w:color w:val="000000"/>
          <w:sz w:val="28"/>
          <w:szCs w:val="28"/>
        </w:rPr>
      </w:pPr>
      <w:r>
        <w:rPr>
          <w:rFonts w:hint="eastAsia" w:ascii="仿宋_GB2312" w:hAnsi="仿宋" w:eastAsia="仿宋_GB2312" w:cs="仿宋"/>
          <w:bCs/>
          <w:color w:val="000000"/>
          <w:sz w:val="28"/>
          <w:szCs w:val="28"/>
        </w:rPr>
        <w:t>一、定义</w:t>
      </w:r>
    </w:p>
    <w:p>
      <w:pPr>
        <w:pStyle w:val="25"/>
        <w:keepNext w:val="0"/>
        <w:keepLines w:val="0"/>
        <w:pageBreakBefore w:val="0"/>
        <w:widowControl w:val="0"/>
        <w:numPr>
          <w:ilvl w:val="0"/>
          <w:numId w:val="0"/>
        </w:numPr>
        <w:wordWrap/>
        <w:autoSpaceDE w:val="0"/>
        <w:autoSpaceDN w:val="0"/>
        <w:bidi w:val="0"/>
        <w:adjustRightInd w:val="0"/>
        <w:spacing w:line="500" w:lineRule="exact"/>
        <w:ind w:left="382" w:leftChars="200" w:firstLine="522" w:firstLineChars="200"/>
        <w:rPr>
          <w:rFonts w:hint="eastAsia" w:ascii="仿宋_GB2312" w:hAnsi="仿宋" w:eastAsia="仿宋_GB2312" w:cs="仿宋"/>
          <w:bCs/>
          <w:color w:val="000000"/>
          <w:sz w:val="28"/>
          <w:szCs w:val="28"/>
        </w:rPr>
      </w:pPr>
      <w:r>
        <w:rPr>
          <w:rFonts w:hint="eastAsia" w:ascii="仿宋_GB2312" w:hAnsi="仿宋" w:eastAsia="仿宋_GB2312" w:cs="仿宋"/>
          <w:bCs/>
          <w:color w:val="000000"/>
          <w:sz w:val="28"/>
          <w:szCs w:val="28"/>
        </w:rPr>
        <w:t>二、审查的一般原则</w:t>
      </w:r>
    </w:p>
    <w:p>
      <w:pPr>
        <w:pStyle w:val="25"/>
        <w:keepNext w:val="0"/>
        <w:keepLines w:val="0"/>
        <w:pageBreakBefore w:val="0"/>
        <w:widowControl w:val="0"/>
        <w:numPr>
          <w:ilvl w:val="0"/>
          <w:numId w:val="0"/>
        </w:numPr>
        <w:wordWrap/>
        <w:autoSpaceDE w:val="0"/>
        <w:autoSpaceDN w:val="0"/>
        <w:bidi w:val="0"/>
        <w:adjustRightInd w:val="0"/>
        <w:spacing w:line="500" w:lineRule="exact"/>
        <w:ind w:left="382" w:leftChars="200" w:firstLine="522" w:firstLineChars="200"/>
        <w:rPr>
          <w:rFonts w:hint="eastAsia" w:ascii="仿宋_GB2312" w:hAnsi="仿宋" w:eastAsia="仿宋_GB2312" w:cs="仿宋"/>
          <w:bCs/>
          <w:color w:val="000000"/>
          <w:sz w:val="28"/>
          <w:szCs w:val="28"/>
        </w:rPr>
      </w:pPr>
      <w:r>
        <w:rPr>
          <w:rFonts w:hint="eastAsia" w:ascii="仿宋_GB2312" w:hAnsi="仿宋" w:eastAsia="仿宋_GB2312" w:cs="仿宋"/>
          <w:bCs/>
          <w:color w:val="000000"/>
          <w:sz w:val="28"/>
          <w:szCs w:val="28"/>
        </w:rPr>
        <w:t>三、常见专业术语（英文为例）</w:t>
      </w:r>
    </w:p>
    <w:p>
      <w:pPr>
        <w:pStyle w:val="25"/>
        <w:keepNext w:val="0"/>
        <w:keepLines w:val="0"/>
        <w:pageBreakBefore w:val="0"/>
        <w:widowControl w:val="0"/>
        <w:numPr>
          <w:ilvl w:val="0"/>
          <w:numId w:val="0"/>
        </w:numPr>
        <w:wordWrap/>
        <w:autoSpaceDE w:val="0"/>
        <w:autoSpaceDN w:val="0"/>
        <w:bidi w:val="0"/>
        <w:adjustRightInd w:val="0"/>
        <w:spacing w:line="500" w:lineRule="exact"/>
        <w:ind w:left="382" w:leftChars="200" w:firstLine="522" w:firstLineChars="200"/>
        <w:rPr>
          <w:rFonts w:hint="eastAsia" w:ascii="仿宋_GB2312" w:hAnsi="仿宋" w:eastAsia="仿宋_GB2312" w:cs="仿宋"/>
          <w:bCs/>
          <w:color w:val="000000"/>
          <w:sz w:val="28"/>
          <w:szCs w:val="28"/>
        </w:rPr>
      </w:pPr>
      <w:r>
        <w:rPr>
          <w:rFonts w:hint="eastAsia" w:ascii="仿宋_GB2312" w:hAnsi="仿宋" w:eastAsia="仿宋_GB2312" w:cs="仿宋"/>
          <w:bCs/>
          <w:color w:val="000000"/>
          <w:sz w:val="28"/>
          <w:szCs w:val="28"/>
        </w:rPr>
        <w:t>四、合同审查注意事项</w:t>
      </w:r>
    </w:p>
    <w:p>
      <w:pPr>
        <w:pStyle w:val="25"/>
        <w:keepNext w:val="0"/>
        <w:keepLines w:val="0"/>
        <w:pageBreakBefore w:val="0"/>
        <w:widowControl w:val="0"/>
        <w:numPr>
          <w:ilvl w:val="0"/>
          <w:numId w:val="0"/>
        </w:numPr>
        <w:wordWrap/>
        <w:autoSpaceDE w:val="0"/>
        <w:autoSpaceDN w:val="0"/>
        <w:bidi w:val="0"/>
        <w:adjustRightInd w:val="0"/>
        <w:spacing w:line="500" w:lineRule="exact"/>
        <w:ind w:left="382" w:leftChars="200" w:firstLine="522" w:firstLineChars="200"/>
        <w:rPr>
          <w:rFonts w:hint="eastAsia" w:ascii="仿宋_GB2312" w:hAnsi="仿宋" w:eastAsia="仿宋_GB2312" w:cs="仿宋"/>
          <w:bCs/>
          <w:color w:val="000000"/>
          <w:sz w:val="28"/>
          <w:szCs w:val="28"/>
        </w:rPr>
      </w:pPr>
      <w:r>
        <w:rPr>
          <w:rFonts w:hint="eastAsia" w:ascii="仿宋_GB2312" w:hAnsi="仿宋" w:eastAsia="仿宋_GB2312" w:cs="仿宋"/>
          <w:bCs/>
          <w:color w:val="000000"/>
          <w:sz w:val="28"/>
          <w:szCs w:val="28"/>
        </w:rPr>
        <w:t>五、审查意见制作及提交</w:t>
      </w:r>
    </w:p>
    <w:p>
      <w:pPr>
        <w:pStyle w:val="25"/>
        <w:keepNext w:val="0"/>
        <w:keepLines w:val="0"/>
        <w:pageBreakBefore w:val="0"/>
        <w:widowControl w:val="0"/>
        <w:numPr>
          <w:ilvl w:val="0"/>
          <w:numId w:val="0"/>
        </w:numPr>
        <w:wordWrap/>
        <w:autoSpaceDE w:val="0"/>
        <w:autoSpaceDN w:val="0"/>
        <w:bidi w:val="0"/>
        <w:adjustRightInd w:val="0"/>
        <w:spacing w:line="500" w:lineRule="exact"/>
        <w:ind w:left="382" w:leftChars="200"/>
        <w:rPr>
          <w:rFonts w:ascii="仿宋" w:hAnsi="仿宋" w:eastAsia="仿宋" w:cs="仿宋"/>
          <w:b/>
          <w:color w:val="000000"/>
          <w:sz w:val="28"/>
          <w:szCs w:val="28"/>
        </w:rPr>
      </w:pPr>
    </w:p>
    <w:p>
      <w:pPr>
        <w:pStyle w:val="25"/>
        <w:keepNext w:val="0"/>
        <w:keepLines w:val="0"/>
        <w:pageBreakBefore w:val="0"/>
        <w:widowControl w:val="0"/>
        <w:numPr>
          <w:ilvl w:val="0"/>
          <w:numId w:val="0"/>
        </w:numPr>
        <w:wordWrap/>
        <w:autoSpaceDE w:val="0"/>
        <w:autoSpaceDN w:val="0"/>
        <w:bidi w:val="0"/>
        <w:adjustRightInd w:val="0"/>
        <w:spacing w:line="500" w:lineRule="exact"/>
        <w:ind w:left="382" w:leftChars="200"/>
        <w:rPr>
          <w:rFonts w:ascii="仿宋" w:hAnsi="仿宋" w:eastAsia="仿宋" w:cs="仿宋"/>
          <w:b/>
          <w:color w:val="000000"/>
          <w:sz w:val="28"/>
          <w:szCs w:val="28"/>
        </w:rPr>
      </w:pPr>
    </w:p>
    <w:p>
      <w:pPr>
        <w:keepNext w:val="0"/>
        <w:keepLines w:val="0"/>
        <w:pageBreakBefore w:val="0"/>
        <w:widowControl w:val="0"/>
        <w:wordWrap/>
        <w:bidi w:val="0"/>
        <w:spacing w:after="0" w:line="500" w:lineRule="exact"/>
        <w:jc w:val="center"/>
        <w:rPr>
          <w:rFonts w:ascii="方正小标宋简体" w:hAnsi="宋体" w:eastAsia="方正小标宋简体"/>
          <w:b/>
          <w:bCs/>
          <w:color w:val="000000"/>
          <w:sz w:val="40"/>
          <w:szCs w:val="40"/>
        </w:rPr>
      </w:pPr>
      <w:r>
        <w:rPr>
          <w:rFonts w:ascii="仿宋_GB2312" w:hAnsi="仿宋" w:eastAsia="仿宋_GB2312" w:cs="仿宋"/>
          <w:color w:val="000000"/>
          <w:sz w:val="28"/>
          <w:szCs w:val="28"/>
          <w:shd w:val="clear" w:color="auto" w:fill="FFFFFF"/>
        </w:rPr>
        <w:br w:type="page"/>
      </w:r>
      <w:r>
        <w:rPr>
          <w:rFonts w:ascii="仿宋_GB2312" w:hAnsi="仿宋" w:eastAsia="仿宋_GB2312" w:cs="仿宋"/>
          <w:color w:val="000000"/>
          <w:sz w:val="28"/>
          <w:szCs w:val="28"/>
        </w:rPr>
        <mc:AlternateContent>
          <mc:Choice Requires="wps">
            <w:drawing>
              <wp:anchor distT="0" distB="0" distL="114300" distR="114300" simplePos="0" relativeHeight="251697152" behindDoc="0" locked="0" layoutInCell="1" allowOverlap="1">
                <wp:simplePos x="0" y="0"/>
                <wp:positionH relativeFrom="column">
                  <wp:posOffset>-118110</wp:posOffset>
                </wp:positionH>
                <wp:positionV relativeFrom="paragraph">
                  <wp:posOffset>8418195</wp:posOffset>
                </wp:positionV>
                <wp:extent cx="952500" cy="434340"/>
                <wp:effectExtent l="4445" t="5080" r="14605" b="17780"/>
                <wp:wrapNone/>
                <wp:docPr id="43" name="文本框 43"/>
                <wp:cNvGraphicFramePr/>
                <a:graphic xmlns:a="http://schemas.openxmlformats.org/drawingml/2006/main">
                  <a:graphicData uri="http://schemas.microsoft.com/office/word/2010/wordprocessingShape">
                    <wps:wsp>
                      <wps:cNvSpPr txBox="1"/>
                      <wps:spPr>
                        <a:xfrm>
                          <a:off x="0" y="0"/>
                          <a:ext cx="952500" cy="434340"/>
                        </a:xfrm>
                        <a:prstGeom prst="rect">
                          <a:avLst/>
                        </a:prstGeom>
                        <a:solidFill>
                          <a:srgbClr val="FFFFFF"/>
                        </a:solidFill>
                        <a:ln w="9525" cap="flat" cmpd="sng">
                          <a:solidFill>
                            <a:srgbClr val="FFFFFF"/>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202" type="#_x0000_t202" style="position:absolute;left:0pt;margin-left:-9.3pt;margin-top:662.85pt;height:34.2pt;width:75pt;z-index:251697152;mso-width-relative:page;mso-height-relative:page;" fillcolor="#FFFFFF" filled="t" stroked="t" coordsize="21600,21600" o:gfxdata="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1eRKg2gAAAA0BAAAPAAAAAAAAAAEAIAAAACIAAABk&#10;cnMvZG93bnJldi54bWxQSwECFAAUAAAACACHTuJAB3TShQQCAAA3BAAADgAAAAAAAAABACAAAAAp&#10;AQAAZHJzL2Uyb0RvYy54bWxQSwUGAAAAAAYABgBZAQAAnwUAAAAA&#10;">
                <v:fill on="t" focussize="0,0"/>
                <v:stroke color="#FFFFFF" joinstyle="miter"/>
                <v:imagedata o:title=""/>
                <o:lock v:ext="edit" aspectratio="f"/>
                <v:textbox>
                  <w:txbxContent>
                    <w:p/>
                  </w:txbxContent>
                </v:textbox>
              </v:shape>
            </w:pict>
          </mc:Fallback>
        </mc:AlternateContent>
      </w:r>
      <w:r>
        <w:rPr>
          <w:rFonts w:hint="eastAsia" w:ascii="方正小标宋简体" w:hAnsi="宋体" w:eastAsia="方正小标宋简体" w:cs="宋体"/>
          <w:color w:val="000000"/>
          <w:sz w:val="40"/>
          <w:szCs w:val="40"/>
        </w:rPr>
        <w:t>律师审查涉外贸易合同业务操作指引</w:t>
      </w:r>
    </w:p>
    <w:p>
      <w:pPr>
        <w:keepNext w:val="0"/>
        <w:keepLines w:val="0"/>
        <w:pageBreakBefore w:val="0"/>
        <w:widowControl w:val="0"/>
        <w:wordWrap/>
        <w:autoSpaceDE w:val="0"/>
        <w:autoSpaceDN w:val="0"/>
        <w:bidi w:val="0"/>
        <w:spacing w:after="0" w:line="500" w:lineRule="exact"/>
        <w:ind w:firstLine="522" w:firstLineChars="200"/>
        <w:rPr>
          <w:rFonts w:hint="eastAsia" w:ascii="仿宋" w:hAnsi="仿宋" w:eastAsia="仿宋" w:cs="仿宋"/>
          <w:color w:val="000000"/>
          <w:sz w:val="28"/>
          <w:szCs w:val="28"/>
        </w:rPr>
      </w:pPr>
    </w:p>
    <w:p>
      <w:pPr>
        <w:keepNext w:val="0"/>
        <w:keepLines w:val="0"/>
        <w:pageBreakBefore w:val="0"/>
        <w:widowControl w:val="0"/>
        <w:wordWrap/>
        <w:autoSpaceDE w:val="0"/>
        <w:autoSpaceDN w:val="0"/>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为指导本省律师从事涉外贸易（实体货物类，不包括技术及服务）合同审查业务，保证工作质量，规避执业风险，特制订本指引供律师从事涉外法律服务过程中参考。</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黑体" w:hAnsi="黑体" w:eastAsia="黑体" w:cs="黑体"/>
          <w:bCs/>
          <w:color w:val="000000"/>
          <w:sz w:val="28"/>
          <w:szCs w:val="28"/>
        </w:rPr>
      </w:pPr>
      <w:r>
        <w:rPr>
          <w:rFonts w:hint="eastAsia" w:ascii="黑体" w:hAnsi="黑体" w:eastAsia="黑体" w:cs="黑体"/>
          <w:bCs/>
          <w:color w:val="000000"/>
          <w:sz w:val="28"/>
          <w:szCs w:val="28"/>
        </w:rPr>
        <w:t>一、定义</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楷体" w:hAnsi="楷体" w:eastAsia="楷体" w:cs="仿宋"/>
          <w:b/>
          <w:color w:val="000000"/>
          <w:sz w:val="28"/>
          <w:szCs w:val="28"/>
        </w:rPr>
      </w:pPr>
      <w:r>
        <w:rPr>
          <w:rFonts w:hint="eastAsia" w:ascii="楷体" w:hAnsi="楷体" w:eastAsia="楷体" w:cs="仿宋"/>
          <w:b/>
          <w:color w:val="000000"/>
          <w:sz w:val="28"/>
          <w:szCs w:val="28"/>
        </w:rPr>
        <w:t>（一）涉外贸易合同定义</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涉外贸易合同是指为中国企业与国外或中国港澳台地区买卖货物的合同，有口头和书面两种形式，律师应建议委托人签订正式书面合同。涉外贸易合同没有固定的文本格式，国际商会发布的《国际商会国际销售示范合同》具有较强的示范性。</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楷体" w:hAnsi="楷体" w:eastAsia="楷体" w:cs="仿宋"/>
          <w:b/>
          <w:color w:val="000000"/>
          <w:sz w:val="28"/>
          <w:szCs w:val="28"/>
        </w:rPr>
      </w:pPr>
      <w:r>
        <w:rPr>
          <w:rFonts w:hint="eastAsia" w:ascii="楷体" w:hAnsi="楷体" w:eastAsia="楷体" w:cs="仿宋"/>
          <w:b/>
          <w:color w:val="000000"/>
          <w:sz w:val="28"/>
          <w:szCs w:val="28"/>
        </w:rPr>
        <w:t>（二）合同内容</w:t>
      </w:r>
    </w:p>
    <w:p>
      <w:pPr>
        <w:pStyle w:val="14"/>
        <w:keepNext w:val="0"/>
        <w:keepLines w:val="0"/>
        <w:pageBreakBefore w:val="0"/>
        <w:widowControl w:val="0"/>
        <w:numPr>
          <w:ilvl w:val="0"/>
          <w:numId w:val="67"/>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买方和卖方：包括各方的完整名称、注册地址、营业执照号码、法人代表或有权代表的姓名、电话、传真、电子邮箱等信息；</w:t>
      </w:r>
    </w:p>
    <w:p>
      <w:pPr>
        <w:pStyle w:val="14"/>
        <w:keepNext w:val="0"/>
        <w:keepLines w:val="0"/>
        <w:pageBreakBefore w:val="0"/>
        <w:widowControl w:val="0"/>
        <w:numPr>
          <w:ilvl w:val="0"/>
          <w:numId w:val="67"/>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货物：货物品名、质量、规格、数量、包装和产地等信息；</w:t>
      </w:r>
    </w:p>
    <w:p>
      <w:pPr>
        <w:pStyle w:val="14"/>
        <w:keepNext w:val="0"/>
        <w:keepLines w:val="0"/>
        <w:pageBreakBefore w:val="0"/>
        <w:widowControl w:val="0"/>
        <w:numPr>
          <w:ilvl w:val="0"/>
          <w:numId w:val="67"/>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价格：币种、单价和总价等；</w:t>
      </w:r>
    </w:p>
    <w:p>
      <w:pPr>
        <w:pStyle w:val="14"/>
        <w:keepNext w:val="0"/>
        <w:keepLines w:val="0"/>
        <w:pageBreakBefore w:val="0"/>
        <w:widowControl w:val="0"/>
        <w:numPr>
          <w:ilvl w:val="0"/>
          <w:numId w:val="67"/>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价格术语：术语种类和该术语所适用的规则名称；</w:t>
      </w:r>
    </w:p>
    <w:p>
      <w:pPr>
        <w:pStyle w:val="14"/>
        <w:keepNext w:val="0"/>
        <w:keepLines w:val="0"/>
        <w:pageBreakBefore w:val="0"/>
        <w:widowControl w:val="0"/>
        <w:numPr>
          <w:ilvl w:val="0"/>
          <w:numId w:val="67"/>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交货安排：交货日期和地点；</w:t>
      </w:r>
    </w:p>
    <w:p>
      <w:pPr>
        <w:pStyle w:val="14"/>
        <w:keepNext w:val="0"/>
        <w:keepLines w:val="0"/>
        <w:pageBreakBefore w:val="0"/>
        <w:widowControl w:val="0"/>
        <w:numPr>
          <w:ilvl w:val="0"/>
          <w:numId w:val="67"/>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货物检验安排；</w:t>
      </w:r>
    </w:p>
    <w:p>
      <w:pPr>
        <w:pStyle w:val="14"/>
        <w:keepNext w:val="0"/>
        <w:keepLines w:val="0"/>
        <w:pageBreakBefore w:val="0"/>
        <w:widowControl w:val="0"/>
        <w:numPr>
          <w:ilvl w:val="0"/>
          <w:numId w:val="67"/>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付款条件；</w:t>
      </w:r>
    </w:p>
    <w:p>
      <w:pPr>
        <w:pStyle w:val="14"/>
        <w:keepNext w:val="0"/>
        <w:keepLines w:val="0"/>
        <w:pageBreakBefore w:val="0"/>
        <w:widowControl w:val="0"/>
        <w:numPr>
          <w:ilvl w:val="0"/>
          <w:numId w:val="67"/>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单证要求；</w:t>
      </w:r>
    </w:p>
    <w:p>
      <w:pPr>
        <w:pStyle w:val="14"/>
        <w:keepNext w:val="0"/>
        <w:keepLines w:val="0"/>
        <w:pageBreakBefore w:val="0"/>
        <w:widowControl w:val="0"/>
        <w:numPr>
          <w:ilvl w:val="0"/>
          <w:numId w:val="67"/>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所有权移转；</w:t>
      </w:r>
    </w:p>
    <w:p>
      <w:pPr>
        <w:pStyle w:val="14"/>
        <w:keepNext w:val="0"/>
        <w:keepLines w:val="0"/>
        <w:pageBreakBefore w:val="0"/>
        <w:widowControl w:val="0"/>
        <w:numPr>
          <w:ilvl w:val="0"/>
          <w:numId w:val="67"/>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合同解释和争议适用法律和管辖条款；</w:t>
      </w:r>
    </w:p>
    <w:p>
      <w:pPr>
        <w:pStyle w:val="14"/>
        <w:keepNext w:val="0"/>
        <w:keepLines w:val="0"/>
        <w:pageBreakBefore w:val="0"/>
        <w:widowControl w:val="0"/>
        <w:numPr>
          <w:ilvl w:val="0"/>
          <w:numId w:val="67"/>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其他约定，如外包禁止。</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楷体" w:hAnsi="楷体" w:eastAsia="楷体" w:cs="仿宋"/>
          <w:b/>
          <w:color w:val="000000"/>
          <w:sz w:val="28"/>
          <w:szCs w:val="28"/>
        </w:rPr>
      </w:pPr>
      <w:r>
        <w:rPr>
          <w:rFonts w:hint="eastAsia" w:ascii="楷体" w:hAnsi="楷体" w:eastAsia="楷体" w:cs="仿宋"/>
          <w:b/>
          <w:color w:val="000000"/>
          <w:sz w:val="28"/>
          <w:szCs w:val="28"/>
        </w:rPr>
        <w:t>（三）涉外法律关系认定</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1.如果合同不具有涉外因素，当事人不得约定选择境外法院管辖，或将该合同或者财产权益纠纷提请外国仲裁机构仲裁或者在外国进行临时仲裁；当事人亦不得选择处理合同争议所适用的法律。</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2.认定涉外的法律标准</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（1）当事人一方或者双方是外国人、港澳台籍人、无国籍人、外国企业或者组织的；当事人一方或者双方的经常居所地在中华人民共和国领域外的；</w:t>
      </w:r>
    </w:p>
    <w:p>
      <w:pPr>
        <w:keepNext w:val="0"/>
        <w:keepLines w:val="0"/>
        <w:pageBreakBefore w:val="0"/>
        <w:widowControl w:val="0"/>
        <w:wordWrap/>
        <w:autoSpaceDE w:val="0"/>
        <w:autoSpaceDN w:val="0"/>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（2）标的物在中华人民共和国领域外的；</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（3）产生、变更或者消灭民事关系的法律事实发生在中华人民共和国领域外的；</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（4）可以认定为涉外民事案件的其他情形。</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实务中对自然人国籍或其经常居所地的认定争议较少。对外国企业或组织的国籍认定，中国采准据法主义，以依据哪国法律、在哪国登记为准确定其国籍。依据中国法成立、在中国境内登记的企业或者组织，即使其股东包含外国公司或自然人，该外资企业被认为是中国法人，该主体不具有涉外性。</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Style w:val="18"/>
          <w:rFonts w:hint="eastAsia" w:ascii="仿宋_GB2312" w:hAnsi="仿宋" w:eastAsia="仿宋_GB2312" w:cs="仿宋"/>
          <w:b w:val="0"/>
          <w:bCs w:val="0"/>
          <w:color w:val="000000"/>
          <w:sz w:val="28"/>
          <w:szCs w:val="28"/>
        </w:rPr>
      </w:pPr>
      <w:r>
        <w:rPr>
          <w:rFonts w:hint="eastAsia" w:ascii="仿宋_GB2312" w:hAnsi="仿宋" w:eastAsia="仿宋_GB2312" w:cs="仿宋"/>
          <w:color w:val="000000"/>
          <w:sz w:val="28"/>
          <w:szCs w:val="28"/>
        </w:rPr>
        <w:t>4.标的物是合同权利义务指向的对象。实务中对标的物是否存在、如有标的物则是否位于中国领域外争议不大。</w:t>
      </w:r>
      <w:r>
        <w:rPr>
          <w:rStyle w:val="18"/>
          <w:rFonts w:hint="eastAsia" w:ascii="仿宋_GB2312" w:hAnsi="仿宋" w:eastAsia="仿宋_GB2312" w:cs="仿宋"/>
          <w:b w:val="0"/>
          <w:bCs w:val="0"/>
          <w:color w:val="000000"/>
          <w:sz w:val="28"/>
          <w:szCs w:val="28"/>
        </w:rPr>
        <w:t>但如合同履行地在保税区，合同标的物未清关，合同具有涉外因素；境内企业之间的争议，与双方在境外投资的股权相关，部分标的物在境外，该争议具有涉外因素；标的物为软件程序，其运行平台在境外，不能视为标的物在境外。</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Style w:val="18"/>
          <w:rFonts w:hint="eastAsia" w:ascii="仿宋_GB2312" w:hAnsi="仿宋" w:eastAsia="仿宋_GB2312" w:cs="仿宋"/>
          <w:b w:val="0"/>
          <w:bCs w:val="0"/>
          <w:color w:val="000000"/>
          <w:sz w:val="28"/>
          <w:szCs w:val="28"/>
        </w:rPr>
        <w:t>5.关联合同“涉外”，基于合同的相对性原则，其涉外因素通常不会影响诉争本合同涉外属性的认定。连环转让债权，一个转让合同具有涉外因素不影响其余转让合同涉外属性的认定；主合同附件所附之担保及保修合同具有涉外因素，不影响主合同涉外属性的认定。</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6.可以认定为涉外民事案件的其他情形包括</w:t>
      </w:r>
      <w:r>
        <w:rPr>
          <w:rStyle w:val="18"/>
          <w:rFonts w:hint="eastAsia" w:ascii="仿宋_GB2312" w:hAnsi="仿宋" w:eastAsia="仿宋_GB2312" w:cs="仿宋"/>
          <w:b w:val="0"/>
          <w:bCs w:val="0"/>
          <w:color w:val="000000"/>
          <w:sz w:val="28"/>
          <w:szCs w:val="28"/>
        </w:rPr>
        <w:t>在我国自贸试验区内所设外商投资企业之间签署的合同，中国企业的海外分公司签署的合同。</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黑体" w:hAnsi="黑体" w:eastAsia="黑体" w:cs="黑体"/>
          <w:bCs/>
          <w:color w:val="000000"/>
          <w:sz w:val="28"/>
          <w:szCs w:val="28"/>
        </w:rPr>
      </w:pPr>
      <w:r>
        <w:rPr>
          <w:rFonts w:hint="eastAsia" w:ascii="黑体" w:hAnsi="黑体" w:eastAsia="黑体" w:cs="黑体"/>
          <w:bCs/>
          <w:color w:val="000000"/>
          <w:sz w:val="28"/>
          <w:szCs w:val="28"/>
        </w:rPr>
        <w:t>二、审查的一般原则</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仿宋_GB2312" w:hAnsi="仿宋" w:eastAsia="仿宋_GB2312" w:cs="仿宋"/>
          <w:bCs/>
          <w:color w:val="000000"/>
          <w:sz w:val="28"/>
          <w:szCs w:val="28"/>
        </w:rPr>
      </w:pPr>
      <w:r>
        <w:rPr>
          <w:rFonts w:hint="eastAsia" w:ascii="仿宋_GB2312" w:hAnsi="仿宋" w:eastAsia="仿宋_GB2312" w:cs="仿宋"/>
          <w:bCs/>
          <w:color w:val="000000"/>
          <w:sz w:val="28"/>
          <w:szCs w:val="28"/>
        </w:rPr>
        <w:t>（一）律师在审查前应当确认待审查合同的文本语种，以其意思为准的为原本，其他语种为译本。律师需确认委托人对合同原本和/或译本进行审查的要求，如需对译本进行审查，需确认译本来源以判断风险。</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仿宋_GB2312" w:hAnsi="仿宋" w:eastAsia="仿宋_GB2312" w:cs="仿宋"/>
          <w:bCs/>
          <w:color w:val="000000"/>
          <w:sz w:val="28"/>
          <w:szCs w:val="28"/>
        </w:rPr>
      </w:pPr>
      <w:r>
        <w:rPr>
          <w:rFonts w:hint="eastAsia" w:ascii="仿宋_GB2312" w:hAnsi="仿宋" w:eastAsia="仿宋_GB2312" w:cs="仿宋"/>
          <w:bCs/>
          <w:color w:val="000000"/>
          <w:sz w:val="28"/>
          <w:szCs w:val="28"/>
        </w:rPr>
        <w:t>（二）律师在审查合同时应当注意合同所涉国别的法律、法规、判例（司法解释）、地方性（州、郡）法规等的相关规定。</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仿宋_GB2312" w:hAnsi="仿宋" w:eastAsia="仿宋_GB2312" w:cs="仿宋"/>
          <w:bCs/>
          <w:color w:val="000000"/>
          <w:sz w:val="28"/>
          <w:szCs w:val="28"/>
        </w:rPr>
      </w:pPr>
      <w:r>
        <w:rPr>
          <w:rFonts w:hint="eastAsia" w:ascii="仿宋_GB2312" w:hAnsi="仿宋" w:eastAsia="仿宋_GB2312" w:cs="仿宋"/>
          <w:bCs/>
          <w:color w:val="000000"/>
          <w:sz w:val="28"/>
          <w:szCs w:val="28"/>
        </w:rPr>
        <w:t>（三）律师必须充分注意，合同的内容及实际履行等如与前述规范存在冲突，虽然未必导致合同无效但有可能导致合同当事人承担不利的后果。</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仿宋_GB2312" w:hAnsi="仿宋" w:eastAsia="仿宋_GB2312" w:cs="仿宋"/>
          <w:bCs/>
          <w:color w:val="000000"/>
          <w:sz w:val="28"/>
          <w:szCs w:val="28"/>
        </w:rPr>
      </w:pPr>
      <w:r>
        <w:rPr>
          <w:rFonts w:hint="eastAsia" w:ascii="仿宋_GB2312" w:hAnsi="仿宋" w:eastAsia="仿宋_GB2312" w:cs="仿宋"/>
          <w:bCs/>
          <w:color w:val="000000"/>
          <w:sz w:val="28"/>
          <w:szCs w:val="28"/>
        </w:rPr>
        <w:t>（四）律师在合同审查过程中应勤勉尽责，努力发现并提示委托人合同中所存在的各类风险及不利条款，特别是有可能加重委托人责任、可能导致合同无效或部分无效、因约定不明有可能产生重大争议的条款。</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仿宋_GB2312" w:hAnsi="仿宋" w:eastAsia="仿宋_GB2312" w:cs="仿宋"/>
          <w:bCs/>
          <w:color w:val="000000"/>
          <w:sz w:val="28"/>
          <w:szCs w:val="28"/>
        </w:rPr>
      </w:pPr>
      <w:r>
        <w:rPr>
          <w:rFonts w:hint="eastAsia" w:ascii="仿宋_GB2312" w:hAnsi="仿宋" w:eastAsia="仿宋_GB2312" w:cs="仿宋"/>
          <w:bCs/>
          <w:color w:val="000000"/>
          <w:sz w:val="28"/>
          <w:szCs w:val="28"/>
        </w:rPr>
        <w:t>（五）律师审查合同的工作范围包括但并不仅限于合同条款本身，除既有条款外，还应充分注意根据合同性质或交易目的应予约定而未予约定的内容，或足以影响双方重大权益的其他条款约定不明、冲突等情况。</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仿宋_GB2312" w:hAnsi="仿宋" w:eastAsia="仿宋_GB2312" w:cs="仿宋"/>
          <w:bCs/>
          <w:color w:val="000000"/>
          <w:sz w:val="28"/>
          <w:szCs w:val="28"/>
        </w:rPr>
      </w:pPr>
      <w:r>
        <w:rPr>
          <w:rFonts w:hint="eastAsia" w:ascii="仿宋_GB2312" w:hAnsi="仿宋" w:eastAsia="仿宋_GB2312" w:cs="仿宋"/>
          <w:bCs/>
          <w:color w:val="000000"/>
          <w:sz w:val="28"/>
          <w:szCs w:val="28"/>
        </w:rPr>
        <w:t>（六）除标的、价格、质量标准、数量、履行期限等商务条款应提醒委托人其中影响民事责任后果的约定外，还需注意汇率波动、政局稳定、监管倾向、流行性传染病防控等足以影响合同签订及履行的风险。</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仿宋_GB2312" w:hAnsi="仿宋" w:eastAsia="仿宋_GB2312" w:cs="仿宋"/>
          <w:bCs/>
          <w:color w:val="000000"/>
          <w:sz w:val="28"/>
          <w:szCs w:val="28"/>
        </w:rPr>
      </w:pPr>
      <w:r>
        <w:rPr>
          <w:rFonts w:hint="eastAsia" w:ascii="仿宋_GB2312" w:hAnsi="仿宋" w:eastAsia="仿宋_GB2312" w:cs="仿宋"/>
          <w:bCs/>
          <w:color w:val="000000"/>
          <w:sz w:val="28"/>
          <w:szCs w:val="28"/>
        </w:rPr>
        <w:t>（七）合同审查前需要了解相关交易，除非系向委托人提供专项合同审查服务或委托人另有要求，一般情况下律师仅对合同来稿进行审查，不负责审查交易本身的真实性或进行专项调查，但可以提醒当事人注意相关问题。</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黑体" w:hAnsi="黑体" w:eastAsia="黑体" w:cs="黑体"/>
          <w:bCs/>
          <w:color w:val="000000"/>
          <w:sz w:val="28"/>
          <w:szCs w:val="28"/>
        </w:rPr>
      </w:pPr>
      <w:r>
        <w:rPr>
          <w:rFonts w:hint="eastAsia" w:ascii="黑体" w:hAnsi="黑体" w:eastAsia="黑体" w:cs="黑体"/>
          <w:bCs/>
          <w:color w:val="000000"/>
          <w:sz w:val="28"/>
          <w:szCs w:val="28"/>
        </w:rPr>
        <w:t>三、常见专业术语（英文为例）</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楷体" w:hAnsi="楷体" w:eastAsia="楷体" w:cs="仿宋"/>
          <w:b/>
          <w:color w:val="000000"/>
          <w:sz w:val="28"/>
          <w:szCs w:val="28"/>
        </w:rPr>
      </w:pPr>
      <w:r>
        <w:rPr>
          <w:rFonts w:hint="eastAsia" w:ascii="楷体" w:hAnsi="楷体" w:eastAsia="楷体" w:cs="仿宋"/>
          <w:b/>
          <w:color w:val="000000"/>
          <w:sz w:val="28"/>
          <w:szCs w:val="28"/>
        </w:rPr>
        <w:t>（一）基本用语</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1.首部：买方 buyer、卖方 seller、项目名称 Project name、地址 address、电话 phone、传真 fax、联系人 contact person、本合同由买卖双方签订，根据本合同条款，买方同意购买，卖方同意出售以下产品。This contract is made by and between the buyers and sellers, whereby the buyers agree to buy and the sellers agree to sell the under-mentioned. Commodities according to the terms and conditions stipulated below.</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2.中部：详细货物清单 Detail supply list、合同价格 Contract value、序号 item、型号 model、尺寸 size, dimension、数量 amount, unit、单价 unit price、总价 total price、备注 remark、货物 goods、运费 freight, transportation、合同总额（含安装费与税金） Contract amount incl. VAT、付款条件 payment conditions, payment terms、交货地点 deliveryplace、发货期 deliverytime、安装条款 installation clause、验收条款 inspection clause、保证条款guarantee clause、不可抗拒条款 force majeure clause、违约条款 breach clause、其他条款 miscellaneous clause、买卖双方信息 buyer and seller information.</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楷体" w:hAnsi="楷体" w:eastAsia="楷体" w:cs="仿宋"/>
          <w:b/>
          <w:color w:val="000000"/>
          <w:sz w:val="28"/>
          <w:szCs w:val="28"/>
        </w:rPr>
      </w:pPr>
      <w:r>
        <w:rPr>
          <w:rFonts w:hint="eastAsia" w:ascii="楷体" w:hAnsi="楷体" w:eastAsia="楷体" w:cs="仿宋"/>
          <w:b/>
          <w:color w:val="000000"/>
          <w:sz w:val="28"/>
          <w:szCs w:val="28"/>
        </w:rPr>
        <w:t>（二）合同格式</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涉外合同按繁简不同，尽管可以采取不同书面形式，如正式合同 Contract、协议书 Agreement、确认书 Confirmation、备忘录 Memorandum、订单 Order等等，但是一般都包含如下几个部分：</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1.合同名称 Title</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2.前文 Preamble</w:t>
      </w:r>
    </w:p>
    <w:p>
      <w:pPr>
        <w:pStyle w:val="25"/>
        <w:keepNext w:val="0"/>
        <w:keepLines w:val="0"/>
        <w:pageBreakBefore w:val="0"/>
        <w:widowControl w:val="0"/>
        <w:numPr>
          <w:ilvl w:val="0"/>
          <w:numId w:val="68"/>
        </w:numPr>
        <w:tabs>
          <w:tab w:val="left" w:pos="2160"/>
        </w:tabs>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订约日期和地点 Date and place of signing</w:t>
      </w:r>
    </w:p>
    <w:p>
      <w:pPr>
        <w:pStyle w:val="25"/>
        <w:keepNext w:val="0"/>
        <w:keepLines w:val="0"/>
        <w:pageBreakBefore w:val="0"/>
        <w:widowControl w:val="0"/>
        <w:numPr>
          <w:ilvl w:val="0"/>
          <w:numId w:val="68"/>
        </w:numPr>
        <w:tabs>
          <w:tab w:val="left" w:pos="2160"/>
        </w:tabs>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合同当事人及其国籍、主营业所或住所 Signing parties and their nationalities, principal place of business or residence addresses</w:t>
      </w:r>
    </w:p>
    <w:p>
      <w:pPr>
        <w:pStyle w:val="25"/>
        <w:keepNext w:val="0"/>
        <w:keepLines w:val="0"/>
        <w:pageBreakBefore w:val="0"/>
        <w:widowControl w:val="0"/>
        <w:numPr>
          <w:ilvl w:val="0"/>
          <w:numId w:val="68"/>
        </w:numPr>
        <w:tabs>
          <w:tab w:val="left" w:pos="2160"/>
        </w:tabs>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当事人合法依据 Each party's authority，比如，该公司是“按当地法律正式组织而存在的” a corporation duly organized and existing under the laws of XXX</w:t>
      </w:r>
    </w:p>
    <w:p>
      <w:pPr>
        <w:pStyle w:val="25"/>
        <w:keepNext w:val="0"/>
        <w:keepLines w:val="0"/>
        <w:pageBreakBefore w:val="0"/>
        <w:widowControl w:val="0"/>
        <w:numPr>
          <w:ilvl w:val="0"/>
          <w:numId w:val="68"/>
        </w:numPr>
        <w:tabs>
          <w:tab w:val="left" w:pos="2160"/>
        </w:tabs>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订约缘由/说明条款 Recitals or Whereas clause</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3.本文 Body</w:t>
      </w:r>
    </w:p>
    <w:p>
      <w:pPr>
        <w:pStyle w:val="25"/>
        <w:keepNext w:val="0"/>
        <w:keepLines w:val="0"/>
        <w:pageBreakBefore w:val="0"/>
        <w:widowControl w:val="0"/>
        <w:numPr>
          <w:ilvl w:val="0"/>
          <w:numId w:val="69"/>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定义条款 Definition clause</w:t>
      </w:r>
    </w:p>
    <w:p>
      <w:pPr>
        <w:pStyle w:val="25"/>
        <w:keepNext w:val="0"/>
        <w:keepLines w:val="0"/>
        <w:pageBreakBefore w:val="0"/>
        <w:widowControl w:val="0"/>
        <w:numPr>
          <w:ilvl w:val="0"/>
          <w:numId w:val="69"/>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基本条款 Basic conditions</w:t>
      </w:r>
    </w:p>
    <w:p>
      <w:pPr>
        <w:pStyle w:val="25"/>
        <w:keepNext w:val="0"/>
        <w:keepLines w:val="0"/>
        <w:pageBreakBefore w:val="0"/>
        <w:widowControl w:val="0"/>
        <w:numPr>
          <w:ilvl w:val="0"/>
          <w:numId w:val="69"/>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一般条款 General terms and conditions</w:t>
      </w:r>
    </w:p>
    <w:p>
      <w:pPr>
        <w:pStyle w:val="25"/>
        <w:keepNext w:val="0"/>
        <w:keepLines w:val="0"/>
        <w:pageBreakBefore w:val="0"/>
        <w:widowControl w:val="0"/>
        <w:numPr>
          <w:ilvl w:val="0"/>
          <w:numId w:val="69"/>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合同有效期 Duration</w:t>
      </w:r>
    </w:p>
    <w:p>
      <w:pPr>
        <w:pStyle w:val="25"/>
        <w:keepNext w:val="0"/>
        <w:keepLines w:val="0"/>
        <w:pageBreakBefore w:val="0"/>
        <w:widowControl w:val="0"/>
        <w:numPr>
          <w:ilvl w:val="0"/>
          <w:numId w:val="69"/>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合同的终止 Termination</w:t>
      </w:r>
    </w:p>
    <w:p>
      <w:pPr>
        <w:pStyle w:val="25"/>
        <w:keepNext w:val="0"/>
        <w:keepLines w:val="0"/>
        <w:pageBreakBefore w:val="0"/>
        <w:widowControl w:val="0"/>
        <w:numPr>
          <w:ilvl w:val="0"/>
          <w:numId w:val="69"/>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不可抗力 Force Majeure</w:t>
      </w:r>
    </w:p>
    <w:p>
      <w:pPr>
        <w:pStyle w:val="25"/>
        <w:keepNext w:val="0"/>
        <w:keepLines w:val="0"/>
        <w:pageBreakBefore w:val="0"/>
        <w:widowControl w:val="0"/>
        <w:numPr>
          <w:ilvl w:val="0"/>
          <w:numId w:val="69"/>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合同的让与 Assignment</w:t>
      </w:r>
    </w:p>
    <w:p>
      <w:pPr>
        <w:pStyle w:val="25"/>
        <w:keepNext w:val="0"/>
        <w:keepLines w:val="0"/>
        <w:pageBreakBefore w:val="0"/>
        <w:widowControl w:val="0"/>
        <w:numPr>
          <w:ilvl w:val="0"/>
          <w:numId w:val="69"/>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仲裁 Arbitration</w:t>
      </w:r>
    </w:p>
    <w:p>
      <w:pPr>
        <w:pStyle w:val="25"/>
        <w:keepNext w:val="0"/>
        <w:keepLines w:val="0"/>
        <w:pageBreakBefore w:val="0"/>
        <w:widowControl w:val="0"/>
        <w:numPr>
          <w:ilvl w:val="0"/>
          <w:numId w:val="69"/>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适用的法律 Governing law</w:t>
      </w:r>
    </w:p>
    <w:p>
      <w:pPr>
        <w:pStyle w:val="25"/>
        <w:keepNext w:val="0"/>
        <w:keepLines w:val="0"/>
        <w:pageBreakBefore w:val="0"/>
        <w:widowControl w:val="0"/>
        <w:numPr>
          <w:ilvl w:val="0"/>
          <w:numId w:val="69"/>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诉讼管辖 Jurisdiction</w:t>
      </w:r>
    </w:p>
    <w:p>
      <w:pPr>
        <w:pStyle w:val="25"/>
        <w:keepNext w:val="0"/>
        <w:keepLines w:val="0"/>
        <w:pageBreakBefore w:val="0"/>
        <w:widowControl w:val="0"/>
        <w:numPr>
          <w:ilvl w:val="0"/>
          <w:numId w:val="69"/>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通知手续 Notice</w:t>
      </w:r>
    </w:p>
    <w:p>
      <w:pPr>
        <w:pStyle w:val="25"/>
        <w:keepNext w:val="0"/>
        <w:keepLines w:val="0"/>
        <w:pageBreakBefore w:val="0"/>
        <w:widowControl w:val="0"/>
        <w:numPr>
          <w:ilvl w:val="0"/>
          <w:numId w:val="69"/>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合同修改 Amendment</w:t>
      </w:r>
    </w:p>
    <w:p>
      <w:pPr>
        <w:pStyle w:val="25"/>
        <w:keepNext w:val="0"/>
        <w:keepLines w:val="0"/>
        <w:pageBreakBefore w:val="0"/>
        <w:widowControl w:val="0"/>
        <w:numPr>
          <w:ilvl w:val="0"/>
          <w:numId w:val="69"/>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其它 Others</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4.结尾条款 Witness clause</w:t>
      </w:r>
    </w:p>
    <w:p>
      <w:pPr>
        <w:pStyle w:val="25"/>
        <w:keepNext w:val="0"/>
        <w:keepLines w:val="0"/>
        <w:pageBreakBefore w:val="0"/>
        <w:widowControl w:val="0"/>
        <w:numPr>
          <w:ilvl w:val="0"/>
          <w:numId w:val="70"/>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结尾语，包括份数、使用的文字和效力等（Concluding sentence）</w:t>
      </w:r>
    </w:p>
    <w:p>
      <w:pPr>
        <w:pStyle w:val="25"/>
        <w:keepNext w:val="0"/>
        <w:keepLines w:val="0"/>
        <w:pageBreakBefore w:val="0"/>
        <w:widowControl w:val="0"/>
        <w:numPr>
          <w:ilvl w:val="0"/>
          <w:numId w:val="70"/>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签名（Signature）</w:t>
      </w:r>
    </w:p>
    <w:p>
      <w:pPr>
        <w:pStyle w:val="25"/>
        <w:keepNext w:val="0"/>
        <w:keepLines w:val="0"/>
        <w:pageBreakBefore w:val="0"/>
        <w:widowControl w:val="0"/>
        <w:numPr>
          <w:ilvl w:val="0"/>
          <w:numId w:val="70"/>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盖印（Seal）</w:t>
      </w:r>
    </w:p>
    <w:p>
      <w:pPr>
        <w:pStyle w:val="25"/>
        <w:keepNext w:val="0"/>
        <w:keepLines w:val="0"/>
        <w:pageBreakBefore w:val="0"/>
        <w:widowControl w:val="0"/>
        <w:numPr>
          <w:ilvl w:val="0"/>
          <w:numId w:val="70"/>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以上的格式和内容并非一成不变，当事人可以根据各自交易情况做出调整或增删。</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楷体" w:hAnsi="楷体" w:eastAsia="楷体" w:cs="仿宋"/>
          <w:b/>
          <w:color w:val="000000"/>
          <w:sz w:val="28"/>
          <w:szCs w:val="28"/>
        </w:rPr>
      </w:pPr>
      <w:r>
        <w:rPr>
          <w:rFonts w:hint="eastAsia" w:ascii="楷体" w:hAnsi="楷体" w:eastAsia="楷体" w:cs="仿宋"/>
          <w:b/>
          <w:color w:val="000000"/>
          <w:sz w:val="28"/>
          <w:szCs w:val="28"/>
        </w:rPr>
        <w:t>（三）合同类别及效力名称</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1.Bilateral Contract 双务合同，是指基于一个行为和承诺而成立的合同；Unilateral Contract 单务合同，是指基于一个行为而成立的合同。</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2.Void Contract 无效合同，Voidable Contract 可撤销合同，Unenforceable Contract 不可履行合同。</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3.Offer and Promise 要约与承诺, Consideration 对价，Nonconforming Goods 不符合约定的货物或者瑕疵给付, Unconscionability 显失公平。</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（四）国际公约及惯例术语</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1.INCOTERMS 2020国际贸易术语是贸易惯例，只有通过国内立法或约定等方式，才能产生法律约束力，故合同中应列明术语适用依据。INCOTERMS 2020仅调整货物交付、手续办理、风险转移、费用风险等事项，无法穷尽合同的全部事项。为避免INCOTERMS 2020规定与合同条款发生冲突，应事先在合同中明确何种依据优先适用，建议以合同条款为优先。</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 CISG《联合国国际货物销售合同公约》，由联合国国际贸易法委员会主持制定，并于1988年1月1日正式生效。</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3.Commercial Invoice商业发票是卖方向买方开具的销售清单，内容一般包括出具人名称、收票人名称、发票号码、合同号码、开票日期、装运地点、唛头、货物名称、规格、价格、数量、总价等。</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4.Bill of Landing，缩写B/L，海运提单是承运人或者多式运输人出具的，用以证明海上货物运输合同货物已经由承运人接收或装船，以及承运人保证向指定收货人交付货物的凭证。</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5.Documents against payment，缩写D/P，付款交单是指卖方交付单据以买方付款为条件，即买方付款后才能向代收银行领取单据。</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6.Documents against Acceptance，缩写D/A，承兑交单是指买方向银行保证在多少天内会付款，银行依据该承诺给买方单据。 </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黑体" w:hAnsi="黑体" w:eastAsia="黑体" w:cs="黑体"/>
          <w:bCs/>
          <w:color w:val="000000"/>
          <w:sz w:val="28"/>
          <w:szCs w:val="28"/>
        </w:rPr>
      </w:pPr>
      <w:r>
        <w:rPr>
          <w:rFonts w:hint="eastAsia" w:ascii="黑体" w:hAnsi="黑体" w:eastAsia="黑体" w:cs="黑体"/>
          <w:bCs/>
          <w:color w:val="000000"/>
          <w:sz w:val="28"/>
          <w:szCs w:val="28"/>
        </w:rPr>
        <w:t>四、合同审查注意事项</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楷体" w:hAnsi="楷体" w:eastAsia="楷体" w:cs="仿宋"/>
          <w:b/>
          <w:color w:val="000000"/>
          <w:sz w:val="28"/>
          <w:szCs w:val="28"/>
        </w:rPr>
      </w:pPr>
      <w:r>
        <w:rPr>
          <w:rFonts w:hint="eastAsia" w:ascii="楷体" w:hAnsi="楷体" w:eastAsia="楷体" w:cs="仿宋"/>
          <w:b/>
          <w:color w:val="000000"/>
          <w:sz w:val="28"/>
          <w:szCs w:val="28"/>
        </w:rPr>
        <w:t>（一）合同目的审查</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合同目的一般约定在合同正文之前，明确合同目的最重要的作用在于一方当事人违约时，相对方可以依据合同目的请求赔偿预期利益，便于预期利益的主张和举证。合同目的应当具体明确。</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楷体" w:hAnsi="楷体" w:eastAsia="楷体" w:cs="仿宋"/>
          <w:b/>
          <w:color w:val="000000"/>
          <w:sz w:val="28"/>
          <w:szCs w:val="28"/>
        </w:rPr>
      </w:pPr>
      <w:r>
        <w:rPr>
          <w:rFonts w:hint="eastAsia" w:ascii="楷体" w:hAnsi="楷体" w:eastAsia="楷体" w:cs="仿宋"/>
          <w:b/>
          <w:color w:val="000000"/>
          <w:sz w:val="28"/>
          <w:szCs w:val="28"/>
        </w:rPr>
        <w:t>（二）合同内容的审查</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合同主体：签约双方的姓名、名称、住址一定要准确、清楚。企业或单位应与营业执照上的名称一致。同时审查签约对方的主体资格，通过相关信息公示系统了解签约对方的民事权利及行为能力、经济信用状况等，为避免履行风险提供有力保障。如未能通过公示渠道获取主体信息，应当要求委托人/合同相对方提供。</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合同签署：涉外合同常见的签署方式为传真或以电子邮件互相发送盖印章的扫描件等。这种情况下，主张合同成立的一方，对合同成立负有举证责任。律师应建议有条件的当事人，利用电子签名成立合同；没有条件的当事人，应该妥善保管双方的往来邮件，并在邮件主文中对于接收人、需要经办或确认的事项作出文字描述，而非将附件发送对方了事。</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3.边际审查：律师应当注意待审合同系单独文件或是多份关联文件中的某个部分，要求委托人确认是否可能对/受其他关联文件的影响。</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4.对价及履行</w:t>
      </w:r>
    </w:p>
    <w:p>
      <w:pPr>
        <w:pStyle w:val="25"/>
        <w:keepNext w:val="0"/>
        <w:keepLines w:val="0"/>
        <w:pageBreakBefore w:val="0"/>
        <w:widowControl w:val="0"/>
        <w:numPr>
          <w:ilvl w:val="0"/>
          <w:numId w:val="71"/>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合同履行的环节为：订立合同--准备货物--货物装运--结汇--收汇及核销。很多涉外贸易合同纠纷，都是双方约定不明所致。履行过程中，双方若对合同作出变更，应以书面形式确定，主张合同条款已变更的一方负有举证责任。</w:t>
      </w:r>
    </w:p>
    <w:p>
      <w:pPr>
        <w:pStyle w:val="25"/>
        <w:keepNext w:val="0"/>
        <w:keepLines w:val="0"/>
        <w:pageBreakBefore w:val="0"/>
        <w:widowControl w:val="0"/>
        <w:numPr>
          <w:ilvl w:val="0"/>
          <w:numId w:val="71"/>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货物审查：双方一定要明确约定货物的名称、品牌、规格、型号、数量、质量等详细内容。同时，要求卖方对货物的所有权及处分权作出保证或承诺，防止货物上存在权利瑕疵，如是否涉嫌侵犯他人的知识产权。货物的质量标准应在合同中明确列出，或至少约定以买方的验收合格的样品为标准，而非简单依据行业标准；以买方主观要求为标准的约定可以在发生质量纠纷时买方能够拥有主动权。</w:t>
      </w:r>
    </w:p>
    <w:p>
      <w:pPr>
        <w:pStyle w:val="25"/>
        <w:keepNext w:val="0"/>
        <w:keepLines w:val="0"/>
        <w:pageBreakBefore w:val="0"/>
        <w:widowControl w:val="0"/>
        <w:numPr>
          <w:ilvl w:val="0"/>
          <w:numId w:val="71"/>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货物交付：卖方须按照合同和公约的规定，交付货物，移交一切与货物有关的单据并转移货物所有权。CISG所指的交货包含了“交付货物+移交单据”两个环节，当卖方未交付运输单据等物权凭证前，卖方的交货义务并没有完成。买卖双方可明确规定交货日，也可限于某段期间内交货或规定在收到信用证或收到预付货款后若干天内装运，后两者便于卖方自由酌定交货日期。</w:t>
      </w:r>
    </w:p>
    <w:p>
      <w:pPr>
        <w:pStyle w:val="25"/>
        <w:keepNext w:val="0"/>
        <w:keepLines w:val="0"/>
        <w:pageBreakBefore w:val="0"/>
        <w:widowControl w:val="0"/>
        <w:numPr>
          <w:ilvl w:val="0"/>
          <w:numId w:val="71"/>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交货地点：卖方按照约定将货物交给买方或承运人的地点，通常包括装运港、装运地和目的港或目的地。交货地点与贸易术语互相关联，比如，在FCA术语项下，交货地点为买方指定承运人（所在处）。选择交货地点时，应考虑到该交货地点是否系我国政府不允许进行贸易往来的地区、目的地是否有重名、目的港是否可直达、是否必须经转运等情形，并对货物从出口地到进口地的运输方式等信息进行一定了解。 </w:t>
      </w:r>
    </w:p>
    <w:p>
      <w:pPr>
        <w:pStyle w:val="25"/>
        <w:keepNext w:val="0"/>
        <w:keepLines w:val="0"/>
        <w:pageBreakBefore w:val="0"/>
        <w:widowControl w:val="0"/>
        <w:numPr>
          <w:ilvl w:val="0"/>
          <w:numId w:val="71"/>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支付方式</w:t>
      </w:r>
    </w:p>
    <w:p>
      <w:pPr>
        <w:keepNext w:val="0"/>
        <w:keepLines w:val="0"/>
        <w:pageBreakBefore w:val="0"/>
        <w:widowControl w:val="0"/>
        <w:wordWrap/>
        <w:autoSpaceDE w:val="0"/>
        <w:autoSpaceDN w:val="0"/>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汇付：电汇、信汇、票汇 。</w:t>
      </w:r>
    </w:p>
    <w:p>
      <w:pPr>
        <w:keepNext w:val="0"/>
        <w:keepLines w:val="0"/>
        <w:pageBreakBefore w:val="0"/>
        <w:widowControl w:val="0"/>
        <w:wordWrap/>
        <w:autoSpaceDE w:val="0"/>
        <w:autoSpaceDN w:val="0"/>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托收：光票托收、跟单托收、信用证。</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5.合同解除</w:t>
      </w:r>
    </w:p>
    <w:p>
      <w:pPr>
        <w:pStyle w:val="25"/>
        <w:keepNext w:val="0"/>
        <w:keepLines w:val="0"/>
        <w:pageBreakBefore w:val="0"/>
        <w:widowControl w:val="0"/>
        <w:numPr>
          <w:ilvl w:val="0"/>
          <w:numId w:val="72"/>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合同解除是双方当事人或者一方当事人依照合同约定或法律规定，解除合同效力的行为。合同解除导致未履行部分的合同不再履行，而就已经履行的部分，当事人可以请求恢复原状、采取其他补救措施并请求损害赔偿或支付违约金。</w:t>
      </w:r>
    </w:p>
    <w:p>
      <w:pPr>
        <w:pStyle w:val="25"/>
        <w:keepNext w:val="0"/>
        <w:keepLines w:val="0"/>
        <w:pageBreakBefore w:val="0"/>
        <w:widowControl w:val="0"/>
        <w:numPr>
          <w:ilvl w:val="0"/>
          <w:numId w:val="72"/>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类型</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约定解除：当出现合同约定的解除情形时，一方当事人可以主张解除合同。</w:t>
      </w:r>
    </w:p>
    <w:p>
      <w:pPr>
        <w:keepNext w:val="0"/>
        <w:keepLines w:val="0"/>
        <w:pageBreakBefore w:val="0"/>
        <w:widowControl w:val="0"/>
        <w:wordWrap/>
        <w:autoSpaceDE w:val="0"/>
        <w:autoSpaceDN w:val="0"/>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合意解除：合同生效后，双方当事人可以协商一致解除合同。</w:t>
      </w:r>
    </w:p>
    <w:p>
      <w:pPr>
        <w:keepNext w:val="0"/>
        <w:keepLines w:val="0"/>
        <w:pageBreakBefore w:val="0"/>
        <w:widowControl w:val="0"/>
        <w:wordWrap/>
        <w:autoSpaceDE w:val="0"/>
        <w:autoSpaceDN w:val="0"/>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法定解除：法定的解除权条件成就时，享有解除权的一方可以主张解除合同。</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6.争议解决</w:t>
      </w:r>
    </w:p>
    <w:p>
      <w:pPr>
        <w:pStyle w:val="25"/>
        <w:keepNext w:val="0"/>
        <w:keepLines w:val="0"/>
        <w:pageBreakBefore w:val="0"/>
        <w:widowControl w:val="0"/>
        <w:numPr>
          <w:ilvl w:val="0"/>
          <w:numId w:val="73"/>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当事人可以协议选择合同履行适用的法律。当事人没有选择的，适用履行义务最能体现该合同特征的一方当事人经常居所地法律或者其他与该合同有最密切联系的法律。仲裁条款应包括：仲裁机构、仲裁地、仲裁规则、适用的法律、仲裁语言、仲裁庭的组成等一些基本内容。对于比较复杂的涉外贸易合同，可以专门签订仲裁协议，进一步约定开庭程序、证据规则等内容。 </w:t>
      </w:r>
    </w:p>
    <w:p>
      <w:pPr>
        <w:pStyle w:val="25"/>
        <w:keepNext w:val="0"/>
        <w:keepLines w:val="0"/>
        <w:pageBreakBefore w:val="0"/>
        <w:widowControl w:val="0"/>
        <w:numPr>
          <w:ilvl w:val="0"/>
          <w:numId w:val="73"/>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境外的仲裁费用较高，所以在选定仲裁机构时，应事先了解收费方式等细节，否则仲裁费用可能远远超过预期。从有利于卖方的角度而言，选定中国国内的仲裁机构为妥。</w:t>
      </w:r>
    </w:p>
    <w:p>
      <w:pPr>
        <w:pStyle w:val="25"/>
        <w:keepNext w:val="0"/>
        <w:keepLines w:val="0"/>
        <w:pageBreakBefore w:val="0"/>
        <w:widowControl w:val="0"/>
        <w:numPr>
          <w:ilvl w:val="0"/>
          <w:numId w:val="73"/>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除非仲裁地国家的法律另有相反规定，仲裁裁决一经作出，即发生法律效力。当事人可以向财产所在地法院申请执行。若向仲裁地国之外的外国法院申请执行，可适用《纽约公约》。</w:t>
      </w:r>
    </w:p>
    <w:p>
      <w:pPr>
        <w:pStyle w:val="25"/>
        <w:keepNext w:val="0"/>
        <w:keepLines w:val="0"/>
        <w:pageBreakBefore w:val="0"/>
        <w:widowControl w:val="0"/>
        <w:numPr>
          <w:ilvl w:val="0"/>
          <w:numId w:val="0"/>
        </w:numPr>
        <w:wordWrap/>
        <w:autoSpaceDE w:val="0"/>
        <w:autoSpaceDN w:val="0"/>
        <w:bidi w:val="0"/>
        <w:adjustRightInd w:val="0"/>
        <w:spacing w:line="500" w:lineRule="exact"/>
        <w:ind w:left="382" w:left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7.管辖争议法律适用</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（一）当事人没有选择仲裁机构适用法律的，适用仲裁机构所在地法律或者仲裁地法律。</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当事人没有选择涉外仲裁适用的法律，也没有约定仲裁机构或者仲裁地，或者约定不明的，律师可帮助当事人向中国法院申请适用中国法律认定该仲裁协议的效力。适用我国法律时，《仲裁法》要求有效的仲裁协议应当具备三个基本要素，即有仲裁的意思表示、有仲裁事项以及有选定的仲裁机构。三者缺一，均属无效仲裁条款，则有可能争取我国法院对相关争议的管辖权。</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Style w:val="18"/>
          <w:rFonts w:hint="eastAsia" w:ascii="仿宋_GB2312" w:hAnsi="仿宋" w:eastAsia="仿宋_GB2312" w:cs="仿宋"/>
          <w:b w:val="0"/>
          <w:bCs w:val="0"/>
          <w:color w:val="000000"/>
          <w:sz w:val="28"/>
          <w:szCs w:val="28"/>
        </w:rPr>
        <w:t>（三）有选择管辖适用法律的，</w:t>
      </w:r>
      <w:r>
        <w:rPr>
          <w:rFonts w:hint="eastAsia" w:ascii="仿宋_GB2312" w:hAnsi="仿宋" w:eastAsia="仿宋_GB2312" w:cs="仿宋"/>
          <w:color w:val="000000"/>
          <w:sz w:val="28"/>
          <w:szCs w:val="28"/>
        </w:rPr>
        <w:t>贸易双方各自必须确保其所选择适用的法律与适用于合同一方或多方的默示法律（包括国际公约）没有冲突。譬如，如果双方明示选择适用美国法，而合同默示适用CISG，则该公约的适用会被合同条款明确排除以避免两者项下对于买卖双方的权利义务及风险划分的不同规定而造成的冲突。此外，详细了解管辖法律中有关贸易双方权利义务的默示规定，对更好地履行义务和行使权利及避免相应的违约风险也很重要。</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仿宋_GB2312" w:hAnsi="黑体" w:eastAsia="仿宋_GB2312" w:cs="黑体"/>
          <w:bCs/>
          <w:color w:val="000000"/>
          <w:sz w:val="28"/>
          <w:szCs w:val="28"/>
        </w:rPr>
      </w:pPr>
      <w:r>
        <w:rPr>
          <w:rFonts w:hint="eastAsia" w:ascii="仿宋_GB2312" w:hAnsi="仿宋" w:eastAsia="仿宋_GB2312" w:cs="仿宋"/>
          <w:color w:val="000000"/>
          <w:sz w:val="28"/>
          <w:szCs w:val="28"/>
        </w:rPr>
        <w:t>8.实体争议法律适用：当事人可以协议选择合同争议解决适用的法律。当事人没有选择的，适用履行义务最能体现该合同特征的一方当事人经常居所地法律或者其他与该合同有最密切联系的法律。</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黑体" w:hAnsi="黑体" w:eastAsia="黑体" w:cs="黑体"/>
          <w:bCs/>
          <w:color w:val="000000"/>
          <w:sz w:val="28"/>
          <w:szCs w:val="28"/>
        </w:rPr>
      </w:pPr>
      <w:r>
        <w:rPr>
          <w:rFonts w:hint="eastAsia" w:ascii="黑体" w:hAnsi="黑体" w:eastAsia="黑体" w:cs="黑体"/>
          <w:bCs/>
          <w:color w:val="000000"/>
          <w:sz w:val="28"/>
          <w:szCs w:val="28"/>
        </w:rPr>
        <w:t>五、审查意见制作及提交</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合同经过形式与内容审查后，律师需与合同经办人、起草人甚至对方进行沟通，就合同谈判、协商及合同目的等内容进行交流，如若存在含糊表示的条款，需要对方作出明确的解释和说明。</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1.律师可借鉴与所审合同相关的合同示范文本或行业推荐的示范合同文本，对照条款和内容的差别，进行分析与订正。</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2.律师需对照准据法的规定来判断送审的合同内容是否合法、合理、可行，以及是否需要修改及修改的依据。审查有名合同，要看《民法典》合同编对该合同的专门规定；审查无名合同，更需审慎行事。</w:t>
      </w:r>
    </w:p>
    <w:p>
      <w:pPr>
        <w:pStyle w:val="25"/>
        <w:keepNext w:val="0"/>
        <w:keepLines w:val="0"/>
        <w:pageBreakBefore w:val="0"/>
        <w:widowControl w:val="0"/>
        <w:numPr>
          <w:ilvl w:val="0"/>
          <w:numId w:val="0"/>
        </w:numPr>
        <w:wordWrap/>
        <w:autoSpaceDE w:val="0"/>
        <w:autoSpaceDN w:val="0"/>
        <w:bidi w:val="0"/>
        <w:adjustRightInd w:val="0"/>
        <w:spacing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3.经多轮沟通，依据相关法律分析后，律师可将更改的合同及意见书提交客户。</w:t>
      </w:r>
    </w:p>
    <w:p>
      <w:pPr>
        <w:keepNext w:val="0"/>
        <w:keepLines w:val="0"/>
        <w:pageBreakBefore w:val="0"/>
        <w:widowControl w:val="0"/>
        <w:wordWrap/>
        <w:bidi w:val="0"/>
        <w:spacing w:line="500" w:lineRule="exact"/>
        <w:jc w:val="center"/>
        <w:rPr>
          <w:sz w:val="20"/>
          <w:szCs w:val="21"/>
        </w:rPr>
      </w:pPr>
      <w:r>
        <w:rPr>
          <w:rFonts w:ascii="仿宋_GB2312" w:eastAsia="仿宋_GB2312"/>
          <w:color w:val="000000"/>
          <w:sz w:val="28"/>
          <w:szCs w:val="28"/>
        </w:rPr>
        <w:br w:type="page"/>
      </w:r>
      <w:r>
        <w:rPr>
          <w:sz w:val="28"/>
        </w:rPr>
        <mc:AlternateContent>
          <mc:Choice Requires="wps">
            <w:drawing>
              <wp:anchor distT="0" distB="0" distL="114300" distR="114300" simplePos="0" relativeHeight="251730944" behindDoc="0" locked="0" layoutInCell="1" allowOverlap="1">
                <wp:simplePos x="0" y="0"/>
                <wp:positionH relativeFrom="column">
                  <wp:posOffset>-123825</wp:posOffset>
                </wp:positionH>
                <wp:positionV relativeFrom="paragraph">
                  <wp:posOffset>6299200</wp:posOffset>
                </wp:positionV>
                <wp:extent cx="1381125" cy="952500"/>
                <wp:effectExtent l="0" t="0" r="9525" b="0"/>
                <wp:wrapNone/>
                <wp:docPr id="58" name="文本框 58"/>
                <wp:cNvGraphicFramePr/>
                <a:graphic xmlns:a="http://schemas.openxmlformats.org/drawingml/2006/main">
                  <a:graphicData uri="http://schemas.microsoft.com/office/word/2010/wordprocessingShape">
                    <wps:wsp>
                      <wps:cNvSpPr txBox="1"/>
                      <wps:spPr>
                        <a:xfrm>
                          <a:off x="0" y="0"/>
                          <a:ext cx="1381125" cy="952500"/>
                        </a:xfrm>
                        <a:prstGeom prst="rect">
                          <a:avLst/>
                        </a:prstGeom>
                        <a:solidFill>
                          <a:srgbClr val="FFFFFF"/>
                        </a:solidFill>
                        <a:ln>
                          <a:noFill/>
                        </a:ln>
                      </wps:spPr>
                      <wps:txbx>
                        <w:txbxContent>
                          <w:p/>
                        </w:txbxContent>
                      </wps:txbx>
                      <wps:bodyPr upright="1"/>
                    </wps:wsp>
                  </a:graphicData>
                </a:graphic>
              </wp:anchor>
            </w:drawing>
          </mc:Choice>
          <mc:Fallback>
            <w:pict>
              <v:shape id="_x0000_s1026" o:spid="_x0000_s1026" o:spt="202" type="#_x0000_t202" style="position:absolute;left:0pt;margin-left:-9.75pt;margin-top:496pt;height:75pt;width:108.75pt;z-index:251730944;mso-width-relative:page;mso-height-relative:page;" fillcolor="#FFFFFF" filled="t" stroked="f" coordsize="21600,21600" o:gfxdata="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6DkRF2AAAAAwBAAAPAAAAAAAAAAEAIAAAACIAAABkcnMvZG93bnJl&#10;di54bWxQSwECFAAUAAAACACHTuJAeCC6dsQBAAB5AwAADgAAAAAAAAABACAAAAAnAQAAZHJzL2Uy&#10;b0RvYy54bWxQSwUGAAAAAAYABgBZAQAAXQUAAAAA&#10;">
                <v:fill on="t" focussize="0,0"/>
                <v:stroke on="f"/>
                <v:imagedata o:title=""/>
                <o:lock v:ext="edit" aspectratio="f"/>
                <v:textbox>
                  <w:txbxContent>
                    <w:p/>
                  </w:txbxContent>
                </v:textbox>
              </v:shape>
            </w:pict>
          </mc:Fallback>
        </mc:AlternateContent>
      </w:r>
      <w:r>
        <w:rPr>
          <w:rFonts w:ascii="仿宋_GB2312" w:eastAsia="仿宋_GB2312"/>
          <w:color w:val="000000"/>
          <w:sz w:val="28"/>
          <w:szCs w:val="28"/>
        </w:rPr>
        <w:br w:type="page"/>
      </w:r>
    </w:p>
    <w:p>
      <w:pPr>
        <w:keepNext w:val="0"/>
        <w:keepLines w:val="0"/>
        <w:pageBreakBefore w:val="0"/>
        <w:widowControl w:val="0"/>
        <w:wordWrap/>
        <w:bidi w:val="0"/>
        <w:spacing w:line="500" w:lineRule="exact"/>
        <w:jc w:val="center"/>
        <w:rPr>
          <w:rFonts w:hint="eastAsia"/>
          <w:sz w:val="20"/>
          <w:szCs w:val="21"/>
        </w:rPr>
      </w:pPr>
    </w:p>
    <w:p>
      <w:pPr>
        <w:keepNext w:val="0"/>
        <w:keepLines w:val="0"/>
        <w:pageBreakBefore w:val="0"/>
        <w:widowControl w:val="0"/>
        <w:wordWrap/>
        <w:bidi w:val="0"/>
        <w:spacing w:line="500" w:lineRule="exact"/>
        <w:jc w:val="center"/>
        <w:rPr>
          <w:rFonts w:hint="eastAsia" w:ascii="方正小标宋简体" w:hAnsi="方正小标宋简体" w:eastAsia="方正小标宋简体" w:cs="方正小标宋简体"/>
          <w:color w:val="000000"/>
          <w:sz w:val="48"/>
          <w:szCs w:val="48"/>
          <w:shd w:val="clear" w:color="auto" w:fill="FFFFFF"/>
        </w:rPr>
      </w:pPr>
    </w:p>
    <w:p>
      <w:pPr>
        <w:keepNext w:val="0"/>
        <w:keepLines w:val="0"/>
        <w:pageBreakBefore w:val="0"/>
        <w:widowControl w:val="0"/>
        <w:wordWrap/>
        <w:bidi w:val="0"/>
        <w:spacing w:line="500" w:lineRule="exact"/>
        <w:jc w:val="center"/>
        <w:rPr>
          <w:rFonts w:hint="eastAsia" w:ascii="方正小标宋简体" w:hAnsi="方正小标宋简体" w:eastAsia="方正小标宋简体" w:cs="方正小标宋简体"/>
          <w:color w:val="000000"/>
          <w:sz w:val="48"/>
          <w:szCs w:val="48"/>
          <w:shd w:val="clear" w:color="auto" w:fill="FFFFFF"/>
        </w:rPr>
      </w:pPr>
    </w:p>
    <w:p>
      <w:pPr>
        <w:widowControl w:val="0"/>
        <w:spacing w:after="0"/>
        <w:jc w:val="center"/>
        <w:rPr>
          <w:rFonts w:hint="eastAsia" w:ascii="方正小标宋简体" w:hAnsi="方正小标宋简体" w:eastAsia="方正小标宋简体" w:cs="方正小标宋简体"/>
          <w:color w:val="000000"/>
          <w:sz w:val="48"/>
          <w:szCs w:val="48"/>
          <w:shd w:val="clear" w:color="auto" w:fill="FFFFFF"/>
        </w:rPr>
      </w:pPr>
    </w:p>
    <w:p>
      <w:pPr>
        <w:keepNext w:val="0"/>
        <w:keepLines w:val="0"/>
        <w:pageBreakBefore w:val="0"/>
        <w:widowControl w:val="0"/>
        <w:wordWrap/>
        <w:bidi w:val="0"/>
        <w:spacing w:after="0" w:line="240" w:lineRule="auto"/>
        <w:jc w:val="center"/>
        <w:textAlignment w:val="baseline"/>
        <w:rPr>
          <w:rFonts w:hint="eastAsia" w:ascii="方正小标宋简体" w:hAnsi="方正小标宋简体" w:eastAsia="方正小标宋简体" w:cs="方正小标宋简体"/>
          <w:bCs/>
          <w:color w:val="000000"/>
          <w:sz w:val="48"/>
          <w:szCs w:val="48"/>
        </w:rPr>
      </w:pPr>
      <w:r>
        <w:rPr>
          <w:rFonts w:ascii="仿宋_GB2312" w:eastAsia="仿宋_GB2312"/>
          <w:color w:val="000000"/>
          <w:sz w:val="28"/>
          <w:szCs w:val="28"/>
        </w:rPr>
        <mc:AlternateContent>
          <mc:Choice Requires="wps">
            <w:drawing>
              <wp:anchor distT="0" distB="0" distL="114300" distR="114300" simplePos="0" relativeHeight="251700224" behindDoc="0" locked="0" layoutInCell="1" allowOverlap="1">
                <wp:simplePos x="0" y="0"/>
                <wp:positionH relativeFrom="column">
                  <wp:posOffset>-191135</wp:posOffset>
                </wp:positionH>
                <wp:positionV relativeFrom="paragraph">
                  <wp:posOffset>8255635</wp:posOffset>
                </wp:positionV>
                <wp:extent cx="1143000" cy="579120"/>
                <wp:effectExtent l="4445" t="4445" r="14605" b="6985"/>
                <wp:wrapNone/>
                <wp:docPr id="54" name="文本框 54"/>
                <wp:cNvGraphicFramePr/>
                <a:graphic xmlns:a="http://schemas.openxmlformats.org/drawingml/2006/main">
                  <a:graphicData uri="http://schemas.microsoft.com/office/word/2010/wordprocessingShape">
                    <wps:wsp>
                      <wps:cNvSpPr txBox="1"/>
                      <wps:spPr>
                        <a:xfrm>
                          <a:off x="0" y="0"/>
                          <a:ext cx="1143000" cy="579120"/>
                        </a:xfrm>
                        <a:prstGeom prst="rect">
                          <a:avLst/>
                        </a:prstGeom>
                        <a:solidFill>
                          <a:srgbClr val="FFFFFF"/>
                        </a:solidFill>
                        <a:ln w="9525" cap="flat" cmpd="sng">
                          <a:solidFill>
                            <a:srgbClr val="FFFFFF"/>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202" type="#_x0000_t202" style="position:absolute;left:0pt;margin-left:-15.05pt;margin-top:650.05pt;height:45.6pt;width:90pt;z-index:251700224;mso-width-relative:page;mso-height-relative:page;" fillcolor="#FFFFFF" filled="t" stroked="t" coordsize="21600,21600" o:gfxdata="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opNBtkAAAANAQAADwAAAAAAAAABACAAAAAi&#10;AAAAZHJzL2Rvd25yZXYueG1sUEsBAhQAFAAAAAgAh07iQGTb34MJAgAAOAQAAA4AAAAAAAAAAQAg&#10;AAAAKAEAAGRycy9lMm9Eb2MueG1sUEsFBgAAAAAGAAYAWQEAAKMFAAAAAA==&#10;">
                <v:fill on="t" focussize="0,0"/>
                <v:stroke color="#FFFFFF" joinstyle="miter"/>
                <v:imagedata o:title=""/>
                <o:lock v:ext="edit" aspectratio="f"/>
                <v:textbox>
                  <w:txbxContent>
                    <w:p/>
                  </w:txbxContent>
                </v:textbox>
              </v:shape>
            </w:pict>
          </mc:Fallback>
        </mc:AlternateContent>
      </w:r>
      <w:r>
        <w:rPr>
          <w:rFonts w:hint="eastAsia" w:ascii="方正小标宋简体" w:hAnsi="方正小标宋简体" w:eastAsia="方正小标宋简体" w:cs="方正小标宋简体"/>
          <w:bCs/>
          <w:color w:val="000000"/>
          <w:sz w:val="48"/>
          <w:szCs w:val="48"/>
        </w:rPr>
        <w:t>发行公司债券项目法律尽职调查</w:t>
      </w:r>
    </w:p>
    <w:p>
      <w:pPr>
        <w:keepNext w:val="0"/>
        <w:keepLines w:val="0"/>
        <w:pageBreakBefore w:val="0"/>
        <w:widowControl w:val="0"/>
        <w:wordWrap/>
        <w:bidi w:val="0"/>
        <w:spacing w:after="0" w:line="240" w:lineRule="auto"/>
        <w:jc w:val="center"/>
        <w:textAlignment w:val="baseline"/>
        <w:rPr>
          <w:rFonts w:hint="eastAsia" w:ascii="方正小标宋简体" w:hAnsi="方正小标宋简体" w:eastAsia="方正小标宋简体" w:cs="方正小标宋简体"/>
          <w:bCs/>
          <w:color w:val="000000"/>
          <w:sz w:val="48"/>
          <w:szCs w:val="48"/>
        </w:rPr>
      </w:pPr>
      <w:r>
        <w:rPr>
          <w:rFonts w:hint="eastAsia" w:ascii="方正小标宋简体" w:hAnsi="方正小标宋简体" w:eastAsia="方正小标宋简体" w:cs="方正小标宋简体"/>
          <w:bCs/>
          <w:color w:val="000000"/>
          <w:sz w:val="48"/>
          <w:szCs w:val="48"/>
        </w:rPr>
        <w:t>业务操作指引</w:t>
      </w:r>
    </w:p>
    <w:p>
      <w:pPr>
        <w:keepNext w:val="0"/>
        <w:keepLines w:val="0"/>
        <w:pageBreakBefore w:val="0"/>
        <w:widowControl w:val="0"/>
        <w:wordWrap/>
        <w:bidi w:val="0"/>
        <w:spacing w:after="0" w:line="500" w:lineRule="exact"/>
        <w:jc w:val="center"/>
        <w:textAlignment w:val="baseline"/>
        <w:rPr>
          <w:rFonts w:ascii="方正小标宋简体" w:hAnsi="方正小标宋简体" w:eastAsia="方正小标宋简体" w:cs="方正小标宋简体"/>
          <w:bCs/>
          <w:color w:val="000000"/>
          <w:spacing w:val="-17"/>
          <w:sz w:val="48"/>
          <w:szCs w:val="48"/>
        </w:rPr>
      </w:pPr>
      <w:r>
        <w:rPr>
          <w:rFonts w:hint="eastAsia" w:ascii="方正小标宋简体" w:hAnsi="方正小标宋简体" w:eastAsia="方正小标宋简体" w:cs="方正小标宋简体"/>
          <w:bCs/>
          <w:color w:val="000000"/>
          <w:spacing w:val="-17"/>
          <w:sz w:val="48"/>
          <w:szCs w:val="48"/>
        </w:rPr>
        <w:br w:type="page"/>
      </w:r>
    </w:p>
    <w:p>
      <w:pPr>
        <w:keepNext w:val="0"/>
        <w:keepLines w:val="0"/>
        <w:pageBreakBefore w:val="0"/>
        <w:widowControl w:val="0"/>
        <w:wordWrap/>
        <w:bidi w:val="0"/>
        <w:spacing w:before="227" w:beforeLines="50" w:after="227" w:afterLines="50" w:line="500" w:lineRule="exact"/>
        <w:textAlignment w:val="baseline"/>
        <w:rPr>
          <w:rFonts w:ascii="仿宋_GB2312" w:eastAsia="仿宋_GB2312"/>
          <w:b/>
          <w:color w:val="000000"/>
          <w:sz w:val="28"/>
          <w:szCs w:val="28"/>
        </w:rPr>
      </w:pPr>
    </w:p>
    <w:p>
      <w:pPr>
        <w:keepNext w:val="0"/>
        <w:keepLines w:val="0"/>
        <w:pageBreakBefore w:val="0"/>
        <w:widowControl w:val="0"/>
        <w:wordWrap/>
        <w:bidi w:val="0"/>
        <w:spacing w:before="227" w:beforeLines="50" w:after="227" w:afterLines="50" w:line="500" w:lineRule="exact"/>
        <w:jc w:val="center"/>
        <w:textAlignment w:val="baseline"/>
        <w:rPr>
          <w:rFonts w:ascii="仿宋_GB2312" w:eastAsia="仿宋_GB2312"/>
          <w:b/>
          <w:color w:val="000000"/>
          <w:sz w:val="28"/>
          <w:szCs w:val="28"/>
        </w:rPr>
      </w:pPr>
      <w:r>
        <w:rPr>
          <w:sz w:val="28"/>
        </w:rPr>
        <mc:AlternateContent>
          <mc:Choice Requires="wps">
            <w:drawing>
              <wp:anchor distT="0" distB="0" distL="114300" distR="114300" simplePos="0" relativeHeight="251731968" behindDoc="0" locked="0" layoutInCell="1" allowOverlap="1">
                <wp:simplePos x="0" y="0"/>
                <wp:positionH relativeFrom="column">
                  <wp:posOffset>-123825</wp:posOffset>
                </wp:positionH>
                <wp:positionV relativeFrom="paragraph">
                  <wp:posOffset>5374640</wp:posOffset>
                </wp:positionV>
                <wp:extent cx="1381125" cy="952500"/>
                <wp:effectExtent l="0" t="0" r="9525" b="0"/>
                <wp:wrapNone/>
                <wp:docPr id="59" name="文本框 59"/>
                <wp:cNvGraphicFramePr/>
                <a:graphic xmlns:a="http://schemas.openxmlformats.org/drawingml/2006/main">
                  <a:graphicData uri="http://schemas.microsoft.com/office/word/2010/wordprocessingShape">
                    <wps:wsp>
                      <wps:cNvSpPr txBox="1"/>
                      <wps:spPr>
                        <a:xfrm>
                          <a:off x="0" y="0"/>
                          <a:ext cx="1381125" cy="952500"/>
                        </a:xfrm>
                        <a:prstGeom prst="rect">
                          <a:avLst/>
                        </a:prstGeom>
                        <a:solidFill>
                          <a:srgbClr val="FFFFFF"/>
                        </a:solidFill>
                        <a:ln>
                          <a:noFill/>
                        </a:ln>
                      </wps:spPr>
                      <wps:txbx>
                        <w:txbxContent>
                          <w:p/>
                        </w:txbxContent>
                      </wps:txbx>
                      <wps:bodyPr upright="1"/>
                    </wps:wsp>
                  </a:graphicData>
                </a:graphic>
              </wp:anchor>
            </w:drawing>
          </mc:Choice>
          <mc:Fallback>
            <w:pict>
              <v:shape id="_x0000_s1026" o:spid="_x0000_s1026" o:spt="202" type="#_x0000_t202" style="position:absolute;left:0pt;margin-left:-9.75pt;margin-top:423.2pt;height:75pt;width:108.75pt;z-index:251731968;mso-width-relative:page;mso-height-relative:page;" fillcolor="#FFFFFF" filled="t" stroked="f" coordsize="21600,21600" o:gfxdata="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nJeSU2AAAAAsBAAAPAAAAAAAAAAEAIAAAACIAAABkcnMvZG93bnJl&#10;di54bWxQSwECFAAUAAAACACHTuJAq0nTmMQBAAB5AwAADgAAAAAAAAABACAAAAAnAQAAZHJzL2Uy&#10;b0RvYy54bWxQSwUGAAAAAAYABgBZAQAAXQUAAAAA&#10;">
                <v:fill on="t" focussize="0,0"/>
                <v:stroke on="f"/>
                <v:imagedata o:title=""/>
                <o:lock v:ext="edit" aspectratio="f"/>
                <v:textbox>
                  <w:txbxContent>
                    <w:p/>
                  </w:txbxContent>
                </v:textbox>
              </v:shape>
            </w:pict>
          </mc:Fallback>
        </mc:AlternateContent>
      </w:r>
      <w:r>
        <w:rPr>
          <w:sz w:val="28"/>
          <w:szCs w:val="21"/>
        </w:rPr>
        <mc:AlternateContent>
          <mc:Choice Requires="wps">
            <w:drawing>
              <wp:anchor distT="0" distB="0" distL="114300" distR="114300" simplePos="0" relativeHeight="251664384" behindDoc="0" locked="0" layoutInCell="1" allowOverlap="1">
                <wp:simplePos x="0" y="0"/>
                <wp:positionH relativeFrom="column">
                  <wp:posOffset>-316865</wp:posOffset>
                </wp:positionH>
                <wp:positionV relativeFrom="paragraph">
                  <wp:posOffset>7324090</wp:posOffset>
                </wp:positionV>
                <wp:extent cx="1297305" cy="880745"/>
                <wp:effectExtent l="4445" t="4445" r="12700" b="10160"/>
                <wp:wrapNone/>
                <wp:docPr id="45" name="矩形 45"/>
                <wp:cNvGraphicFramePr/>
                <a:graphic xmlns:a="http://schemas.openxmlformats.org/drawingml/2006/main">
                  <a:graphicData uri="http://schemas.microsoft.com/office/word/2010/wordprocessingShape">
                    <wps:wsp>
                      <wps:cNvSpPr/>
                      <wps:spPr>
                        <a:xfrm>
                          <a:off x="0" y="0"/>
                          <a:ext cx="1297305" cy="880745"/>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4.95pt;margin-top:576.7pt;height:69.35pt;width:102.15pt;z-index:251664384;mso-width-relative:page;mso-height-relative:page;" fillcolor="#FFFFFF" filled="t" stroked="t" coordsize="21600,21600" o:gfxdata="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zFTBXZAAAADQEAAA8AAAAAAAAAAQAgAAAAIgAAAGRycy9kb3ducmV2Lnht&#10;bFBLAQIUABQAAAAIAIdO4kAVAsgx+AEAACAEAAAOAAAAAAAAAAEAIAAAACgBAABkcnMvZTJvRG9j&#10;LnhtbFBLBQYAAAAABgAGAFkBAACSBQAAAAA=&#10;">
                <v:fill on="t" focussize="0,0"/>
                <v:stroke color="#FFFFFF" joinstyle="miter"/>
                <v:imagedata o:title=""/>
                <o:lock v:ext="edit" aspectratio="f"/>
              </v:rect>
            </w:pict>
          </mc:Fallback>
        </mc:AlternateContent>
      </w:r>
      <w:r>
        <w:rPr>
          <w:rFonts w:hint="eastAsia" w:ascii="仿宋_GB2312" w:eastAsia="仿宋_GB2312"/>
          <w:b/>
          <w:color w:val="000000"/>
          <w:sz w:val="28"/>
          <w:szCs w:val="28"/>
        </w:rPr>
        <w:br w:type="page"/>
      </w:r>
      <w:r>
        <w:rPr>
          <w:rFonts w:hint="eastAsia" w:ascii="方正小标宋简体" w:hAnsi="方正小标宋简体" w:eastAsia="方正小标宋简体" w:cs="方正小标宋简体"/>
          <w:bCs/>
          <w:color w:val="000000"/>
          <w:kern w:val="44"/>
          <w:sz w:val="40"/>
          <w:szCs w:val="40"/>
        </w:rPr>
        <w:t>目    录</w:t>
      </w:r>
    </w:p>
    <w:p>
      <w:pPr>
        <w:keepNext w:val="0"/>
        <w:keepLines w:val="0"/>
        <w:pageBreakBefore w:val="0"/>
        <w:widowControl w:val="0"/>
        <w:wordWrap/>
        <w:bidi w:val="0"/>
        <w:spacing w:before="227" w:beforeLines="50" w:after="227" w:afterLines="50" w:line="500" w:lineRule="exact"/>
        <w:jc w:val="center"/>
        <w:textAlignment w:val="baseline"/>
        <w:rPr>
          <w:rFonts w:ascii="仿宋_GB2312" w:eastAsia="仿宋_GB2312"/>
          <w:b/>
          <w:color w:val="000000"/>
          <w:sz w:val="28"/>
          <w:szCs w:val="28"/>
        </w:rPr>
      </w:pPr>
    </w:p>
    <w:p>
      <w:pPr>
        <w:pStyle w:val="11"/>
        <w:keepNext w:val="0"/>
        <w:keepLines w:val="0"/>
        <w:pageBreakBefore w:val="0"/>
        <w:widowControl w:val="0"/>
        <w:tabs>
          <w:tab w:val="right" w:leader="dot" w:pos="9026"/>
          <w:tab w:val="clear" w:pos="8720"/>
        </w:tabs>
        <w:wordWrap/>
        <w:bidi w:val="0"/>
        <w:spacing w:before="0" w:after="0" w:line="500" w:lineRule="exact"/>
        <w:ind w:firstLine="522" w:firstLineChars="200"/>
        <w:jc w:val="both"/>
        <w:rPr>
          <w:rFonts w:hint="eastAsia" w:ascii="仿宋_GB2312" w:hAnsi="仿宋" w:eastAsia="仿宋_GB2312" w:cs="仿宋"/>
          <w:b w:val="0"/>
          <w:bCs w:val="0"/>
          <w:color w:val="000000"/>
          <w:sz w:val="28"/>
          <w:szCs w:val="28"/>
        </w:rPr>
      </w:pPr>
      <w:r>
        <w:rPr>
          <w:rFonts w:hint="eastAsia" w:ascii="仿宋_GB2312" w:eastAsia="仿宋_GB2312"/>
          <w:color w:val="000000"/>
          <w:sz w:val="28"/>
          <w:szCs w:val="28"/>
        </w:rPr>
        <w:fldChar w:fldCharType="begin"/>
      </w:r>
      <w:r>
        <w:rPr>
          <w:rFonts w:hint="eastAsia" w:ascii="仿宋_GB2312" w:eastAsia="仿宋_GB2312"/>
          <w:color w:val="000000"/>
          <w:sz w:val="28"/>
          <w:szCs w:val="28"/>
        </w:rPr>
        <w:instrText xml:space="preserve">TOC \o "1-3" \h  \u </w:instrText>
      </w:r>
      <w:r>
        <w:rPr>
          <w:rFonts w:hint="eastAsia" w:ascii="仿宋_GB2312" w:eastAsia="仿宋_GB2312"/>
          <w:color w:val="000000"/>
          <w:sz w:val="28"/>
          <w:szCs w:val="28"/>
        </w:rPr>
        <w:fldChar w:fldCharType="separate"/>
      </w:r>
      <w:r>
        <w:rPr>
          <w:rFonts w:hint="eastAsia" w:ascii="仿宋_GB2312" w:hAnsi="仿宋" w:eastAsia="仿宋_GB2312" w:cs="仿宋"/>
          <w:b w:val="0"/>
          <w:bCs w:val="0"/>
          <w:color w:val="000000"/>
          <w:sz w:val="28"/>
          <w:szCs w:val="28"/>
        </w:rPr>
        <w:fldChar w:fldCharType="begin"/>
      </w:r>
      <w:r>
        <w:rPr>
          <w:rFonts w:hint="eastAsia" w:ascii="仿宋_GB2312" w:hAnsi="仿宋" w:eastAsia="仿宋_GB2312" w:cs="仿宋"/>
          <w:b w:val="0"/>
          <w:bCs w:val="0"/>
          <w:color w:val="000000"/>
          <w:sz w:val="28"/>
          <w:szCs w:val="28"/>
        </w:rPr>
        <w:instrText xml:space="preserve"> HYPERLINK \l "_Toc17491" </w:instrText>
      </w:r>
      <w:r>
        <w:rPr>
          <w:rFonts w:hint="eastAsia" w:ascii="仿宋_GB2312" w:hAnsi="仿宋" w:eastAsia="仿宋_GB2312" w:cs="仿宋"/>
          <w:b w:val="0"/>
          <w:bCs w:val="0"/>
          <w:color w:val="000000"/>
          <w:sz w:val="28"/>
          <w:szCs w:val="28"/>
        </w:rPr>
        <w:fldChar w:fldCharType="separate"/>
      </w:r>
      <w:r>
        <w:rPr>
          <w:rFonts w:hint="eastAsia" w:ascii="仿宋_GB2312" w:hAnsi="仿宋" w:eastAsia="仿宋_GB2312" w:cs="仿宋"/>
          <w:b w:val="0"/>
          <w:bCs w:val="0"/>
          <w:color w:val="000000"/>
          <w:sz w:val="28"/>
          <w:szCs w:val="28"/>
        </w:rPr>
        <w:t>第一章  总则</w:t>
      </w:r>
      <w:r>
        <w:rPr>
          <w:rFonts w:hint="eastAsia" w:ascii="仿宋_GB2312" w:hAnsi="仿宋" w:eastAsia="仿宋_GB2312" w:cs="仿宋"/>
          <w:b w:val="0"/>
          <w:bCs w:val="0"/>
          <w:color w:val="000000"/>
          <w:sz w:val="28"/>
          <w:szCs w:val="28"/>
        </w:rPr>
        <w:fldChar w:fldCharType="end"/>
      </w:r>
    </w:p>
    <w:p>
      <w:pPr>
        <w:pStyle w:val="11"/>
        <w:keepNext w:val="0"/>
        <w:keepLines w:val="0"/>
        <w:pageBreakBefore w:val="0"/>
        <w:widowControl w:val="0"/>
        <w:tabs>
          <w:tab w:val="right" w:leader="dot" w:pos="9026"/>
          <w:tab w:val="clear" w:pos="8720"/>
        </w:tabs>
        <w:wordWrap/>
        <w:bidi w:val="0"/>
        <w:spacing w:before="0" w:after="0" w:line="500" w:lineRule="exact"/>
        <w:ind w:firstLine="522" w:firstLineChars="200"/>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fldChar w:fldCharType="begin"/>
      </w:r>
      <w:r>
        <w:rPr>
          <w:rFonts w:hint="eastAsia" w:ascii="仿宋_GB2312" w:hAnsi="仿宋" w:eastAsia="仿宋_GB2312" w:cs="仿宋"/>
          <w:b w:val="0"/>
          <w:bCs w:val="0"/>
          <w:color w:val="000000"/>
          <w:sz w:val="28"/>
          <w:szCs w:val="28"/>
        </w:rPr>
        <w:instrText xml:space="preserve"> HYPERLINK \l "_Toc8733" </w:instrText>
      </w:r>
      <w:r>
        <w:rPr>
          <w:rFonts w:hint="eastAsia" w:ascii="仿宋_GB2312" w:hAnsi="仿宋" w:eastAsia="仿宋_GB2312" w:cs="仿宋"/>
          <w:b w:val="0"/>
          <w:bCs w:val="0"/>
          <w:color w:val="000000"/>
          <w:sz w:val="28"/>
          <w:szCs w:val="28"/>
        </w:rPr>
        <w:fldChar w:fldCharType="separate"/>
      </w:r>
      <w:r>
        <w:rPr>
          <w:rFonts w:hint="eastAsia" w:ascii="仿宋_GB2312" w:hAnsi="仿宋" w:eastAsia="仿宋_GB2312" w:cs="仿宋"/>
          <w:b w:val="0"/>
          <w:bCs w:val="0"/>
          <w:color w:val="000000"/>
          <w:sz w:val="28"/>
          <w:szCs w:val="28"/>
        </w:rPr>
        <w:t>第二章  调查材料与调查方法</w:t>
      </w:r>
      <w:r>
        <w:rPr>
          <w:rFonts w:hint="eastAsia" w:ascii="仿宋_GB2312" w:hAnsi="仿宋" w:eastAsia="仿宋_GB2312" w:cs="仿宋"/>
          <w:b w:val="0"/>
          <w:bCs w:val="0"/>
          <w:color w:val="000000"/>
          <w:sz w:val="28"/>
          <w:szCs w:val="28"/>
        </w:rPr>
        <w:fldChar w:fldCharType="end"/>
      </w:r>
    </w:p>
    <w:p>
      <w:pPr>
        <w:pStyle w:val="11"/>
        <w:keepNext w:val="0"/>
        <w:keepLines w:val="0"/>
        <w:pageBreakBefore w:val="0"/>
        <w:widowControl w:val="0"/>
        <w:tabs>
          <w:tab w:val="right" w:leader="dot" w:pos="9026"/>
          <w:tab w:val="clear" w:pos="8720"/>
        </w:tabs>
        <w:wordWrap/>
        <w:bidi w:val="0"/>
        <w:spacing w:before="0" w:after="0" w:line="500" w:lineRule="exact"/>
        <w:ind w:firstLine="522" w:firstLineChars="200"/>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fldChar w:fldCharType="begin"/>
      </w:r>
      <w:r>
        <w:rPr>
          <w:rFonts w:hint="eastAsia" w:ascii="仿宋_GB2312" w:hAnsi="仿宋" w:eastAsia="仿宋_GB2312" w:cs="仿宋"/>
          <w:b w:val="0"/>
          <w:bCs w:val="0"/>
          <w:color w:val="000000"/>
          <w:sz w:val="28"/>
          <w:szCs w:val="28"/>
        </w:rPr>
        <w:instrText xml:space="preserve"> HYPERLINK \l "_Toc26527" </w:instrText>
      </w:r>
      <w:r>
        <w:rPr>
          <w:rFonts w:hint="eastAsia" w:ascii="仿宋_GB2312" w:hAnsi="仿宋" w:eastAsia="仿宋_GB2312" w:cs="仿宋"/>
          <w:b w:val="0"/>
          <w:bCs w:val="0"/>
          <w:color w:val="000000"/>
          <w:sz w:val="28"/>
          <w:szCs w:val="28"/>
        </w:rPr>
        <w:fldChar w:fldCharType="separate"/>
      </w:r>
      <w:r>
        <w:rPr>
          <w:rFonts w:hint="eastAsia" w:ascii="仿宋_GB2312" w:hAnsi="仿宋" w:eastAsia="仿宋_GB2312" w:cs="仿宋"/>
          <w:b w:val="0"/>
          <w:bCs w:val="0"/>
          <w:color w:val="000000"/>
          <w:sz w:val="28"/>
          <w:szCs w:val="28"/>
        </w:rPr>
        <w:t>第三章  尽职调查的基本分类和工作程序</w:t>
      </w:r>
      <w:r>
        <w:rPr>
          <w:rFonts w:hint="eastAsia" w:ascii="仿宋_GB2312" w:hAnsi="仿宋" w:eastAsia="仿宋_GB2312" w:cs="仿宋"/>
          <w:b w:val="0"/>
          <w:bCs w:val="0"/>
          <w:color w:val="000000"/>
          <w:sz w:val="28"/>
          <w:szCs w:val="28"/>
        </w:rPr>
        <w:fldChar w:fldCharType="end"/>
      </w:r>
    </w:p>
    <w:p>
      <w:pPr>
        <w:pStyle w:val="11"/>
        <w:keepNext w:val="0"/>
        <w:keepLines w:val="0"/>
        <w:pageBreakBefore w:val="0"/>
        <w:widowControl w:val="0"/>
        <w:tabs>
          <w:tab w:val="right" w:leader="dot" w:pos="9026"/>
          <w:tab w:val="clear" w:pos="8720"/>
        </w:tabs>
        <w:wordWrap/>
        <w:bidi w:val="0"/>
        <w:spacing w:before="0" w:after="0" w:line="500" w:lineRule="exact"/>
        <w:ind w:firstLine="522" w:firstLineChars="200"/>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fldChar w:fldCharType="begin"/>
      </w:r>
      <w:r>
        <w:rPr>
          <w:rFonts w:hint="eastAsia" w:ascii="仿宋_GB2312" w:hAnsi="仿宋" w:eastAsia="仿宋_GB2312" w:cs="仿宋"/>
          <w:b w:val="0"/>
          <w:bCs w:val="0"/>
          <w:color w:val="000000"/>
          <w:sz w:val="28"/>
          <w:szCs w:val="28"/>
        </w:rPr>
        <w:instrText xml:space="preserve"> HYPERLINK \l "_Toc13288" </w:instrText>
      </w:r>
      <w:r>
        <w:rPr>
          <w:rFonts w:hint="eastAsia" w:ascii="仿宋_GB2312" w:hAnsi="仿宋" w:eastAsia="仿宋_GB2312" w:cs="仿宋"/>
          <w:b w:val="0"/>
          <w:bCs w:val="0"/>
          <w:color w:val="000000"/>
          <w:sz w:val="28"/>
          <w:szCs w:val="28"/>
        </w:rPr>
        <w:fldChar w:fldCharType="separate"/>
      </w:r>
      <w:r>
        <w:rPr>
          <w:rFonts w:hint="eastAsia" w:ascii="仿宋_GB2312" w:hAnsi="仿宋" w:eastAsia="仿宋_GB2312" w:cs="仿宋"/>
          <w:b w:val="0"/>
          <w:bCs w:val="0"/>
          <w:color w:val="000000"/>
          <w:sz w:val="28"/>
          <w:szCs w:val="28"/>
        </w:rPr>
        <w:t>第四章  尽职调查的内容和基本要求</w:t>
      </w:r>
      <w:r>
        <w:rPr>
          <w:rFonts w:hint="eastAsia" w:ascii="仿宋_GB2312" w:hAnsi="仿宋" w:eastAsia="仿宋_GB2312" w:cs="仿宋"/>
          <w:b w:val="0"/>
          <w:bCs w:val="0"/>
          <w:color w:val="000000"/>
          <w:sz w:val="28"/>
          <w:szCs w:val="28"/>
        </w:rPr>
        <w:fldChar w:fldCharType="end"/>
      </w:r>
    </w:p>
    <w:p>
      <w:pPr>
        <w:pStyle w:val="11"/>
        <w:keepNext w:val="0"/>
        <w:keepLines w:val="0"/>
        <w:pageBreakBefore w:val="0"/>
        <w:widowControl w:val="0"/>
        <w:tabs>
          <w:tab w:val="right" w:leader="dot" w:pos="9026"/>
          <w:tab w:val="clear" w:pos="8720"/>
        </w:tabs>
        <w:wordWrap/>
        <w:bidi w:val="0"/>
        <w:spacing w:before="0" w:after="0" w:line="500" w:lineRule="exact"/>
        <w:ind w:firstLine="522" w:firstLineChars="200"/>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fldChar w:fldCharType="begin"/>
      </w:r>
      <w:r>
        <w:rPr>
          <w:rFonts w:hint="eastAsia" w:ascii="仿宋_GB2312" w:hAnsi="仿宋" w:eastAsia="仿宋_GB2312" w:cs="仿宋"/>
          <w:b w:val="0"/>
          <w:bCs w:val="0"/>
          <w:color w:val="000000"/>
          <w:sz w:val="28"/>
          <w:szCs w:val="28"/>
        </w:rPr>
        <w:instrText xml:space="preserve"> HYPERLINK \l "_Toc13288" </w:instrText>
      </w:r>
      <w:r>
        <w:rPr>
          <w:rFonts w:hint="eastAsia" w:ascii="仿宋_GB2312" w:hAnsi="仿宋" w:eastAsia="仿宋_GB2312" w:cs="仿宋"/>
          <w:b w:val="0"/>
          <w:bCs w:val="0"/>
          <w:color w:val="000000"/>
          <w:sz w:val="28"/>
          <w:szCs w:val="28"/>
        </w:rPr>
        <w:fldChar w:fldCharType="separate"/>
      </w:r>
      <w:r>
        <w:rPr>
          <w:rFonts w:hint="eastAsia" w:ascii="仿宋_GB2312" w:hAnsi="仿宋" w:eastAsia="仿宋_GB2312" w:cs="仿宋"/>
          <w:b w:val="0"/>
          <w:bCs w:val="0"/>
          <w:color w:val="000000"/>
          <w:sz w:val="28"/>
          <w:szCs w:val="28"/>
        </w:rPr>
        <w:t>第五章  尽职调查报告</w:t>
      </w:r>
      <w:r>
        <w:rPr>
          <w:rFonts w:hint="eastAsia" w:ascii="仿宋_GB2312" w:hAnsi="仿宋" w:eastAsia="仿宋_GB2312" w:cs="仿宋"/>
          <w:b w:val="0"/>
          <w:bCs w:val="0"/>
          <w:color w:val="000000"/>
          <w:sz w:val="28"/>
          <w:szCs w:val="28"/>
        </w:rPr>
        <w:fldChar w:fldCharType="end"/>
      </w:r>
    </w:p>
    <w:p>
      <w:pPr>
        <w:pStyle w:val="11"/>
        <w:keepNext w:val="0"/>
        <w:keepLines w:val="0"/>
        <w:pageBreakBefore w:val="0"/>
        <w:widowControl w:val="0"/>
        <w:tabs>
          <w:tab w:val="right" w:leader="dot" w:pos="9026"/>
          <w:tab w:val="clear" w:pos="8720"/>
        </w:tabs>
        <w:wordWrap/>
        <w:bidi w:val="0"/>
        <w:spacing w:before="0" w:after="0" w:line="500" w:lineRule="exact"/>
        <w:ind w:firstLine="522" w:firstLineChars="200"/>
        <w:jc w:val="left"/>
        <w:rPr>
          <w:rFonts w:hint="eastAsia" w:ascii="仿宋_GB2312" w:eastAsia="仿宋_GB2312"/>
          <w:color w:val="000000"/>
          <w:sz w:val="28"/>
          <w:szCs w:val="28"/>
        </w:rPr>
      </w:pPr>
      <w:r>
        <w:rPr>
          <w:rFonts w:hint="eastAsia" w:ascii="仿宋_GB2312" w:hAnsi="仿宋" w:eastAsia="仿宋_GB2312" w:cs="仿宋"/>
          <w:b w:val="0"/>
          <w:bCs w:val="0"/>
          <w:color w:val="000000"/>
          <w:sz w:val="28"/>
          <w:szCs w:val="28"/>
        </w:rPr>
        <w:fldChar w:fldCharType="begin"/>
      </w:r>
      <w:r>
        <w:rPr>
          <w:rFonts w:hint="eastAsia" w:ascii="仿宋_GB2312" w:hAnsi="仿宋" w:eastAsia="仿宋_GB2312" w:cs="仿宋"/>
          <w:b w:val="0"/>
          <w:bCs w:val="0"/>
          <w:color w:val="000000"/>
          <w:sz w:val="28"/>
          <w:szCs w:val="28"/>
        </w:rPr>
        <w:instrText xml:space="preserve"> HYPERLINK \l "_Toc20575" </w:instrText>
      </w:r>
      <w:r>
        <w:rPr>
          <w:rFonts w:hint="eastAsia" w:ascii="仿宋_GB2312" w:hAnsi="仿宋" w:eastAsia="仿宋_GB2312" w:cs="仿宋"/>
          <w:b w:val="0"/>
          <w:bCs w:val="0"/>
          <w:color w:val="000000"/>
          <w:sz w:val="28"/>
          <w:szCs w:val="28"/>
        </w:rPr>
        <w:fldChar w:fldCharType="separate"/>
      </w:r>
      <w:r>
        <w:rPr>
          <w:rFonts w:hint="eastAsia" w:ascii="仿宋_GB2312" w:hAnsi="仿宋" w:eastAsia="仿宋_GB2312" w:cs="仿宋"/>
          <w:b w:val="0"/>
          <w:bCs w:val="0"/>
          <w:color w:val="000000"/>
          <w:sz w:val="28"/>
          <w:szCs w:val="28"/>
        </w:rPr>
        <w:t>附表</w:t>
      </w:r>
      <w:r>
        <w:rPr>
          <w:rFonts w:hint="eastAsia" w:ascii="仿宋_GB2312" w:hAnsi="仿宋" w:eastAsia="仿宋_GB2312" w:cs="仿宋"/>
          <w:b w:val="0"/>
          <w:bCs w:val="0"/>
          <w:color w:val="000000"/>
          <w:sz w:val="28"/>
          <w:szCs w:val="28"/>
        </w:rPr>
        <w:fldChar w:fldCharType="end"/>
      </w:r>
    </w:p>
    <w:p>
      <w:pPr>
        <w:keepNext w:val="0"/>
        <w:keepLines w:val="0"/>
        <w:pageBreakBefore w:val="0"/>
        <w:widowControl w:val="0"/>
        <w:tabs>
          <w:tab w:val="right" w:leader="dot" w:pos="8306"/>
        </w:tabs>
        <w:wordWrap/>
        <w:bidi w:val="0"/>
        <w:spacing w:after="0" w:line="500" w:lineRule="exact"/>
        <w:ind w:firstLine="522" w:firstLineChars="200"/>
        <w:textAlignment w:val="baseline"/>
        <w:rPr>
          <w:rFonts w:ascii="仿宋_GB2312" w:eastAsia="仿宋_GB2312"/>
          <w:color w:val="000000"/>
          <w:sz w:val="28"/>
          <w:szCs w:val="28"/>
        </w:rPr>
      </w:pPr>
      <w:r>
        <w:rPr>
          <w:rFonts w:hint="eastAsia" w:ascii="仿宋_GB2312" w:eastAsia="仿宋_GB2312"/>
          <w:color w:val="000000"/>
          <w:sz w:val="28"/>
          <w:szCs w:val="28"/>
        </w:rPr>
        <w:fldChar w:fldCharType="end"/>
      </w:r>
    </w:p>
    <w:p>
      <w:pPr>
        <w:keepNext w:val="0"/>
        <w:keepLines w:val="0"/>
        <w:pageBreakBefore w:val="0"/>
        <w:widowControl w:val="0"/>
        <w:tabs>
          <w:tab w:val="right" w:leader="dot" w:pos="8306"/>
        </w:tabs>
        <w:wordWrap/>
        <w:bidi w:val="0"/>
        <w:spacing w:before="227" w:beforeLines="50" w:after="227" w:afterLines="50" w:line="500" w:lineRule="exact"/>
        <w:textAlignment w:val="baseline"/>
        <w:rPr>
          <w:rFonts w:ascii="仿宋_GB2312" w:eastAsia="仿宋_GB2312"/>
          <w:color w:val="000000"/>
          <w:sz w:val="28"/>
          <w:szCs w:val="28"/>
        </w:rPr>
      </w:pPr>
    </w:p>
    <w:p>
      <w:pPr>
        <w:keepNext w:val="0"/>
        <w:keepLines w:val="0"/>
        <w:pageBreakBefore w:val="0"/>
        <w:widowControl w:val="0"/>
        <w:tabs>
          <w:tab w:val="right" w:leader="dot" w:pos="8306"/>
        </w:tabs>
        <w:wordWrap/>
        <w:bidi w:val="0"/>
        <w:spacing w:before="227" w:beforeLines="50" w:after="227" w:afterLines="50" w:line="500" w:lineRule="exact"/>
        <w:textAlignment w:val="baseline"/>
        <w:rPr>
          <w:rFonts w:ascii="仿宋_GB2312" w:eastAsia="仿宋_GB2312"/>
          <w:color w:val="000000"/>
          <w:sz w:val="28"/>
          <w:szCs w:val="28"/>
        </w:rPr>
      </w:pPr>
    </w:p>
    <w:p>
      <w:pPr>
        <w:keepNext w:val="0"/>
        <w:keepLines w:val="0"/>
        <w:pageBreakBefore w:val="0"/>
        <w:widowControl w:val="0"/>
        <w:tabs>
          <w:tab w:val="right" w:leader="dot" w:pos="8306"/>
        </w:tabs>
        <w:wordWrap/>
        <w:bidi w:val="0"/>
        <w:spacing w:before="227" w:beforeLines="50" w:after="227" w:afterLines="50" w:line="500" w:lineRule="exact"/>
        <w:textAlignment w:val="baseline"/>
        <w:rPr>
          <w:rFonts w:ascii="仿宋_GB2312" w:eastAsia="仿宋_GB2312"/>
          <w:color w:val="000000"/>
          <w:sz w:val="28"/>
          <w:szCs w:val="28"/>
        </w:rPr>
      </w:pPr>
    </w:p>
    <w:p>
      <w:pPr>
        <w:keepNext w:val="0"/>
        <w:keepLines w:val="0"/>
        <w:pageBreakBefore w:val="0"/>
        <w:widowControl w:val="0"/>
        <w:tabs>
          <w:tab w:val="right" w:leader="dot" w:pos="8306"/>
        </w:tabs>
        <w:wordWrap/>
        <w:bidi w:val="0"/>
        <w:spacing w:before="227" w:beforeLines="50" w:after="227" w:afterLines="50" w:line="500" w:lineRule="exact"/>
        <w:textAlignment w:val="baseline"/>
        <w:rPr>
          <w:rFonts w:ascii="仿宋_GB2312" w:eastAsia="仿宋_GB2312"/>
          <w:color w:val="000000"/>
          <w:sz w:val="28"/>
          <w:szCs w:val="28"/>
        </w:rPr>
      </w:pPr>
    </w:p>
    <w:p>
      <w:pPr>
        <w:keepNext w:val="0"/>
        <w:keepLines w:val="0"/>
        <w:pageBreakBefore w:val="0"/>
        <w:widowControl w:val="0"/>
        <w:tabs>
          <w:tab w:val="right" w:leader="dot" w:pos="8306"/>
        </w:tabs>
        <w:wordWrap/>
        <w:bidi w:val="0"/>
        <w:spacing w:before="227" w:beforeLines="50" w:after="227" w:afterLines="50" w:line="500" w:lineRule="exact"/>
        <w:textAlignment w:val="baseline"/>
        <w:rPr>
          <w:rFonts w:ascii="仿宋_GB2312" w:eastAsia="仿宋_GB2312"/>
          <w:color w:val="000000"/>
          <w:sz w:val="28"/>
          <w:szCs w:val="28"/>
        </w:rPr>
      </w:pPr>
    </w:p>
    <w:p>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jc w:val="center"/>
        <w:textAlignment w:val="baseline"/>
        <w:rPr>
          <w:rFonts w:hint="eastAsia" w:ascii="方正小标宋简体" w:hAnsi="方正小标宋简体" w:eastAsia="方正小标宋简体" w:cs="方正小标宋简体"/>
          <w:b w:val="0"/>
          <w:bCs/>
          <w:color w:val="000000"/>
          <w:sz w:val="44"/>
          <w:szCs w:val="40"/>
        </w:rPr>
      </w:pPr>
      <w:bookmarkStart w:id="125" w:name="_Toc353717163"/>
      <w:bookmarkStart w:id="126" w:name="_Toc17491"/>
      <w:r>
        <w:rPr>
          <w:rFonts w:ascii="仿宋" w:hAnsi="仿宋" w:eastAsia="仿宋" w:cs="仿宋"/>
          <w:color w:val="000000"/>
          <w:sz w:val="28"/>
          <w:szCs w:val="28"/>
        </w:rPr>
        <w:br w:type="page"/>
      </w:r>
      <w:bookmarkStart w:id="127" w:name="_Toc29931"/>
      <w:r>
        <w:rPr>
          <w:rFonts w:hint="eastAsia" w:ascii="仿宋" w:hAnsi="仿宋" w:eastAsia="仿宋" w:cs="仿宋"/>
          <w:color w:val="000000"/>
          <w:sz w:val="28"/>
          <w:szCs w:val="28"/>
        </w:rPr>
        <mc:AlternateContent>
          <mc:Choice Requires="wps">
            <w:drawing>
              <wp:anchor distT="0" distB="0" distL="114300" distR="114300" simplePos="0" relativeHeight="251701248" behindDoc="0" locked="0" layoutInCell="1" allowOverlap="1">
                <wp:simplePos x="0" y="0"/>
                <wp:positionH relativeFrom="column">
                  <wp:posOffset>-190500</wp:posOffset>
                </wp:positionH>
                <wp:positionV relativeFrom="paragraph">
                  <wp:posOffset>8316595</wp:posOffset>
                </wp:positionV>
                <wp:extent cx="1079500" cy="579120"/>
                <wp:effectExtent l="4445" t="4445" r="20955" b="6985"/>
                <wp:wrapNone/>
                <wp:docPr id="46" name="文本框 46"/>
                <wp:cNvGraphicFramePr/>
                <a:graphic xmlns:a="http://schemas.openxmlformats.org/drawingml/2006/main">
                  <a:graphicData uri="http://schemas.microsoft.com/office/word/2010/wordprocessingShape">
                    <wps:wsp>
                      <wps:cNvSpPr txBox="1"/>
                      <wps:spPr>
                        <a:xfrm>
                          <a:off x="0" y="0"/>
                          <a:ext cx="1079500" cy="579120"/>
                        </a:xfrm>
                        <a:prstGeom prst="rect">
                          <a:avLst/>
                        </a:prstGeom>
                        <a:solidFill>
                          <a:srgbClr val="FFFFFF"/>
                        </a:solidFill>
                        <a:ln w="9525" cap="flat" cmpd="sng">
                          <a:solidFill>
                            <a:srgbClr val="FFFFFF"/>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202" type="#_x0000_t202" style="position:absolute;left:0pt;margin-left:-15pt;margin-top:654.85pt;height:45.6pt;width:85pt;z-index:251701248;mso-width-relative:page;mso-height-relative:page;" fillcolor="#FFFFFF" filled="t" stroked="t" coordsize="21600,21600" o:gfxdata="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tPMPnZAAAADQEAAA8AAAAAAAAAAQAgAAAA&#10;IgAAAGRycy9kb3ducmV2LnhtbFBLAQIUABQAAAAIAIdO4kD0hsy2CgIAADgEAAAOAAAAAAAAAAEA&#10;IAAAACgBAABkcnMvZTJvRG9jLnhtbFBLBQYAAAAABgAGAFkBAACkBQAAAAA=&#10;">
                <v:fill on="t" focussize="0,0"/>
                <v:stroke color="#FFFFFF" joinstyle="miter"/>
                <v:imagedata o:title=""/>
                <o:lock v:ext="edit" aspectratio="f"/>
                <v:textbox>
                  <w:txbxContent>
                    <w:p/>
                  </w:txbxContent>
                </v:textbox>
              </v:shape>
            </w:pict>
          </mc:Fallback>
        </mc:AlternateContent>
      </w:r>
      <w:r>
        <w:rPr>
          <w:rFonts w:hint="eastAsia" w:ascii="方正小标宋简体" w:hAnsi="方正小标宋简体" w:eastAsia="方正小标宋简体" w:cs="方正小标宋简体"/>
          <w:b w:val="0"/>
          <w:bCs/>
          <w:color w:val="000000"/>
          <w:sz w:val="44"/>
          <w:szCs w:val="40"/>
        </w:rPr>
        <w:t>发行公司债券项目法律尽职调查业务</w:t>
      </w:r>
      <w:bookmarkEnd w:id="127"/>
    </w:p>
    <w:p>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jc w:val="center"/>
        <w:textAlignment w:val="baseline"/>
        <w:rPr>
          <w:rFonts w:hint="eastAsia" w:ascii="方正小标宋简体" w:hAnsi="方正小标宋简体" w:eastAsia="方正小标宋简体" w:cs="方正小标宋简体"/>
          <w:b w:val="0"/>
          <w:bCs/>
          <w:color w:val="000000"/>
          <w:spacing w:val="-17"/>
          <w:sz w:val="44"/>
          <w:szCs w:val="40"/>
        </w:rPr>
      </w:pPr>
      <w:bookmarkStart w:id="128" w:name="_Toc30395"/>
      <w:r>
        <w:rPr>
          <w:rFonts w:hint="eastAsia" w:ascii="方正小标宋简体" w:hAnsi="方正小标宋简体" w:eastAsia="方正小标宋简体" w:cs="方正小标宋简体"/>
          <w:b w:val="0"/>
          <w:bCs/>
          <w:color w:val="000000"/>
          <w:sz w:val="44"/>
          <w:szCs w:val="40"/>
        </w:rPr>
        <w:t>操作指引</w:t>
      </w:r>
      <w:bookmarkEnd w:id="128"/>
    </w:p>
    <w:p>
      <w:pPr>
        <w:pStyle w:val="2"/>
        <w:keepNext w:val="0"/>
        <w:keepLines w:val="0"/>
        <w:pageBreakBefore w:val="0"/>
        <w:widowControl w:val="0"/>
        <w:wordWrap/>
        <w:bidi w:val="0"/>
        <w:spacing w:before="0" w:after="0" w:line="500" w:lineRule="exact"/>
        <w:jc w:val="center"/>
        <w:textAlignment w:val="baseline"/>
        <w:rPr>
          <w:rFonts w:hint="eastAsia" w:ascii="黑体" w:hAnsi="黑体" w:eastAsia="黑体" w:cs="黑体"/>
          <w:b w:val="0"/>
          <w:bCs/>
          <w:color w:val="000000"/>
          <w:sz w:val="28"/>
          <w:szCs w:val="28"/>
        </w:rPr>
      </w:pPr>
      <w:bookmarkStart w:id="129" w:name="_Toc14756"/>
      <w:r>
        <w:rPr>
          <w:rFonts w:hint="eastAsia" w:ascii="黑体" w:hAnsi="黑体" w:eastAsia="黑体" w:cs="黑体"/>
          <w:b w:val="0"/>
          <w:bCs/>
          <w:color w:val="000000"/>
          <w:sz w:val="28"/>
          <w:szCs w:val="28"/>
        </w:rPr>
        <w:t>第一章  总则</w:t>
      </w:r>
      <w:bookmarkEnd w:id="125"/>
      <w:bookmarkEnd w:id="126"/>
      <w:bookmarkEnd w:id="129"/>
    </w:p>
    <w:p>
      <w:pPr>
        <w:keepNext w:val="0"/>
        <w:keepLines w:val="0"/>
        <w:pageBreakBefore w:val="0"/>
        <w:widowControl w:val="0"/>
        <w:wordWrap/>
        <w:bidi w:val="0"/>
        <w:spacing w:after="0" w:line="500" w:lineRule="exact"/>
        <w:ind w:firstLine="522"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 xml:space="preserve">第一条  </w:t>
      </w:r>
      <w:r>
        <w:rPr>
          <w:rFonts w:hint="eastAsia" w:ascii="仿宋_GB2312" w:hAnsi="仿宋" w:eastAsia="仿宋_GB2312" w:cs="仿宋"/>
          <w:color w:val="000000"/>
          <w:sz w:val="28"/>
          <w:szCs w:val="28"/>
        </w:rPr>
        <w:t>为指导律师正确参与公司债券类项目法律业务，切实做好法律尽职调查工作，制定本指引。</w:t>
      </w:r>
    </w:p>
    <w:p>
      <w:pPr>
        <w:keepNext w:val="0"/>
        <w:keepLines w:val="0"/>
        <w:pageBreakBefore w:val="0"/>
        <w:widowControl w:val="0"/>
        <w:wordWrap/>
        <w:bidi w:val="0"/>
        <w:spacing w:after="0" w:line="500" w:lineRule="exact"/>
        <w:ind w:firstLine="522"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 xml:space="preserve">第二条  </w:t>
      </w:r>
      <w:r>
        <w:rPr>
          <w:rFonts w:hint="eastAsia" w:ascii="仿宋_GB2312" w:hAnsi="仿宋" w:eastAsia="仿宋_GB2312" w:cs="仿宋"/>
          <w:color w:val="000000"/>
          <w:sz w:val="28"/>
          <w:szCs w:val="28"/>
        </w:rPr>
        <w:t>本指引依据和参考的文件主要包括《证券法》、《公司债券发行与交易管理办法》、《律师事务所从事证券法律业务管理办法》等法律、法规、自律性规则。</w:t>
      </w:r>
    </w:p>
    <w:p>
      <w:pPr>
        <w:keepNext w:val="0"/>
        <w:keepLines w:val="0"/>
        <w:pageBreakBefore w:val="0"/>
        <w:widowControl w:val="0"/>
        <w:wordWrap/>
        <w:bidi w:val="0"/>
        <w:spacing w:after="0" w:line="500" w:lineRule="exact"/>
        <w:ind w:firstLine="522"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 xml:space="preserve">第三条  </w:t>
      </w:r>
      <w:r>
        <w:rPr>
          <w:rFonts w:hint="eastAsia" w:ascii="仿宋_GB2312" w:hAnsi="仿宋" w:eastAsia="仿宋_GB2312" w:cs="仿宋"/>
          <w:color w:val="000000"/>
          <w:sz w:val="28"/>
          <w:szCs w:val="28"/>
        </w:rPr>
        <w:t>本指引所称法律尽职调查，是指公司拟发行私募债（非公开发行公司债券）、小公募（面向专业投资者公开发行）、大公募（面向普通投资者公开发行）及交易所以前述三种方式发行的各类专项公司债券（包括：住房租赁、扶贫债、项目收益债、绿色债创新创业债、纾困债）等产品（以下简称“项目”），律师对发行人或有关方（以下简称“被调查方”）的有关资料、文件、信息等从法律角度进行分析和判断，并做出尽职调查结论，出具尽职调查报告。</w:t>
      </w:r>
    </w:p>
    <w:p>
      <w:pPr>
        <w:keepNext w:val="0"/>
        <w:keepLines w:val="0"/>
        <w:pageBreakBefore w:val="0"/>
        <w:widowControl w:val="0"/>
        <w:wordWrap/>
        <w:bidi w:val="0"/>
        <w:spacing w:after="0" w:line="500" w:lineRule="exact"/>
        <w:ind w:firstLine="522"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 xml:space="preserve">第四条  </w:t>
      </w:r>
      <w:r>
        <w:rPr>
          <w:rFonts w:hint="eastAsia" w:ascii="仿宋_GB2312" w:hAnsi="仿宋" w:eastAsia="仿宋_GB2312" w:cs="仿宋"/>
          <w:color w:val="000000"/>
          <w:sz w:val="28"/>
          <w:szCs w:val="28"/>
        </w:rPr>
        <w:t>项目参与人员在进行法律尽职调查工作时，应当具有尽职、尽责的态度，全面细致地完成尽职调查工作，且应当在调查过程中注意保密。</w:t>
      </w:r>
    </w:p>
    <w:p>
      <w:pPr>
        <w:pStyle w:val="2"/>
        <w:keepNext w:val="0"/>
        <w:keepLines w:val="0"/>
        <w:pageBreakBefore w:val="0"/>
        <w:widowControl w:val="0"/>
        <w:wordWrap/>
        <w:bidi w:val="0"/>
        <w:spacing w:before="0" w:after="0" w:line="500" w:lineRule="exact"/>
        <w:jc w:val="center"/>
        <w:textAlignment w:val="baseline"/>
        <w:rPr>
          <w:rFonts w:hint="eastAsia" w:ascii="黑体" w:hAnsi="黑体" w:eastAsia="黑体" w:cs="黑体"/>
          <w:b w:val="0"/>
          <w:bCs/>
          <w:color w:val="000000"/>
          <w:sz w:val="28"/>
          <w:szCs w:val="28"/>
        </w:rPr>
      </w:pPr>
      <w:bookmarkStart w:id="130" w:name="_Toc353717164"/>
      <w:bookmarkStart w:id="131" w:name="_Toc8733"/>
      <w:bookmarkStart w:id="132" w:name="_Toc1293"/>
      <w:r>
        <w:rPr>
          <w:rFonts w:hint="eastAsia" w:ascii="黑体" w:hAnsi="黑体" w:eastAsia="黑体" w:cs="黑体"/>
          <w:b w:val="0"/>
          <w:bCs/>
          <w:color w:val="000000"/>
          <w:sz w:val="28"/>
          <w:szCs w:val="28"/>
        </w:rPr>
        <w:t>第二章  调查材料与调查方法</w:t>
      </w:r>
      <w:bookmarkEnd w:id="130"/>
      <w:bookmarkEnd w:id="131"/>
      <w:bookmarkEnd w:id="132"/>
    </w:p>
    <w:p>
      <w:pPr>
        <w:keepNext w:val="0"/>
        <w:keepLines w:val="0"/>
        <w:pageBreakBefore w:val="0"/>
        <w:widowControl w:val="0"/>
        <w:wordWrap/>
        <w:bidi w:val="0"/>
        <w:spacing w:after="0" w:line="500" w:lineRule="exact"/>
        <w:ind w:firstLine="522"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 xml:space="preserve">第五条  </w:t>
      </w:r>
      <w:r>
        <w:rPr>
          <w:rFonts w:hint="eastAsia" w:ascii="仿宋_GB2312" w:hAnsi="仿宋" w:eastAsia="仿宋_GB2312" w:cs="仿宋"/>
          <w:color w:val="000000"/>
          <w:sz w:val="28"/>
          <w:szCs w:val="28"/>
        </w:rPr>
        <w:t>调查材料是指与调查相关的，反映被调查方情况的文件、资料、信息、数据和档案等，在尽职调查中，调查材料包括但不限于以下几类：</w:t>
      </w:r>
    </w:p>
    <w:p>
      <w:pPr>
        <w:keepNext w:val="0"/>
        <w:keepLines w:val="0"/>
        <w:pageBreakBefore w:val="0"/>
        <w:widowControl w:val="0"/>
        <w:numPr>
          <w:ilvl w:val="0"/>
          <w:numId w:val="74"/>
        </w:numPr>
        <w:wordWrap/>
        <w:bidi w:val="0"/>
        <w:adjustRightInd/>
        <w:snapToGrid/>
        <w:spacing w:after="0" w:line="500" w:lineRule="exact"/>
        <w:ind w:firstLine="522"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由被调查方提供的书面材料；</w:t>
      </w:r>
    </w:p>
    <w:p>
      <w:pPr>
        <w:keepNext w:val="0"/>
        <w:keepLines w:val="0"/>
        <w:pageBreakBefore w:val="0"/>
        <w:widowControl w:val="0"/>
        <w:numPr>
          <w:ilvl w:val="0"/>
          <w:numId w:val="74"/>
        </w:numPr>
        <w:wordWrap/>
        <w:bidi w:val="0"/>
        <w:adjustRightInd/>
        <w:snapToGrid/>
        <w:spacing w:after="0" w:line="500" w:lineRule="exact"/>
        <w:ind w:firstLine="522"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从第三方调取的书面材料；</w:t>
      </w:r>
    </w:p>
    <w:p>
      <w:pPr>
        <w:keepNext w:val="0"/>
        <w:keepLines w:val="0"/>
        <w:pageBreakBefore w:val="0"/>
        <w:widowControl w:val="0"/>
        <w:numPr>
          <w:ilvl w:val="0"/>
          <w:numId w:val="74"/>
        </w:numPr>
        <w:wordWrap/>
        <w:bidi w:val="0"/>
        <w:adjustRightInd/>
        <w:snapToGrid/>
        <w:spacing w:after="0" w:line="500" w:lineRule="exact"/>
        <w:ind w:firstLine="522"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被调查方做出的书面陈述；</w:t>
      </w:r>
    </w:p>
    <w:p>
      <w:pPr>
        <w:keepNext w:val="0"/>
        <w:keepLines w:val="0"/>
        <w:pageBreakBefore w:val="0"/>
        <w:widowControl w:val="0"/>
        <w:numPr>
          <w:ilvl w:val="0"/>
          <w:numId w:val="74"/>
        </w:numPr>
        <w:wordWrap/>
        <w:bidi w:val="0"/>
        <w:adjustRightInd/>
        <w:snapToGrid/>
        <w:spacing w:after="0" w:line="500" w:lineRule="exact"/>
        <w:ind w:firstLine="522"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从其他中介机构获得的书面材料；</w:t>
      </w:r>
    </w:p>
    <w:p>
      <w:pPr>
        <w:keepNext w:val="0"/>
        <w:keepLines w:val="0"/>
        <w:pageBreakBefore w:val="0"/>
        <w:widowControl w:val="0"/>
        <w:numPr>
          <w:ilvl w:val="0"/>
          <w:numId w:val="74"/>
        </w:numPr>
        <w:wordWrap/>
        <w:bidi w:val="0"/>
        <w:adjustRightInd/>
        <w:snapToGrid/>
        <w:spacing w:after="0" w:line="500" w:lineRule="exact"/>
        <w:ind w:firstLine="522"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调查人员对于各类口头陈述的记录或者录音；</w:t>
      </w:r>
    </w:p>
    <w:p>
      <w:pPr>
        <w:keepNext w:val="0"/>
        <w:keepLines w:val="0"/>
        <w:pageBreakBefore w:val="0"/>
        <w:widowControl w:val="0"/>
        <w:numPr>
          <w:ilvl w:val="0"/>
          <w:numId w:val="74"/>
        </w:numPr>
        <w:wordWrap/>
        <w:bidi w:val="0"/>
        <w:adjustRightInd/>
        <w:snapToGrid/>
        <w:spacing w:after="0" w:line="500" w:lineRule="exact"/>
        <w:ind w:firstLine="522"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调查人员对于现场调查的记录。</w:t>
      </w:r>
    </w:p>
    <w:p>
      <w:pPr>
        <w:keepNext w:val="0"/>
        <w:keepLines w:val="0"/>
        <w:pageBreakBefore w:val="0"/>
        <w:widowControl w:val="0"/>
        <w:wordWrap/>
        <w:bidi w:val="0"/>
        <w:spacing w:after="0" w:line="500" w:lineRule="exact"/>
        <w:ind w:firstLine="522"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 xml:space="preserve">第六条  </w:t>
      </w:r>
      <w:r>
        <w:rPr>
          <w:rFonts w:hint="eastAsia" w:ascii="仿宋_GB2312" w:hAnsi="仿宋" w:eastAsia="仿宋_GB2312" w:cs="仿宋"/>
          <w:color w:val="000000"/>
          <w:sz w:val="28"/>
          <w:szCs w:val="28"/>
        </w:rPr>
        <w:t>独立调查是指调查人员从被调查方之外的第三方获取相关调查材料的调查方式。独立调查应当尽量从第三方处获取书面调查材料，若无法获得书面材料的，应当对第三方的调查答复进行详细记录。一般采取独立调查的内容包括如下：</w:t>
      </w:r>
    </w:p>
    <w:p>
      <w:pPr>
        <w:keepNext w:val="0"/>
        <w:keepLines w:val="0"/>
        <w:pageBreakBefore w:val="0"/>
        <w:widowControl w:val="0"/>
        <w:numPr>
          <w:ilvl w:val="0"/>
          <w:numId w:val="75"/>
        </w:numPr>
        <w:wordWrap/>
        <w:bidi w:val="0"/>
        <w:adjustRightInd/>
        <w:snapToGrid/>
        <w:spacing w:after="0" w:line="500" w:lineRule="exact"/>
        <w:ind w:firstLine="522"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自市场监督管理部门调取被调查方的工商档案；</w:t>
      </w:r>
    </w:p>
    <w:p>
      <w:pPr>
        <w:keepNext w:val="0"/>
        <w:keepLines w:val="0"/>
        <w:pageBreakBefore w:val="0"/>
        <w:widowControl w:val="0"/>
        <w:numPr>
          <w:ilvl w:val="0"/>
          <w:numId w:val="75"/>
        </w:numPr>
        <w:wordWrap/>
        <w:bidi w:val="0"/>
        <w:adjustRightInd/>
        <w:snapToGrid/>
        <w:spacing w:after="0" w:line="500" w:lineRule="exact"/>
        <w:ind w:firstLine="522"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自不动产登记中心或房屋、土地管理机关调取被调查方的房地产登记档案；</w:t>
      </w:r>
    </w:p>
    <w:p>
      <w:pPr>
        <w:keepNext w:val="0"/>
        <w:keepLines w:val="0"/>
        <w:pageBreakBefore w:val="0"/>
        <w:widowControl w:val="0"/>
        <w:numPr>
          <w:ilvl w:val="0"/>
          <w:numId w:val="75"/>
        </w:numPr>
        <w:wordWrap/>
        <w:bidi w:val="0"/>
        <w:adjustRightInd/>
        <w:snapToGrid/>
        <w:spacing w:after="0" w:line="500" w:lineRule="exact"/>
        <w:ind w:firstLine="522"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自银行调取被调查方的贷款担保情况；</w:t>
      </w:r>
    </w:p>
    <w:p>
      <w:pPr>
        <w:keepNext w:val="0"/>
        <w:keepLines w:val="0"/>
        <w:pageBreakBefore w:val="0"/>
        <w:widowControl w:val="0"/>
        <w:numPr>
          <w:ilvl w:val="0"/>
          <w:numId w:val="75"/>
        </w:numPr>
        <w:wordWrap/>
        <w:bidi w:val="0"/>
        <w:adjustRightInd/>
        <w:snapToGrid/>
        <w:spacing w:after="0" w:line="500" w:lineRule="exact"/>
        <w:ind w:firstLine="522"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自人民银行调取信用报告；</w:t>
      </w:r>
    </w:p>
    <w:p>
      <w:pPr>
        <w:keepNext w:val="0"/>
        <w:keepLines w:val="0"/>
        <w:pageBreakBefore w:val="0"/>
        <w:widowControl w:val="0"/>
        <w:numPr>
          <w:ilvl w:val="0"/>
          <w:numId w:val="75"/>
        </w:numPr>
        <w:wordWrap/>
        <w:bidi w:val="0"/>
        <w:adjustRightInd/>
        <w:snapToGrid/>
        <w:spacing w:after="0" w:line="500" w:lineRule="exact"/>
        <w:ind w:firstLine="522"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自劳动管理机关调取被调查方的社保缴纳情况；</w:t>
      </w:r>
    </w:p>
    <w:p>
      <w:pPr>
        <w:keepNext w:val="0"/>
        <w:keepLines w:val="0"/>
        <w:pageBreakBefore w:val="0"/>
        <w:widowControl w:val="0"/>
        <w:numPr>
          <w:ilvl w:val="0"/>
          <w:numId w:val="75"/>
        </w:numPr>
        <w:wordWrap/>
        <w:bidi w:val="0"/>
        <w:adjustRightInd/>
        <w:snapToGrid/>
        <w:spacing w:after="0" w:line="500" w:lineRule="exact"/>
        <w:ind w:firstLine="522"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从企业信用信息查询公示系统、信用中国、裁判文书网、中国执行信息公开网等公示的内容；</w:t>
      </w:r>
    </w:p>
    <w:p>
      <w:pPr>
        <w:keepNext w:val="0"/>
        <w:keepLines w:val="0"/>
        <w:pageBreakBefore w:val="0"/>
        <w:widowControl w:val="0"/>
        <w:numPr>
          <w:ilvl w:val="0"/>
          <w:numId w:val="75"/>
        </w:numPr>
        <w:wordWrap/>
        <w:bidi w:val="0"/>
        <w:adjustRightInd/>
        <w:snapToGrid/>
        <w:spacing w:after="0" w:line="500" w:lineRule="exact"/>
        <w:ind w:firstLine="522"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通过政府网站、主管部门的网站搜集行政处罚、监管措施等资料；</w:t>
      </w:r>
    </w:p>
    <w:p>
      <w:pPr>
        <w:keepNext w:val="0"/>
        <w:keepLines w:val="0"/>
        <w:pageBreakBefore w:val="0"/>
        <w:widowControl w:val="0"/>
        <w:numPr>
          <w:ilvl w:val="0"/>
          <w:numId w:val="75"/>
        </w:numPr>
        <w:wordWrap/>
        <w:bidi w:val="0"/>
        <w:adjustRightInd/>
        <w:snapToGrid/>
        <w:spacing w:after="0" w:line="500" w:lineRule="exact"/>
        <w:ind w:firstLine="522"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搜索引擎搜索相关舆情信息。</w:t>
      </w:r>
    </w:p>
    <w:p>
      <w:pPr>
        <w:keepNext w:val="0"/>
        <w:keepLines w:val="0"/>
        <w:pageBreakBefore w:val="0"/>
        <w:widowControl w:val="0"/>
        <w:wordWrap/>
        <w:bidi w:val="0"/>
        <w:spacing w:after="0" w:line="500" w:lineRule="exact"/>
        <w:ind w:firstLine="522"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 xml:space="preserve">第七条  </w:t>
      </w:r>
      <w:r>
        <w:rPr>
          <w:rFonts w:hint="eastAsia" w:ascii="仿宋_GB2312" w:hAnsi="仿宋" w:eastAsia="仿宋_GB2312" w:cs="仿宋"/>
          <w:color w:val="000000"/>
          <w:sz w:val="28"/>
          <w:szCs w:val="28"/>
        </w:rPr>
        <w:t>书面调查是指调查人员从被调查方处获取书面调查材料的调查方式。调查人员获得书面材料复印件的，应当与原件核对，并要求被调查方签字、盖章确认。</w:t>
      </w:r>
    </w:p>
    <w:p>
      <w:pPr>
        <w:keepNext w:val="0"/>
        <w:keepLines w:val="0"/>
        <w:pageBreakBefore w:val="0"/>
        <w:widowControl w:val="0"/>
        <w:wordWrap/>
        <w:bidi w:val="0"/>
        <w:spacing w:after="0" w:line="500" w:lineRule="exact"/>
        <w:ind w:firstLine="522"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 xml:space="preserve">第八条  </w:t>
      </w:r>
      <w:r>
        <w:rPr>
          <w:rFonts w:hint="eastAsia" w:ascii="仿宋_GB2312" w:hAnsi="仿宋" w:eastAsia="仿宋_GB2312" w:cs="仿宋"/>
          <w:color w:val="000000"/>
          <w:sz w:val="28"/>
          <w:szCs w:val="28"/>
        </w:rPr>
        <w:t>询问调查是指调查人员就相关事项询问被调查方，并由被调查方做出回复的调查方式。</w:t>
      </w:r>
    </w:p>
    <w:p>
      <w:pPr>
        <w:keepNext w:val="0"/>
        <w:keepLines w:val="0"/>
        <w:pageBreakBefore w:val="0"/>
        <w:widowControl w:val="0"/>
        <w:numPr>
          <w:ilvl w:val="0"/>
          <w:numId w:val="76"/>
        </w:numPr>
        <w:wordWrap/>
        <w:bidi w:val="0"/>
        <w:adjustRightInd/>
        <w:snapToGrid/>
        <w:spacing w:after="0" w:line="500" w:lineRule="exact"/>
        <w:ind w:firstLine="522"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询问调查应当尽量采用书面形式，并要求被调查方盖章或签字确认。</w:t>
      </w:r>
    </w:p>
    <w:p>
      <w:pPr>
        <w:keepNext w:val="0"/>
        <w:keepLines w:val="0"/>
        <w:pageBreakBefore w:val="0"/>
        <w:widowControl w:val="0"/>
        <w:numPr>
          <w:ilvl w:val="0"/>
          <w:numId w:val="76"/>
        </w:numPr>
        <w:wordWrap/>
        <w:bidi w:val="0"/>
        <w:adjustRightInd/>
        <w:snapToGrid/>
        <w:spacing w:after="0" w:line="500" w:lineRule="exact"/>
        <w:ind w:firstLine="522"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询问调查亦可采用传真、电子邮件等方式。</w:t>
      </w:r>
    </w:p>
    <w:p>
      <w:pPr>
        <w:keepNext w:val="0"/>
        <w:keepLines w:val="0"/>
        <w:pageBreakBefore w:val="0"/>
        <w:widowControl w:val="0"/>
        <w:numPr>
          <w:ilvl w:val="0"/>
          <w:numId w:val="76"/>
        </w:numPr>
        <w:wordWrap/>
        <w:bidi w:val="0"/>
        <w:adjustRightInd/>
        <w:snapToGrid/>
        <w:spacing w:after="0" w:line="500" w:lineRule="exact"/>
        <w:ind w:firstLine="522"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询问调查若采用口头形式的，调查人员应当对口头交流过程进行详细记录，有条件的，应当进行录音。</w:t>
      </w:r>
    </w:p>
    <w:p>
      <w:pPr>
        <w:keepNext w:val="0"/>
        <w:keepLines w:val="0"/>
        <w:pageBreakBefore w:val="0"/>
        <w:widowControl w:val="0"/>
        <w:wordWrap/>
        <w:bidi w:val="0"/>
        <w:spacing w:after="0" w:line="500" w:lineRule="exact"/>
        <w:ind w:firstLine="522"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 xml:space="preserve">第九条  </w:t>
      </w:r>
      <w:r>
        <w:rPr>
          <w:rFonts w:hint="eastAsia" w:ascii="仿宋_GB2312" w:hAnsi="仿宋" w:eastAsia="仿宋_GB2312" w:cs="仿宋"/>
          <w:color w:val="000000"/>
          <w:sz w:val="28"/>
          <w:szCs w:val="28"/>
        </w:rPr>
        <w:t>现场调查是指调查人员对于调查涉及的不动产、动产等有形资产、运作体系进行观察以确认、核实相关事实。</w:t>
      </w:r>
    </w:p>
    <w:p>
      <w:pPr>
        <w:keepNext w:val="0"/>
        <w:keepLines w:val="0"/>
        <w:pageBreakBefore w:val="0"/>
        <w:widowControl w:val="0"/>
        <w:numPr>
          <w:ilvl w:val="0"/>
          <w:numId w:val="77"/>
        </w:numPr>
        <w:wordWrap/>
        <w:bidi w:val="0"/>
        <w:adjustRightInd/>
        <w:snapToGrid/>
        <w:spacing w:after="0" w:line="500" w:lineRule="exact"/>
        <w:ind w:firstLine="522"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现场调查应当制作详细的调查记录。</w:t>
      </w:r>
    </w:p>
    <w:p>
      <w:pPr>
        <w:keepNext w:val="0"/>
        <w:keepLines w:val="0"/>
        <w:pageBreakBefore w:val="0"/>
        <w:widowControl w:val="0"/>
        <w:numPr>
          <w:ilvl w:val="0"/>
          <w:numId w:val="77"/>
        </w:numPr>
        <w:wordWrap/>
        <w:bidi w:val="0"/>
        <w:adjustRightInd/>
        <w:snapToGrid/>
        <w:spacing w:after="0" w:line="500" w:lineRule="exact"/>
        <w:ind w:firstLine="522"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对于调查涉及的不动产、动产、运行体系等可采用现场调查方式。</w:t>
      </w:r>
    </w:p>
    <w:p>
      <w:pPr>
        <w:keepNext w:val="0"/>
        <w:keepLines w:val="0"/>
        <w:pageBreakBefore w:val="0"/>
        <w:widowControl w:val="0"/>
        <w:numPr>
          <w:ilvl w:val="0"/>
          <w:numId w:val="77"/>
        </w:numPr>
        <w:wordWrap/>
        <w:bidi w:val="0"/>
        <w:adjustRightInd/>
        <w:snapToGrid/>
        <w:spacing w:after="0" w:line="500" w:lineRule="exact"/>
        <w:ind w:firstLine="522"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公司运作体系包括公司组织架构、公司治理结构等情况。</w:t>
      </w:r>
    </w:p>
    <w:p>
      <w:pPr>
        <w:keepNext w:val="0"/>
        <w:keepLines w:val="0"/>
        <w:pageBreakBefore w:val="0"/>
        <w:widowControl w:val="0"/>
        <w:wordWrap/>
        <w:bidi w:val="0"/>
        <w:spacing w:after="0" w:line="500" w:lineRule="exact"/>
        <w:ind w:firstLine="522"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 xml:space="preserve">第十条  </w:t>
      </w:r>
      <w:r>
        <w:rPr>
          <w:rFonts w:hint="eastAsia" w:ascii="仿宋_GB2312" w:hAnsi="仿宋" w:eastAsia="仿宋_GB2312" w:cs="仿宋"/>
          <w:color w:val="000000"/>
          <w:sz w:val="28"/>
          <w:szCs w:val="28"/>
        </w:rPr>
        <w:t>间接调查是指调查人员从发行人聘请的其他参与调查的中介机构（证券公司、银行、会计师事务所、评级机构、评估事务所等）获取调查材料的调查方式。</w:t>
      </w:r>
    </w:p>
    <w:p>
      <w:pPr>
        <w:keepNext w:val="0"/>
        <w:keepLines w:val="0"/>
        <w:pageBreakBefore w:val="0"/>
        <w:widowControl w:val="0"/>
        <w:wordWrap/>
        <w:bidi w:val="0"/>
        <w:spacing w:after="0" w:line="500" w:lineRule="exact"/>
        <w:ind w:firstLine="522"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只有在获取书面调查材料时可以采用间接调查的方式。调查人员必须确认该等书面调查材料的来源以及是否与原件核对一致。</w:t>
      </w:r>
    </w:p>
    <w:p>
      <w:pPr>
        <w:keepNext w:val="0"/>
        <w:keepLines w:val="0"/>
        <w:pageBreakBefore w:val="0"/>
        <w:widowControl w:val="0"/>
        <w:wordWrap/>
        <w:bidi w:val="0"/>
        <w:spacing w:after="0" w:line="500" w:lineRule="exact"/>
        <w:ind w:firstLine="522"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 xml:space="preserve">第十一条 </w:t>
      </w:r>
      <w:r>
        <w:rPr>
          <w:rFonts w:hint="eastAsia" w:ascii="仿宋_GB2312" w:hAnsi="仿宋" w:eastAsia="仿宋_GB2312" w:cs="仿宋"/>
          <w:color w:val="000000"/>
          <w:sz w:val="28"/>
          <w:szCs w:val="28"/>
        </w:rPr>
        <w:t>调查人员可根据实际情况运用不同的调查方式，但是在可能的情况下应当首先选用独立调查方式进行调查，其次应当以书面调查和现场调查为主，间接调查为辅，尽量减少采用询问调查。</w:t>
      </w:r>
    </w:p>
    <w:p>
      <w:pPr>
        <w:pStyle w:val="2"/>
        <w:keepNext w:val="0"/>
        <w:keepLines w:val="0"/>
        <w:pageBreakBefore w:val="0"/>
        <w:widowControl w:val="0"/>
        <w:wordWrap/>
        <w:bidi w:val="0"/>
        <w:spacing w:before="0" w:after="0" w:line="500" w:lineRule="exact"/>
        <w:jc w:val="center"/>
        <w:textAlignment w:val="baseline"/>
        <w:rPr>
          <w:rFonts w:hint="eastAsia" w:ascii="黑体" w:hAnsi="黑体" w:eastAsia="黑体" w:cs="黑体"/>
          <w:b w:val="0"/>
          <w:bCs/>
          <w:color w:val="000000"/>
          <w:sz w:val="28"/>
          <w:szCs w:val="28"/>
        </w:rPr>
      </w:pPr>
      <w:bookmarkStart w:id="133" w:name="_Toc24278"/>
      <w:bookmarkStart w:id="134" w:name="_Toc26527"/>
      <w:bookmarkStart w:id="135" w:name="_Toc353717165"/>
      <w:r>
        <w:rPr>
          <w:rFonts w:hint="eastAsia" w:ascii="黑体" w:hAnsi="黑体" w:eastAsia="黑体" w:cs="黑体"/>
          <w:b w:val="0"/>
          <w:bCs/>
          <w:color w:val="000000"/>
          <w:sz w:val="28"/>
          <w:szCs w:val="28"/>
        </w:rPr>
        <w:t>第三章  尽职调查的基本分类和工作程序</w:t>
      </w:r>
      <w:bookmarkEnd w:id="133"/>
      <w:bookmarkEnd w:id="134"/>
      <w:bookmarkEnd w:id="135"/>
    </w:p>
    <w:p>
      <w:pPr>
        <w:keepNext w:val="0"/>
        <w:keepLines w:val="0"/>
        <w:pageBreakBefore w:val="0"/>
        <w:widowControl w:val="0"/>
        <w:wordWrap/>
        <w:bidi w:val="0"/>
        <w:spacing w:after="0" w:line="500" w:lineRule="exact"/>
        <w:ind w:firstLine="522"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 xml:space="preserve">第十二条  </w:t>
      </w:r>
      <w:r>
        <w:rPr>
          <w:rFonts w:hint="eastAsia" w:ascii="仿宋_GB2312" w:hAnsi="仿宋" w:eastAsia="仿宋_GB2312" w:cs="仿宋"/>
          <w:color w:val="000000"/>
          <w:sz w:val="28"/>
          <w:szCs w:val="28"/>
        </w:rPr>
        <w:t>以尽职调查的主要内容为标准，尽职调查可分为基本情况调查、资产状况调查、业务情况调查、特殊事项调查四种基本类型。</w:t>
      </w:r>
    </w:p>
    <w:p>
      <w:pPr>
        <w:keepNext w:val="0"/>
        <w:keepLines w:val="0"/>
        <w:pageBreakBefore w:val="0"/>
        <w:widowControl w:val="0"/>
        <w:wordWrap/>
        <w:bidi w:val="0"/>
        <w:spacing w:after="0" w:line="500" w:lineRule="exact"/>
        <w:ind w:firstLine="522"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 xml:space="preserve">第十三条  </w:t>
      </w:r>
      <w:r>
        <w:rPr>
          <w:rFonts w:hint="eastAsia" w:ascii="仿宋_GB2312" w:hAnsi="仿宋" w:eastAsia="仿宋_GB2312" w:cs="仿宋"/>
          <w:color w:val="000000"/>
          <w:sz w:val="28"/>
          <w:szCs w:val="28"/>
        </w:rPr>
        <w:t>开展调查工作前，调查人员应当向发行人和主承销商的负责人了解项目的基本内容以及发行人的基本情况，依此确定调查范围。调查人员应当遵循谨慎的原则确定调查范围，确保调查范围能够满足项目的需要。</w:t>
      </w:r>
    </w:p>
    <w:p>
      <w:pPr>
        <w:keepNext w:val="0"/>
        <w:keepLines w:val="0"/>
        <w:pageBreakBefore w:val="0"/>
        <w:widowControl w:val="0"/>
        <w:wordWrap/>
        <w:bidi w:val="0"/>
        <w:spacing w:after="0" w:line="500" w:lineRule="exact"/>
        <w:ind w:firstLine="522"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 xml:space="preserve">第十四条  </w:t>
      </w:r>
      <w:r>
        <w:rPr>
          <w:rFonts w:hint="eastAsia" w:ascii="仿宋_GB2312" w:hAnsi="仿宋" w:eastAsia="仿宋_GB2312" w:cs="仿宋"/>
          <w:color w:val="000000"/>
          <w:sz w:val="28"/>
          <w:szCs w:val="28"/>
        </w:rPr>
        <w:t>调查人员应当根据调查范围制订调查方案，调查方案至少包括以下内容：</w:t>
      </w:r>
    </w:p>
    <w:p>
      <w:pPr>
        <w:keepNext w:val="0"/>
        <w:keepLines w:val="0"/>
        <w:pageBreakBefore w:val="0"/>
        <w:widowControl w:val="0"/>
        <w:numPr>
          <w:ilvl w:val="0"/>
          <w:numId w:val="78"/>
        </w:numPr>
        <w:wordWrap/>
        <w:bidi w:val="0"/>
        <w:adjustRightInd/>
        <w:snapToGrid/>
        <w:spacing w:after="0" w:line="500" w:lineRule="exact"/>
        <w:ind w:firstLine="522"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所需要的调查材料的初步范围；</w:t>
      </w:r>
    </w:p>
    <w:p>
      <w:pPr>
        <w:keepNext w:val="0"/>
        <w:keepLines w:val="0"/>
        <w:pageBreakBefore w:val="0"/>
        <w:widowControl w:val="0"/>
        <w:numPr>
          <w:ilvl w:val="0"/>
          <w:numId w:val="78"/>
        </w:numPr>
        <w:wordWrap/>
        <w:bidi w:val="0"/>
        <w:adjustRightInd/>
        <w:snapToGrid/>
        <w:spacing w:after="0" w:line="500" w:lineRule="exact"/>
        <w:ind w:firstLine="522"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各类调查材料的来源；</w:t>
      </w:r>
    </w:p>
    <w:p>
      <w:pPr>
        <w:keepNext w:val="0"/>
        <w:keepLines w:val="0"/>
        <w:pageBreakBefore w:val="0"/>
        <w:widowControl w:val="0"/>
        <w:numPr>
          <w:ilvl w:val="0"/>
          <w:numId w:val="78"/>
        </w:numPr>
        <w:wordWrap/>
        <w:bidi w:val="0"/>
        <w:adjustRightInd/>
        <w:snapToGrid/>
        <w:spacing w:after="0" w:line="500" w:lineRule="exact"/>
        <w:ind w:firstLine="522"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现场工作的预计时间与工作安排；</w:t>
      </w:r>
    </w:p>
    <w:p>
      <w:pPr>
        <w:keepNext w:val="0"/>
        <w:keepLines w:val="0"/>
        <w:pageBreakBefore w:val="0"/>
        <w:widowControl w:val="0"/>
        <w:numPr>
          <w:ilvl w:val="0"/>
          <w:numId w:val="78"/>
        </w:numPr>
        <w:wordWrap/>
        <w:bidi w:val="0"/>
        <w:adjustRightInd/>
        <w:snapToGrid/>
        <w:spacing w:after="0" w:line="500" w:lineRule="exact"/>
        <w:ind w:firstLine="522"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现场工作的人员安排。</w:t>
      </w:r>
    </w:p>
    <w:p>
      <w:pPr>
        <w:keepNext w:val="0"/>
        <w:keepLines w:val="0"/>
        <w:pageBreakBefore w:val="0"/>
        <w:widowControl w:val="0"/>
        <w:wordWrap/>
        <w:bidi w:val="0"/>
        <w:spacing w:after="0" w:line="500" w:lineRule="exact"/>
        <w:ind w:firstLine="522"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 xml:space="preserve">第十五条  </w:t>
      </w:r>
      <w:r>
        <w:rPr>
          <w:rFonts w:hint="eastAsia" w:ascii="仿宋_GB2312" w:hAnsi="仿宋" w:eastAsia="仿宋_GB2312" w:cs="仿宋"/>
          <w:color w:val="000000"/>
          <w:sz w:val="28"/>
          <w:szCs w:val="28"/>
        </w:rPr>
        <w:t>调查人员应当根据调查方案，制作书面调查函及书面调查材料要求清单，以适当的方式提交被调查方，便于被调查方进行前期准备。</w:t>
      </w:r>
    </w:p>
    <w:p>
      <w:pPr>
        <w:keepNext w:val="0"/>
        <w:keepLines w:val="0"/>
        <w:pageBreakBefore w:val="0"/>
        <w:widowControl w:val="0"/>
        <w:wordWrap/>
        <w:bidi w:val="0"/>
        <w:spacing w:after="0" w:line="500" w:lineRule="exact"/>
        <w:ind w:firstLine="522"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 xml:space="preserve">第十六条  </w:t>
      </w:r>
      <w:r>
        <w:rPr>
          <w:rFonts w:hint="eastAsia" w:ascii="仿宋_GB2312" w:hAnsi="仿宋" w:eastAsia="仿宋_GB2312" w:cs="仿宋"/>
          <w:color w:val="000000"/>
          <w:sz w:val="28"/>
          <w:szCs w:val="28"/>
        </w:rPr>
        <w:t>调查人员根据调查方案，进行独立调查、现场调查，收集书面调查材料，并根据需要开展间接调查与询问调查。</w:t>
      </w:r>
    </w:p>
    <w:p>
      <w:pPr>
        <w:keepNext w:val="0"/>
        <w:keepLines w:val="0"/>
        <w:pageBreakBefore w:val="0"/>
        <w:widowControl w:val="0"/>
        <w:wordWrap/>
        <w:bidi w:val="0"/>
        <w:spacing w:after="0" w:line="500" w:lineRule="exact"/>
        <w:ind w:firstLine="522"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调查人员应当及时对调查所获得的材料进行初步的整理与分析，梳理发现的问题。</w:t>
      </w:r>
    </w:p>
    <w:p>
      <w:pPr>
        <w:keepNext w:val="0"/>
        <w:keepLines w:val="0"/>
        <w:pageBreakBefore w:val="0"/>
        <w:widowControl w:val="0"/>
        <w:wordWrap/>
        <w:bidi w:val="0"/>
        <w:spacing w:after="0" w:line="500" w:lineRule="exact"/>
        <w:ind w:firstLine="522"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 xml:space="preserve">第十七条  </w:t>
      </w:r>
      <w:r>
        <w:rPr>
          <w:rFonts w:hint="eastAsia" w:ascii="仿宋_GB2312" w:hAnsi="仿宋" w:eastAsia="仿宋_GB2312" w:cs="仿宋"/>
          <w:color w:val="000000"/>
          <w:sz w:val="28"/>
          <w:szCs w:val="28"/>
        </w:rPr>
        <w:t>调查人员对于初步调查发现的问题进行充分的分析与讨论，制订简单的补充调查方案，并及时开展补充调查。</w:t>
      </w:r>
    </w:p>
    <w:p>
      <w:pPr>
        <w:keepNext w:val="0"/>
        <w:keepLines w:val="0"/>
        <w:pageBreakBefore w:val="0"/>
        <w:widowControl w:val="0"/>
        <w:wordWrap/>
        <w:bidi w:val="0"/>
        <w:spacing w:after="0" w:line="500" w:lineRule="exact"/>
        <w:ind w:firstLine="522"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对于较为复杂，难以梳理的问题，可以进行多次补充调查，亦可以通过适当的方式在材料整理阶段以及尽职调查报告撰写阶段再次进行补充调查。</w:t>
      </w:r>
    </w:p>
    <w:p>
      <w:pPr>
        <w:keepNext w:val="0"/>
        <w:keepLines w:val="0"/>
        <w:pageBreakBefore w:val="0"/>
        <w:widowControl w:val="0"/>
        <w:wordWrap/>
        <w:bidi w:val="0"/>
        <w:spacing w:after="0" w:line="500" w:lineRule="exact"/>
        <w:ind w:firstLine="522"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 xml:space="preserve">第十八条  </w:t>
      </w:r>
      <w:r>
        <w:rPr>
          <w:rFonts w:hint="eastAsia" w:ascii="仿宋_GB2312" w:hAnsi="仿宋" w:eastAsia="仿宋_GB2312" w:cs="仿宋"/>
          <w:color w:val="000000"/>
          <w:sz w:val="28"/>
          <w:szCs w:val="28"/>
        </w:rPr>
        <w:t>调查人员应当对获得的材料进行适当的整理，整理的方式包括但不限于：</w:t>
      </w:r>
    </w:p>
    <w:p>
      <w:pPr>
        <w:keepNext w:val="0"/>
        <w:keepLines w:val="0"/>
        <w:pageBreakBefore w:val="0"/>
        <w:widowControl w:val="0"/>
        <w:numPr>
          <w:ilvl w:val="0"/>
          <w:numId w:val="79"/>
        </w:numPr>
        <w:wordWrap/>
        <w:bidi w:val="0"/>
        <w:spacing w:after="0" w:line="500" w:lineRule="exact"/>
        <w:ind w:firstLine="522"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制作清单表格；</w:t>
      </w:r>
    </w:p>
    <w:p>
      <w:pPr>
        <w:keepNext w:val="0"/>
        <w:keepLines w:val="0"/>
        <w:pageBreakBefore w:val="0"/>
        <w:widowControl w:val="0"/>
        <w:numPr>
          <w:ilvl w:val="0"/>
          <w:numId w:val="79"/>
        </w:numPr>
        <w:wordWrap/>
        <w:bidi w:val="0"/>
        <w:spacing w:after="0" w:line="500" w:lineRule="exact"/>
        <w:ind w:firstLine="522"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制作框图图表；</w:t>
      </w:r>
    </w:p>
    <w:p>
      <w:pPr>
        <w:keepNext w:val="0"/>
        <w:keepLines w:val="0"/>
        <w:pageBreakBefore w:val="0"/>
        <w:widowControl w:val="0"/>
        <w:numPr>
          <w:ilvl w:val="0"/>
          <w:numId w:val="79"/>
        </w:numPr>
        <w:wordWrap/>
        <w:bidi w:val="0"/>
        <w:spacing w:after="0" w:line="500" w:lineRule="exact"/>
        <w:ind w:firstLine="522"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对于单个法律问题的研究分析等。</w:t>
      </w:r>
    </w:p>
    <w:p>
      <w:pPr>
        <w:keepNext w:val="0"/>
        <w:keepLines w:val="0"/>
        <w:pageBreakBefore w:val="0"/>
        <w:widowControl w:val="0"/>
        <w:wordWrap/>
        <w:bidi w:val="0"/>
        <w:spacing w:after="0" w:line="500" w:lineRule="exact"/>
        <w:ind w:firstLine="522"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整理材料所制作的文件作为撰写尽职调查报告的素材，亦作为工作底稿用于存档。</w:t>
      </w:r>
    </w:p>
    <w:p>
      <w:pPr>
        <w:keepNext w:val="0"/>
        <w:keepLines w:val="0"/>
        <w:pageBreakBefore w:val="0"/>
        <w:widowControl w:val="0"/>
        <w:wordWrap/>
        <w:bidi w:val="0"/>
        <w:spacing w:after="0" w:line="500" w:lineRule="exact"/>
        <w:ind w:firstLine="522"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 xml:space="preserve">第十九条  </w:t>
      </w:r>
      <w:r>
        <w:rPr>
          <w:rFonts w:hint="eastAsia" w:ascii="仿宋_GB2312" w:hAnsi="仿宋" w:eastAsia="仿宋_GB2312" w:cs="仿宋"/>
          <w:color w:val="000000"/>
          <w:sz w:val="28"/>
          <w:szCs w:val="28"/>
        </w:rPr>
        <w:t>调查人员应当根据要求撰写尽职调查报告。</w:t>
      </w:r>
    </w:p>
    <w:p>
      <w:pPr>
        <w:keepNext w:val="0"/>
        <w:keepLines w:val="0"/>
        <w:pageBreakBefore w:val="0"/>
        <w:widowControl w:val="0"/>
        <w:wordWrap/>
        <w:bidi w:val="0"/>
        <w:spacing w:after="0" w:line="500" w:lineRule="exact"/>
        <w:ind w:firstLine="522"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尽职调查报告应当层层递进，段落清晰，行文简洁，突出重点。尽职调查报告的基本结构是列举调查材料确定相关事实，引用适用的法律进行分析与论证，并提出结论。</w:t>
      </w:r>
    </w:p>
    <w:p>
      <w:pPr>
        <w:pStyle w:val="2"/>
        <w:keepNext w:val="0"/>
        <w:keepLines w:val="0"/>
        <w:pageBreakBefore w:val="0"/>
        <w:widowControl w:val="0"/>
        <w:wordWrap/>
        <w:bidi w:val="0"/>
        <w:spacing w:before="0" w:after="0" w:line="500" w:lineRule="exact"/>
        <w:jc w:val="center"/>
        <w:textAlignment w:val="baseline"/>
        <w:rPr>
          <w:rFonts w:hint="eastAsia" w:ascii="黑体" w:hAnsi="黑体" w:eastAsia="黑体" w:cs="黑体"/>
          <w:b w:val="0"/>
          <w:bCs/>
          <w:color w:val="000000"/>
          <w:sz w:val="28"/>
          <w:szCs w:val="28"/>
        </w:rPr>
      </w:pPr>
      <w:bookmarkStart w:id="136" w:name="_Toc13288"/>
      <w:bookmarkStart w:id="137" w:name="_Toc353717166"/>
      <w:bookmarkStart w:id="138" w:name="_Toc29721"/>
      <w:r>
        <w:rPr>
          <w:rFonts w:hint="eastAsia" w:ascii="黑体" w:hAnsi="黑体" w:eastAsia="黑体" w:cs="黑体"/>
          <w:b w:val="0"/>
          <w:bCs/>
          <w:color w:val="000000"/>
          <w:sz w:val="28"/>
          <w:szCs w:val="28"/>
        </w:rPr>
        <w:t>第四章  尽职调查的内容和基本要求</w:t>
      </w:r>
      <w:bookmarkEnd w:id="136"/>
      <w:bookmarkEnd w:id="137"/>
      <w:bookmarkEnd w:id="138"/>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 xml:space="preserve">第二十条  </w:t>
      </w:r>
      <w:r>
        <w:rPr>
          <w:rFonts w:hint="eastAsia" w:ascii="仿宋_GB2312" w:hAnsi="仿宋" w:eastAsia="仿宋_GB2312" w:cs="仿宋"/>
          <w:color w:val="000000"/>
          <w:sz w:val="28"/>
          <w:szCs w:val="28"/>
        </w:rPr>
        <w:t>公司设立和存续相关材料</w:t>
      </w:r>
    </w:p>
    <w:p>
      <w:pPr>
        <w:keepNext w:val="0"/>
        <w:keepLines w:val="0"/>
        <w:pageBreakBefore w:val="0"/>
        <w:widowControl w:val="0"/>
        <w:numPr>
          <w:ilvl w:val="0"/>
          <w:numId w:val="80"/>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公司设立至今历年变更及现行有效的加载统一社会信用代码的《营业执照》（营业执照、组织机构代码、税务登记）；</w:t>
      </w:r>
    </w:p>
    <w:p>
      <w:pPr>
        <w:keepNext w:val="0"/>
        <w:keepLines w:val="0"/>
        <w:pageBreakBefore w:val="0"/>
        <w:widowControl w:val="0"/>
        <w:numPr>
          <w:ilvl w:val="0"/>
          <w:numId w:val="80"/>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公司设立至今历次变更以及现行有效的公司章程；</w:t>
      </w:r>
    </w:p>
    <w:p>
      <w:pPr>
        <w:keepNext w:val="0"/>
        <w:keepLines w:val="0"/>
        <w:pageBreakBefore w:val="0"/>
        <w:widowControl w:val="0"/>
        <w:numPr>
          <w:ilvl w:val="0"/>
          <w:numId w:val="80"/>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公司设立至今历次变更时验资报告（如有）或实缴凭证；</w:t>
      </w:r>
    </w:p>
    <w:p>
      <w:pPr>
        <w:keepNext w:val="0"/>
        <w:keepLines w:val="0"/>
        <w:pageBreakBefore w:val="0"/>
        <w:widowControl w:val="0"/>
        <w:numPr>
          <w:ilvl w:val="0"/>
          <w:numId w:val="80"/>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司设立至今历次股权转让的资料，包括但不限于股权转让合同、资产评估报告或审计报告（若有）、关于股权转让的董事会决议和股东（大）会决议、有关外资主管部门的批准文件及批准证书（若适用）、股权转让对价的支付凭证、股东变更的工商登记文件；</w:t>
      </w:r>
    </w:p>
    <w:p>
      <w:pPr>
        <w:keepNext w:val="0"/>
        <w:keepLines w:val="0"/>
        <w:pageBreakBefore w:val="0"/>
        <w:widowControl w:val="0"/>
        <w:numPr>
          <w:ilvl w:val="0"/>
          <w:numId w:val="80"/>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司设立至今历次增资的资料（若有），包括但不限于增资协议、资产评估报告或审计报告（若有）、董事会或股东（大）会关于增资的协议、验资报告及付款凭证、有关外资主管部门的批准文件及批准证书（如适用）、注册资本变更的工商变更登记文件；</w:t>
      </w:r>
    </w:p>
    <w:p>
      <w:pPr>
        <w:keepNext w:val="0"/>
        <w:keepLines w:val="0"/>
        <w:pageBreakBefore w:val="0"/>
        <w:widowControl w:val="0"/>
        <w:numPr>
          <w:ilvl w:val="0"/>
          <w:numId w:val="80"/>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公司股份登记薄、以及任何其他说明公司的股份发行和所有权的记录及股东协议（若有）；</w:t>
      </w:r>
    </w:p>
    <w:p>
      <w:pPr>
        <w:keepNext w:val="0"/>
        <w:keepLines w:val="0"/>
        <w:pageBreakBefore w:val="0"/>
        <w:widowControl w:val="0"/>
        <w:numPr>
          <w:ilvl w:val="0"/>
          <w:numId w:val="80"/>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任何关于公司股权所涉表决权的协议以及任何限定或限制公司股权的协议（若有）。</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b/>
          <w:bCs/>
          <w:color w:val="000000"/>
          <w:sz w:val="28"/>
          <w:szCs w:val="28"/>
        </w:rPr>
      </w:pPr>
      <w:r>
        <w:rPr>
          <w:rFonts w:hint="eastAsia" w:ascii="仿宋_GB2312" w:hAnsi="仿宋" w:eastAsia="仿宋_GB2312" w:cs="仿宋"/>
          <w:b/>
          <w:bCs/>
          <w:color w:val="000000"/>
          <w:sz w:val="28"/>
          <w:szCs w:val="28"/>
        </w:rPr>
        <w:t xml:space="preserve">第二十一条  </w:t>
      </w:r>
      <w:r>
        <w:rPr>
          <w:rFonts w:hint="eastAsia" w:ascii="仿宋_GB2312" w:hAnsi="仿宋" w:eastAsia="仿宋_GB2312" w:cs="仿宋"/>
          <w:color w:val="000000"/>
          <w:sz w:val="28"/>
          <w:szCs w:val="28"/>
        </w:rPr>
        <w:t>公司控股股东及实际控制人</w:t>
      </w:r>
    </w:p>
    <w:p>
      <w:pPr>
        <w:keepNext w:val="0"/>
        <w:keepLines w:val="0"/>
        <w:pageBreakBefore w:val="0"/>
        <w:widowControl w:val="0"/>
        <w:numPr>
          <w:ilvl w:val="0"/>
          <w:numId w:val="81"/>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控股股东或者实际控制人为自然人的，该自然人的身份证明文件、简历、诚信信息查询文件、与其他主要股东关系说明、直接或间接持有的发行人股份/股权质押或存在争议情况的查询结果文件、对其他企业的主要投资情况说明；</w:t>
      </w:r>
    </w:p>
    <w:p>
      <w:pPr>
        <w:keepNext w:val="0"/>
        <w:keepLines w:val="0"/>
        <w:pageBreakBefore w:val="0"/>
        <w:widowControl w:val="0"/>
        <w:numPr>
          <w:ilvl w:val="0"/>
          <w:numId w:val="81"/>
        </w:numPr>
        <w:tabs>
          <w:tab w:val="left" w:pos="0"/>
        </w:tabs>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控股股东或者实际控制人为法人的，该法人的营业执照、公司章程、工商信息查询文件、诚信信息查询文件、主要业务及资产情况的说明、最近一年合并财务报表的主要财务数据（关注是否经审计）、持有发行人股份或股权质押或存在争议情况的查询结果文件；</w:t>
      </w:r>
    </w:p>
    <w:p>
      <w:pPr>
        <w:keepNext w:val="0"/>
        <w:keepLines w:val="0"/>
        <w:pageBreakBefore w:val="0"/>
        <w:widowControl w:val="0"/>
        <w:numPr>
          <w:ilvl w:val="0"/>
          <w:numId w:val="81"/>
        </w:numPr>
        <w:tabs>
          <w:tab w:val="left" w:pos="0"/>
        </w:tabs>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报告期内实际控制人变化情况的说明（如有）。</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 xml:space="preserve">第二十二条  </w:t>
      </w:r>
      <w:r>
        <w:rPr>
          <w:rFonts w:hint="eastAsia" w:ascii="仿宋_GB2312" w:hAnsi="仿宋" w:eastAsia="仿宋_GB2312" w:cs="仿宋"/>
          <w:bCs/>
          <w:color w:val="000000"/>
          <w:sz w:val="28"/>
          <w:szCs w:val="28"/>
        </w:rPr>
        <w:t>公司组织架构、管理制度及下属子公司的相关文件</w:t>
      </w:r>
    </w:p>
    <w:p>
      <w:pPr>
        <w:keepNext w:val="0"/>
        <w:keepLines w:val="0"/>
        <w:pageBreakBefore w:val="0"/>
        <w:widowControl w:val="0"/>
        <w:numPr>
          <w:ilvl w:val="0"/>
          <w:numId w:val="82"/>
        </w:numPr>
        <w:wordWrap/>
        <w:bidi w:val="0"/>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公司内部的组织架构及部门职责；</w:t>
      </w:r>
    </w:p>
    <w:p>
      <w:pPr>
        <w:keepNext w:val="0"/>
        <w:keepLines w:val="0"/>
        <w:pageBreakBefore w:val="0"/>
        <w:widowControl w:val="0"/>
        <w:numPr>
          <w:ilvl w:val="0"/>
          <w:numId w:val="82"/>
        </w:numPr>
        <w:wordWrap/>
        <w:bidi w:val="0"/>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公司的主要管理制度（包括战略规划制定、财务、采购、投资管理、内部控制制度、关联交易等）；</w:t>
      </w:r>
    </w:p>
    <w:p>
      <w:pPr>
        <w:keepNext w:val="0"/>
        <w:keepLines w:val="0"/>
        <w:pageBreakBefore w:val="0"/>
        <w:widowControl w:val="0"/>
        <w:numPr>
          <w:ilvl w:val="0"/>
          <w:numId w:val="82"/>
        </w:numPr>
        <w:wordWrap/>
        <w:bidi w:val="0"/>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公司下属子公司的营业执照复印件、情况简介；</w:t>
      </w:r>
    </w:p>
    <w:p>
      <w:pPr>
        <w:keepNext w:val="0"/>
        <w:keepLines w:val="0"/>
        <w:pageBreakBefore w:val="0"/>
        <w:widowControl w:val="0"/>
        <w:numPr>
          <w:ilvl w:val="0"/>
          <w:numId w:val="82"/>
        </w:numPr>
        <w:wordWrap/>
        <w:bidi w:val="0"/>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公司下属子公司的股权结构图；</w:t>
      </w:r>
    </w:p>
    <w:p>
      <w:pPr>
        <w:keepNext w:val="0"/>
        <w:keepLines w:val="0"/>
        <w:pageBreakBefore w:val="0"/>
        <w:widowControl w:val="0"/>
        <w:numPr>
          <w:ilvl w:val="0"/>
          <w:numId w:val="82"/>
        </w:numPr>
        <w:wordWrap/>
        <w:bidi w:val="0"/>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公司下属子公司上一年度经审计的财务报表。</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 xml:space="preserve">第二十三条  </w:t>
      </w:r>
      <w:r>
        <w:rPr>
          <w:rFonts w:hint="eastAsia" w:ascii="仿宋_GB2312" w:hAnsi="仿宋" w:eastAsia="仿宋_GB2312" w:cs="仿宋"/>
          <w:color w:val="000000"/>
          <w:sz w:val="28"/>
          <w:szCs w:val="28"/>
        </w:rPr>
        <w:t>公司业务经营相关文件</w:t>
      </w:r>
    </w:p>
    <w:p>
      <w:pPr>
        <w:keepNext w:val="0"/>
        <w:keepLines w:val="0"/>
        <w:pageBreakBefore w:val="0"/>
        <w:widowControl w:val="0"/>
        <w:numPr>
          <w:ilvl w:val="0"/>
          <w:numId w:val="83"/>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与发行人主营业务相关的业务资格许可证或者其他重要资质文件（如有）；</w:t>
      </w:r>
    </w:p>
    <w:p>
      <w:pPr>
        <w:keepNext w:val="0"/>
        <w:keepLines w:val="0"/>
        <w:pageBreakBefore w:val="0"/>
        <w:widowControl w:val="0"/>
        <w:numPr>
          <w:ilvl w:val="0"/>
          <w:numId w:val="83"/>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发行人经营模式（采购模式、生产或者服务模式、销售模式等）及发展战略的访谈纪要等相关文件；</w:t>
      </w:r>
    </w:p>
    <w:p>
      <w:pPr>
        <w:keepNext w:val="0"/>
        <w:keepLines w:val="0"/>
        <w:pageBreakBefore w:val="0"/>
        <w:widowControl w:val="0"/>
        <w:numPr>
          <w:ilvl w:val="0"/>
          <w:numId w:val="83"/>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报告期内发行人与主要客户、供应商之间业务往来的情况说明及抽取的主要合同文件,报告期内主要客户、供应商变动情况与变动原因的说明文件，以及对供应商、客户依赖情况的说明文件与供应商、客户的稳定性分析文件；</w:t>
      </w:r>
    </w:p>
    <w:p>
      <w:pPr>
        <w:keepNext w:val="0"/>
        <w:keepLines w:val="0"/>
        <w:pageBreakBefore w:val="0"/>
        <w:widowControl w:val="0"/>
        <w:numPr>
          <w:ilvl w:val="0"/>
          <w:numId w:val="83"/>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报告期内业务相关情况，包括但不限于主要产品或服务的用途、规模、营业收入构成及其变动情况的说明文件；</w:t>
      </w:r>
    </w:p>
    <w:p>
      <w:pPr>
        <w:keepNext w:val="0"/>
        <w:keepLines w:val="0"/>
        <w:pageBreakBefore w:val="0"/>
        <w:widowControl w:val="0"/>
        <w:numPr>
          <w:ilvl w:val="0"/>
          <w:numId w:val="83"/>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发行人所处行业的市场竞争状况及上下游产业链情况的分析文件。</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 xml:space="preserve">第二十四条  </w:t>
      </w:r>
      <w:r>
        <w:rPr>
          <w:rFonts w:hint="eastAsia" w:ascii="仿宋_GB2312" w:hAnsi="仿宋" w:eastAsia="仿宋_GB2312" w:cs="仿宋"/>
          <w:color w:val="000000"/>
          <w:sz w:val="28"/>
          <w:szCs w:val="28"/>
        </w:rPr>
        <w:t>公司负债、或有债务</w:t>
      </w:r>
    </w:p>
    <w:p>
      <w:pPr>
        <w:keepNext w:val="0"/>
        <w:keepLines w:val="0"/>
        <w:pageBreakBefore w:val="0"/>
        <w:widowControl w:val="0"/>
        <w:numPr>
          <w:ilvl w:val="0"/>
          <w:numId w:val="84"/>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未履行完毕的，单笔金额超过人民币500万元（实际标准可依据发行人总资产、净资产大小综合确定）的债务清单，列明债权人的姓名、借款额、余额、到期日和收益的使用（无论是否有担保）；并提供相关文件和协议，包括贷款协议、信用协议、借据和其他负债证明以及所有由公司提供担保、保证人协议、信用证或其他合约以及相关的重要函件；</w:t>
      </w:r>
    </w:p>
    <w:p>
      <w:pPr>
        <w:keepNext w:val="0"/>
        <w:keepLines w:val="0"/>
        <w:pageBreakBefore w:val="0"/>
        <w:widowControl w:val="0"/>
        <w:numPr>
          <w:ilvl w:val="0"/>
          <w:numId w:val="84"/>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公司可利用的有担保和无担保信贷额度的清单，包括任何重大贷款拖欠或问题融资；</w:t>
      </w:r>
    </w:p>
    <w:p>
      <w:pPr>
        <w:keepNext w:val="0"/>
        <w:keepLines w:val="0"/>
        <w:pageBreakBefore w:val="0"/>
        <w:widowControl w:val="0"/>
        <w:numPr>
          <w:ilvl w:val="0"/>
          <w:numId w:val="84"/>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任何第三方对公司的负债及（或）责任做出的担保、保证人协议，信用证或其他合约以及相关的重要函件；</w:t>
      </w:r>
    </w:p>
    <w:p>
      <w:pPr>
        <w:keepNext w:val="0"/>
        <w:keepLines w:val="0"/>
        <w:pageBreakBefore w:val="0"/>
        <w:widowControl w:val="0"/>
        <w:numPr>
          <w:ilvl w:val="0"/>
          <w:numId w:val="84"/>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担保余额占发行人报告期末合并口径净资产比重10%以上被担保人（合并报表范围外）的工商信息查询文件、诚信信息查询文件、最近一年的财务报告；</w:t>
      </w:r>
    </w:p>
    <w:p>
      <w:pPr>
        <w:keepNext w:val="0"/>
        <w:keepLines w:val="0"/>
        <w:pageBreakBefore w:val="0"/>
        <w:widowControl w:val="0"/>
        <w:numPr>
          <w:ilvl w:val="0"/>
          <w:numId w:val="84"/>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任何为外汇贷款提供的担保以及外汇管理部门对此类担保的批准及登记证明（若有）；</w:t>
      </w:r>
    </w:p>
    <w:p>
      <w:pPr>
        <w:keepNext w:val="0"/>
        <w:keepLines w:val="0"/>
        <w:pageBreakBefore w:val="0"/>
        <w:widowControl w:val="0"/>
        <w:numPr>
          <w:ilvl w:val="0"/>
          <w:numId w:val="84"/>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有关履约保证金的文件（若有）；</w:t>
      </w:r>
    </w:p>
    <w:p>
      <w:pPr>
        <w:keepNext w:val="0"/>
        <w:keepLines w:val="0"/>
        <w:pageBreakBefore w:val="0"/>
        <w:widowControl w:val="0"/>
        <w:numPr>
          <w:ilvl w:val="0"/>
          <w:numId w:val="84"/>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所有证明公司重大融资安排的现行有效的文件和协议（无论在资产负债表内外），包括融资租赁、出售和回租安排、分期付款购买等；</w:t>
      </w:r>
    </w:p>
    <w:p>
      <w:pPr>
        <w:keepNext w:val="0"/>
        <w:keepLines w:val="0"/>
        <w:pageBreakBefore w:val="0"/>
        <w:widowControl w:val="0"/>
        <w:numPr>
          <w:ilvl w:val="0"/>
          <w:numId w:val="84"/>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所有限制或约束公司发行债券、增加股本、支付分红或增加负债的现行有效的其他合同或协议；</w:t>
      </w:r>
    </w:p>
    <w:p>
      <w:pPr>
        <w:keepNext w:val="0"/>
        <w:keepLines w:val="0"/>
        <w:pageBreakBefore w:val="0"/>
        <w:widowControl w:val="0"/>
        <w:numPr>
          <w:ilvl w:val="0"/>
          <w:numId w:val="84"/>
        </w:numPr>
        <w:tabs>
          <w:tab w:val="left" w:pos="425"/>
        </w:tabs>
        <w:wordWrap/>
        <w:bidi w:val="0"/>
        <w:adjustRightInd/>
        <w:snapToGrid/>
        <w:spacing w:after="0" w:line="500" w:lineRule="exact"/>
        <w:ind w:firstLine="522"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企业从其他渠道获得资金的情况及其合法性；</w:t>
      </w:r>
    </w:p>
    <w:p>
      <w:pPr>
        <w:keepNext w:val="0"/>
        <w:keepLines w:val="0"/>
        <w:pageBreakBefore w:val="0"/>
        <w:widowControl w:val="0"/>
        <w:numPr>
          <w:ilvl w:val="0"/>
          <w:numId w:val="84"/>
        </w:numPr>
        <w:tabs>
          <w:tab w:val="left" w:pos="425"/>
        </w:tabs>
        <w:wordWrap/>
        <w:bidi w:val="0"/>
        <w:adjustRightInd/>
        <w:snapToGrid/>
        <w:spacing w:after="0" w:line="500" w:lineRule="exact"/>
        <w:ind w:firstLine="522"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企业对外担保、抵押或质押的情况；</w:t>
      </w:r>
    </w:p>
    <w:p>
      <w:pPr>
        <w:keepNext w:val="0"/>
        <w:keepLines w:val="0"/>
        <w:pageBreakBefore w:val="0"/>
        <w:widowControl w:val="0"/>
        <w:numPr>
          <w:ilvl w:val="0"/>
          <w:numId w:val="84"/>
        </w:numPr>
        <w:tabs>
          <w:tab w:val="left" w:pos="425"/>
        </w:tabs>
        <w:wordWrap/>
        <w:bidi w:val="0"/>
        <w:adjustRightInd/>
        <w:snapToGrid/>
        <w:spacing w:after="0" w:line="500" w:lineRule="exact"/>
        <w:ind w:firstLine="522"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企业是否存在股东借款、职工集资等情况。</w:t>
      </w:r>
    </w:p>
    <w:p>
      <w:pPr>
        <w:keepNext w:val="0"/>
        <w:keepLines w:val="0"/>
        <w:pageBreakBefore w:val="0"/>
        <w:widowControl w:val="0"/>
        <w:tabs>
          <w:tab w:val="left" w:pos="425"/>
        </w:tabs>
        <w:wordWrap/>
        <w:bidi w:val="0"/>
        <w:spacing w:after="0" w:line="500" w:lineRule="exact"/>
        <w:ind w:firstLine="522"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 xml:space="preserve">第二十五条  </w:t>
      </w:r>
      <w:r>
        <w:rPr>
          <w:rFonts w:hint="eastAsia" w:ascii="仿宋_GB2312" w:hAnsi="仿宋" w:eastAsia="仿宋_GB2312" w:cs="仿宋"/>
          <w:color w:val="000000"/>
          <w:sz w:val="28"/>
          <w:szCs w:val="28"/>
        </w:rPr>
        <w:t>公司重要协议</w:t>
      </w:r>
    </w:p>
    <w:p>
      <w:pPr>
        <w:keepNext w:val="0"/>
        <w:keepLines w:val="0"/>
        <w:pageBreakBefore w:val="0"/>
        <w:widowControl w:val="0"/>
        <w:numPr>
          <w:ilvl w:val="0"/>
          <w:numId w:val="85"/>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所有未履行完毕，单笔金额超过1000万元人民币（实际标准可依据发行人总资产、净资产大小综合确定）的框架协议以及对公司业务有重大影响的长期合作协议；</w:t>
      </w:r>
    </w:p>
    <w:p>
      <w:pPr>
        <w:keepNext w:val="0"/>
        <w:keepLines w:val="0"/>
        <w:pageBreakBefore w:val="0"/>
        <w:widowControl w:val="0"/>
        <w:numPr>
          <w:ilvl w:val="0"/>
          <w:numId w:val="85"/>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所有重要的研究开发协议或安排；</w:t>
      </w:r>
    </w:p>
    <w:p>
      <w:pPr>
        <w:keepNext w:val="0"/>
        <w:keepLines w:val="0"/>
        <w:pageBreakBefore w:val="0"/>
        <w:widowControl w:val="0"/>
        <w:numPr>
          <w:ilvl w:val="0"/>
          <w:numId w:val="85"/>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所有的特许权许可、营销、特许权经营、管理和开发协议；</w:t>
      </w:r>
    </w:p>
    <w:p>
      <w:pPr>
        <w:keepNext w:val="0"/>
        <w:keepLines w:val="0"/>
        <w:pageBreakBefore w:val="0"/>
        <w:widowControl w:val="0"/>
        <w:numPr>
          <w:ilvl w:val="0"/>
          <w:numId w:val="85"/>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所有和独立承包商签订的关于公司业务运营的重要协议；</w:t>
      </w:r>
    </w:p>
    <w:p>
      <w:pPr>
        <w:keepNext w:val="0"/>
        <w:keepLines w:val="0"/>
        <w:pageBreakBefore w:val="0"/>
        <w:widowControl w:val="0"/>
        <w:numPr>
          <w:ilvl w:val="0"/>
          <w:numId w:val="85"/>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所有与战略联盟或合作安排有关的协议或文件；</w:t>
      </w:r>
    </w:p>
    <w:p>
      <w:pPr>
        <w:keepNext w:val="0"/>
        <w:keepLines w:val="0"/>
        <w:pageBreakBefore w:val="0"/>
        <w:widowControl w:val="0"/>
        <w:numPr>
          <w:ilvl w:val="0"/>
          <w:numId w:val="85"/>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公司签订的不竞争协议（若有）；</w:t>
      </w:r>
    </w:p>
    <w:p>
      <w:pPr>
        <w:keepNext w:val="0"/>
        <w:keepLines w:val="0"/>
        <w:pageBreakBefore w:val="0"/>
        <w:widowControl w:val="0"/>
        <w:numPr>
          <w:ilvl w:val="0"/>
          <w:numId w:val="85"/>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其他与本债券发行相关的重要协议或文件。</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 xml:space="preserve">第二十六条  </w:t>
      </w:r>
      <w:r>
        <w:rPr>
          <w:rFonts w:hint="eastAsia" w:ascii="仿宋_GB2312" w:hAnsi="仿宋" w:eastAsia="仿宋_GB2312" w:cs="仿宋"/>
          <w:color w:val="000000"/>
          <w:sz w:val="28"/>
          <w:szCs w:val="28"/>
        </w:rPr>
        <w:t xml:space="preserve">公司财产 </w:t>
      </w:r>
    </w:p>
    <w:p>
      <w:pPr>
        <w:keepNext w:val="0"/>
        <w:keepLines w:val="0"/>
        <w:pageBreakBefore w:val="0"/>
        <w:widowControl w:val="0"/>
        <w:numPr>
          <w:ilvl w:val="0"/>
          <w:numId w:val="86"/>
        </w:numPr>
        <w:wordWrap/>
        <w:bidi w:val="0"/>
        <w:adjustRightInd/>
        <w:snapToGrid/>
        <w:spacing w:after="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土地使用权出让、转让或租赁合同；</w:t>
      </w:r>
    </w:p>
    <w:p>
      <w:pPr>
        <w:keepNext w:val="0"/>
        <w:keepLines w:val="0"/>
        <w:pageBreakBefore w:val="0"/>
        <w:widowControl w:val="0"/>
        <w:numPr>
          <w:ilvl w:val="0"/>
          <w:numId w:val="86"/>
        </w:numPr>
        <w:wordWrap/>
        <w:bidi w:val="0"/>
        <w:adjustRightInd/>
        <w:snapToGrid/>
        <w:spacing w:after="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土地使用权折资入股（包括国家股和法人股）的资产评估和批准文件；</w:t>
      </w:r>
    </w:p>
    <w:p>
      <w:pPr>
        <w:keepNext w:val="0"/>
        <w:keepLines w:val="0"/>
        <w:pageBreakBefore w:val="0"/>
        <w:widowControl w:val="0"/>
        <w:numPr>
          <w:ilvl w:val="0"/>
          <w:numId w:val="86"/>
        </w:numPr>
        <w:wordWrap/>
        <w:bidi w:val="0"/>
        <w:adjustRightInd/>
        <w:snapToGrid/>
        <w:spacing w:after="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证明公司用地权利的文件；</w:t>
      </w:r>
    </w:p>
    <w:p>
      <w:pPr>
        <w:keepNext w:val="0"/>
        <w:keepLines w:val="0"/>
        <w:pageBreakBefore w:val="0"/>
        <w:widowControl w:val="0"/>
        <w:numPr>
          <w:ilvl w:val="0"/>
          <w:numId w:val="86"/>
        </w:numPr>
        <w:wordWrap/>
        <w:bidi w:val="0"/>
        <w:adjustRightInd/>
        <w:snapToGrid/>
        <w:spacing w:after="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公司用地和建设建筑物的建设用地规划许可证、建设工程规划许可证、施工许可证及其他有关批文和许可证；</w:t>
      </w:r>
    </w:p>
    <w:p>
      <w:pPr>
        <w:keepNext w:val="0"/>
        <w:keepLines w:val="0"/>
        <w:pageBreakBefore w:val="0"/>
        <w:widowControl w:val="0"/>
        <w:numPr>
          <w:ilvl w:val="0"/>
          <w:numId w:val="86"/>
        </w:numPr>
        <w:wordWrap/>
        <w:bidi w:val="0"/>
        <w:adjustRightInd/>
        <w:snapToGrid/>
        <w:spacing w:after="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公司租赁房地产的合同、协议和租赁登记证明；</w:t>
      </w:r>
    </w:p>
    <w:p>
      <w:pPr>
        <w:keepNext w:val="0"/>
        <w:keepLines w:val="0"/>
        <w:pageBreakBefore w:val="0"/>
        <w:widowControl w:val="0"/>
        <w:numPr>
          <w:ilvl w:val="0"/>
          <w:numId w:val="86"/>
        </w:numPr>
        <w:wordWrap/>
        <w:bidi w:val="0"/>
        <w:adjustRightInd/>
        <w:snapToGrid/>
        <w:spacing w:after="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重要的资产（包括但不限于公司总部和主要生产基地）抵押文件，包括但不限于抵押协议、抵押登记文件等；</w:t>
      </w:r>
    </w:p>
    <w:p>
      <w:pPr>
        <w:keepNext w:val="0"/>
        <w:keepLines w:val="0"/>
        <w:pageBreakBefore w:val="0"/>
        <w:widowControl w:val="0"/>
        <w:numPr>
          <w:ilvl w:val="0"/>
          <w:numId w:val="86"/>
        </w:numPr>
        <w:wordWrap/>
        <w:bidi w:val="0"/>
        <w:adjustRightInd/>
        <w:snapToGrid/>
        <w:spacing w:after="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除房屋和土地外，公司承租或出租的所有重要财产清单，包括租金、期限和续约条款，及相应协议或合同；</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auto"/>
          <w:sz w:val="28"/>
          <w:szCs w:val="28"/>
        </w:rPr>
      </w:pPr>
      <w:r>
        <w:rPr>
          <w:rFonts w:hint="eastAsia" w:ascii="仿宋_GB2312" w:hAnsi="仿宋" w:eastAsia="仿宋_GB2312" w:cs="仿宋"/>
          <w:color w:val="000000"/>
          <w:sz w:val="28"/>
          <w:szCs w:val="28"/>
        </w:rPr>
        <w:t>（八）在建工程进展情况，查询建设工程批准文件，是否存在违规用地、违规建设的情况；</w:t>
      </w:r>
      <w:r>
        <w:rPr>
          <w:rFonts w:hint="eastAsia" w:ascii="仿宋_GB2312" w:hAnsi="仿宋" w:eastAsia="仿宋_GB2312" w:cs="仿宋"/>
          <w:color w:val="auto"/>
          <w:sz w:val="28"/>
          <w:szCs w:val="28"/>
        </w:rPr>
        <w:t>核实在建项目建成后是否独立产生现金流，是否为公益性项目；</w:t>
      </w:r>
      <w:r>
        <w:rPr>
          <w:rFonts w:hint="eastAsia" w:ascii="仿宋_GB2312" w:hAnsi="宋体" w:eastAsia="仿宋_GB2312" w:cs="仿宋_GB2312"/>
          <w:color w:val="auto"/>
          <w:sz w:val="28"/>
          <w:szCs w:val="28"/>
          <w:lang w:bidi="ar"/>
        </w:rPr>
        <w:t xml:space="preserve">核实在建项目是否符合《预算法》 《政府投资条例》《国务院关于加强地方政府债务管理的意见》 （国发〔2014〕43 号）、《关于进一步规范地方政府举债融资行为的通知》（财预〔2017〕50 号）及《国务院关于进一步深化预算管理制度改革的意见》（国发〔2021〕5 号）等关于地方政府债务管理的相关规定，是否存在替政府垫资的情形，是否涉及新增地方政府隐性债务。 </w:t>
      </w:r>
    </w:p>
    <w:p>
      <w:pPr>
        <w:keepNext w:val="0"/>
        <w:keepLines w:val="0"/>
        <w:pageBreakBefore w:val="0"/>
        <w:widowControl w:val="0"/>
        <w:wordWrap/>
        <w:bidi w:val="0"/>
        <w:adjustRightInd/>
        <w:snapToGrid/>
        <w:spacing w:after="0" w:line="500" w:lineRule="exact"/>
        <w:ind w:left="600"/>
        <w:jc w:val="both"/>
        <w:rPr>
          <w:rFonts w:hint="eastAsia" w:ascii="仿宋_GB2312" w:hAnsi="仿宋" w:eastAsia="仿宋_GB2312" w:cs="仿宋"/>
          <w:color w:val="auto"/>
          <w:sz w:val="28"/>
          <w:szCs w:val="28"/>
        </w:rPr>
      </w:pPr>
      <w:r>
        <w:rPr>
          <w:rFonts w:hint="eastAsia" w:ascii="仿宋_GB2312" w:hAnsi="仿宋" w:eastAsia="仿宋_GB2312" w:cs="仿宋"/>
          <w:color w:val="auto"/>
          <w:sz w:val="28"/>
          <w:szCs w:val="28"/>
        </w:rPr>
        <w:t>（九）公司其他应收账款及非经营性往来款项情况。</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auto"/>
          <w:sz w:val="28"/>
          <w:szCs w:val="28"/>
        </w:rPr>
      </w:pPr>
      <w:r>
        <w:rPr>
          <w:rFonts w:hint="eastAsia" w:ascii="仿宋_GB2312" w:hAnsi="仿宋" w:eastAsia="仿宋_GB2312" w:cs="仿宋"/>
          <w:color w:val="auto"/>
          <w:sz w:val="28"/>
          <w:szCs w:val="28"/>
        </w:rPr>
        <w:t>关于发行人非经营性往来款项的核查，参考《上海证券交易所公司债券发行上市审核规则适用指引第3号——审核重点关注事项》、《深圳证券交易所公司债券发行上市审核业务指引第 1 号——公司债券审核重点关注事项》</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auto"/>
          <w:sz w:val="28"/>
          <w:szCs w:val="28"/>
        </w:rPr>
      </w:pPr>
      <w:r>
        <w:rPr>
          <w:rFonts w:hint="eastAsia" w:ascii="仿宋_GB2312" w:hAnsi="仿宋" w:eastAsia="仿宋_GB2312" w:cs="仿宋"/>
          <w:color w:val="auto"/>
          <w:sz w:val="28"/>
          <w:szCs w:val="28"/>
        </w:rPr>
        <w:t>律师应当对发行人非因生产经营直接产生的对其他企业或机构的往来占款和资金拆借（以下简称非经营性往来占款和资金拆借）余额进行调查核实。</w:t>
      </w:r>
    </w:p>
    <w:p>
      <w:pPr>
        <w:keepNext w:val="0"/>
        <w:keepLines w:val="0"/>
        <w:pageBreakBefore w:val="0"/>
        <w:widowControl w:val="0"/>
        <w:numPr>
          <w:ilvl w:val="0"/>
          <w:numId w:val="87"/>
        </w:numPr>
        <w:wordWrap/>
        <w:bidi w:val="0"/>
        <w:spacing w:after="0" w:line="500" w:lineRule="exact"/>
        <w:ind w:firstLine="522" w:firstLineChars="200"/>
        <w:jc w:val="both"/>
        <w:rPr>
          <w:rFonts w:hint="eastAsia" w:ascii="仿宋_GB2312" w:hAnsi="仿宋" w:eastAsia="仿宋_GB2312" w:cs="仿宋"/>
          <w:color w:val="auto"/>
          <w:sz w:val="28"/>
          <w:szCs w:val="28"/>
        </w:rPr>
      </w:pPr>
      <w:r>
        <w:rPr>
          <w:rFonts w:hint="eastAsia" w:ascii="仿宋_GB2312" w:hAnsi="仿宋" w:eastAsia="仿宋_GB2312" w:cs="仿宋"/>
          <w:color w:val="auto"/>
          <w:sz w:val="28"/>
          <w:szCs w:val="28"/>
        </w:rPr>
        <w:t>对于超过最近一年末经审计总资产3%的，发行人应充分披露下列事项，并作风险提示或重大事项提示：</w:t>
      </w:r>
    </w:p>
    <w:p>
      <w:pPr>
        <w:keepNext w:val="0"/>
        <w:keepLines w:val="0"/>
        <w:pageBreakBefore w:val="0"/>
        <w:widowControl w:val="0"/>
        <w:numPr>
          <w:ilvl w:val="0"/>
          <w:numId w:val="88"/>
        </w:numPr>
        <w:wordWrap/>
        <w:bidi w:val="0"/>
        <w:spacing w:after="0" w:line="500" w:lineRule="exact"/>
        <w:ind w:firstLine="522" w:firstLineChars="200"/>
        <w:jc w:val="both"/>
        <w:rPr>
          <w:rFonts w:hint="eastAsia" w:ascii="仿宋_GB2312" w:hAnsi="仿宋" w:eastAsia="仿宋_GB2312" w:cs="仿宋"/>
          <w:color w:val="auto"/>
          <w:sz w:val="28"/>
          <w:szCs w:val="28"/>
        </w:rPr>
      </w:pPr>
      <w:r>
        <w:rPr>
          <w:rFonts w:hint="eastAsia" w:ascii="仿宋_GB2312" w:hAnsi="仿宋" w:eastAsia="仿宋_GB2312" w:cs="仿宋"/>
          <w:color w:val="auto"/>
          <w:sz w:val="28"/>
          <w:szCs w:val="28"/>
        </w:rPr>
        <w:t>非经营性往来占款和资金拆借的决策权限、决策程序和定价机制。</w:t>
      </w:r>
    </w:p>
    <w:p>
      <w:pPr>
        <w:keepNext w:val="0"/>
        <w:keepLines w:val="0"/>
        <w:pageBreakBefore w:val="0"/>
        <w:widowControl w:val="0"/>
        <w:numPr>
          <w:ilvl w:val="0"/>
          <w:numId w:val="88"/>
        </w:numPr>
        <w:wordWrap/>
        <w:bidi w:val="0"/>
        <w:spacing w:after="0" w:line="500" w:lineRule="exact"/>
        <w:ind w:firstLine="522" w:firstLineChars="200"/>
        <w:jc w:val="both"/>
        <w:rPr>
          <w:rFonts w:hint="eastAsia" w:ascii="仿宋_GB2312" w:hAnsi="仿宋" w:eastAsia="仿宋_GB2312" w:cs="仿宋"/>
          <w:color w:val="auto"/>
          <w:sz w:val="28"/>
          <w:szCs w:val="28"/>
        </w:rPr>
      </w:pPr>
      <w:r>
        <w:rPr>
          <w:rFonts w:hint="eastAsia" w:ascii="仿宋_GB2312" w:hAnsi="仿宋" w:eastAsia="仿宋_GB2312" w:cs="仿宋"/>
          <w:color w:val="auto"/>
          <w:sz w:val="28"/>
          <w:szCs w:val="28"/>
        </w:rPr>
        <w:t>非经营性往来占款和资金拆借的前五名债务方及其与发行人是否存在关联关系。关联方往来参照《企业会计准则》中“关联方披露”的相关要求执行。</w:t>
      </w:r>
    </w:p>
    <w:p>
      <w:pPr>
        <w:keepNext w:val="0"/>
        <w:keepLines w:val="0"/>
        <w:pageBreakBefore w:val="0"/>
        <w:widowControl w:val="0"/>
        <w:numPr>
          <w:ilvl w:val="0"/>
          <w:numId w:val="88"/>
        </w:numPr>
        <w:wordWrap/>
        <w:bidi w:val="0"/>
        <w:spacing w:after="0" w:line="500" w:lineRule="exact"/>
        <w:ind w:firstLine="522" w:firstLineChars="200"/>
        <w:jc w:val="both"/>
        <w:rPr>
          <w:rFonts w:hint="eastAsia" w:ascii="仿宋_GB2312" w:hAnsi="仿宋" w:eastAsia="仿宋_GB2312" w:cs="仿宋"/>
          <w:color w:val="auto"/>
          <w:sz w:val="28"/>
          <w:szCs w:val="28"/>
        </w:rPr>
      </w:pPr>
      <w:r>
        <w:rPr>
          <w:rFonts w:hint="eastAsia" w:ascii="仿宋_GB2312" w:hAnsi="仿宋" w:eastAsia="仿宋_GB2312" w:cs="仿宋"/>
          <w:color w:val="auto"/>
          <w:sz w:val="28"/>
          <w:szCs w:val="28"/>
        </w:rPr>
        <w:t>发行人与前5名债务方形成非经营性往来占款和资金拆借的原因、回款相关安排、报告期内的回款情况。</w:t>
      </w:r>
    </w:p>
    <w:p>
      <w:pPr>
        <w:keepNext w:val="0"/>
        <w:keepLines w:val="0"/>
        <w:pageBreakBefore w:val="0"/>
        <w:widowControl w:val="0"/>
        <w:numPr>
          <w:ilvl w:val="0"/>
          <w:numId w:val="88"/>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auto"/>
          <w:sz w:val="28"/>
          <w:szCs w:val="28"/>
        </w:rPr>
        <w:t>明确披露债券存续期内是否新增非经营性往来占款和资金</w:t>
      </w:r>
      <w:r>
        <w:rPr>
          <w:rFonts w:hint="eastAsia" w:ascii="仿宋_GB2312" w:hAnsi="仿宋" w:eastAsia="仿宋_GB2312" w:cs="仿宋"/>
          <w:color w:val="000000"/>
          <w:sz w:val="28"/>
          <w:szCs w:val="28"/>
        </w:rPr>
        <w:t>拆借事项。如有，应进一步披露相关事项应履行的决策程序和持续信息披露安排。</w:t>
      </w:r>
    </w:p>
    <w:p>
      <w:pPr>
        <w:keepNext w:val="0"/>
        <w:keepLines w:val="0"/>
        <w:pageBreakBefore w:val="0"/>
        <w:widowControl w:val="0"/>
        <w:numPr>
          <w:ilvl w:val="0"/>
          <w:numId w:val="87"/>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发行人非经营性往来占款和资金拆借余额超过最近一年末经审计总资产5%的，除前述需披露的事项外，还应承诺债券存续期内原则上不新增非经营性往来占款和资金拆借余额。</w:t>
      </w:r>
    </w:p>
    <w:p>
      <w:pPr>
        <w:keepNext w:val="0"/>
        <w:keepLines w:val="0"/>
        <w:pageBreakBefore w:val="0"/>
        <w:widowControl w:val="0"/>
        <w:numPr>
          <w:ilvl w:val="0"/>
          <w:numId w:val="87"/>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发行人非经营性往来占款和资金拆借余额超过最近一年末经审计总资产10%的，本次申报债券的募集资金原则上应用于偿还存量公司债券，且应进一步披露主要债务方信用资质情况、偿还安排以及资金拆借必要性和合理性，并说明对发行人偿债能力的影响。</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 xml:space="preserve">第二十七条  </w:t>
      </w:r>
      <w:r>
        <w:rPr>
          <w:rFonts w:hint="eastAsia" w:ascii="仿宋_GB2312" w:hAnsi="仿宋" w:eastAsia="仿宋_GB2312" w:cs="仿宋"/>
          <w:color w:val="000000"/>
          <w:sz w:val="28"/>
          <w:szCs w:val="28"/>
        </w:rPr>
        <w:t>知识产权</w:t>
      </w:r>
    </w:p>
    <w:p>
      <w:pPr>
        <w:keepNext w:val="0"/>
        <w:keepLines w:val="0"/>
        <w:pageBreakBefore w:val="0"/>
        <w:widowControl w:val="0"/>
        <w:numPr>
          <w:ilvl w:val="0"/>
          <w:numId w:val="89"/>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司当前所有的专利、专利申请、商标、服务商标、商号、著作权以及其他知识产权的清单，每项表明（视情况而定）所有权人、有关权利的到期日期、注册日期（如适用）、覆盖的区域以及公司使用的性质，并应提供相应权证的复印件；</w:t>
      </w:r>
    </w:p>
    <w:p>
      <w:pPr>
        <w:keepNext w:val="0"/>
        <w:keepLines w:val="0"/>
        <w:pageBreakBefore w:val="0"/>
        <w:widowControl w:val="0"/>
        <w:numPr>
          <w:ilvl w:val="0"/>
          <w:numId w:val="89"/>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当前所有公司正在使用的或预计将要使用的任何第三方的注册商标、专利、专利申请以及其他知识产权的清单，并提供相应的权利证明的复印件；</w:t>
      </w:r>
    </w:p>
    <w:p>
      <w:pPr>
        <w:keepNext w:val="0"/>
        <w:keepLines w:val="0"/>
        <w:pageBreakBefore w:val="0"/>
        <w:widowControl w:val="0"/>
        <w:numPr>
          <w:ilvl w:val="0"/>
          <w:numId w:val="89"/>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当前第三方与公司知识产权的纠纷或诉讼以及所有知悉的第三方侵犯公司知识产权的行为的清单，并应提供相应的文件；</w:t>
      </w:r>
    </w:p>
    <w:p>
      <w:pPr>
        <w:keepNext w:val="0"/>
        <w:keepLines w:val="0"/>
        <w:pageBreakBefore w:val="0"/>
        <w:widowControl w:val="0"/>
        <w:numPr>
          <w:ilvl w:val="0"/>
          <w:numId w:val="89"/>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所有的公司为协议一方的有关知识产权的许可协议或其他协议，包括对该等协议的所有修订文本；</w:t>
      </w:r>
    </w:p>
    <w:p>
      <w:pPr>
        <w:keepNext w:val="0"/>
        <w:keepLines w:val="0"/>
        <w:pageBreakBefore w:val="0"/>
        <w:widowControl w:val="0"/>
        <w:numPr>
          <w:ilvl w:val="0"/>
          <w:numId w:val="89"/>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公司为一方的关于知识产权使用的所有其他重要合同或协议以及相应的修订文本；</w:t>
      </w:r>
    </w:p>
    <w:p>
      <w:pPr>
        <w:keepNext w:val="0"/>
        <w:keepLines w:val="0"/>
        <w:pageBreakBefore w:val="0"/>
        <w:widowControl w:val="0"/>
        <w:numPr>
          <w:ilvl w:val="0"/>
          <w:numId w:val="89"/>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公司拥有的重大专有技术的证明文件，包括但不限于注册登记证书、科研项目立项文件、鉴定证书或报告、研究开发合同，以及其他的政府批文；</w:t>
      </w:r>
    </w:p>
    <w:p>
      <w:pPr>
        <w:keepNext w:val="0"/>
        <w:keepLines w:val="0"/>
        <w:pageBreakBefore w:val="0"/>
        <w:widowControl w:val="0"/>
        <w:numPr>
          <w:ilvl w:val="0"/>
          <w:numId w:val="89"/>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公司所有的技术引进合同以及其备案文件。</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 xml:space="preserve">第二十八条  </w:t>
      </w:r>
      <w:r>
        <w:rPr>
          <w:rFonts w:hint="eastAsia" w:ascii="仿宋_GB2312" w:hAnsi="仿宋" w:eastAsia="仿宋_GB2312" w:cs="仿宋"/>
          <w:color w:val="000000"/>
          <w:sz w:val="28"/>
          <w:szCs w:val="28"/>
        </w:rPr>
        <w:t>诉讼及其他</w:t>
      </w:r>
    </w:p>
    <w:p>
      <w:pPr>
        <w:keepNext w:val="0"/>
        <w:keepLines w:val="0"/>
        <w:pageBreakBefore w:val="0"/>
        <w:widowControl w:val="0"/>
        <w:numPr>
          <w:ilvl w:val="0"/>
          <w:numId w:val="90"/>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标的额在人民币500万元（实际标准可依据发行人总资产、净资产大小综合确定）以上或对公司有重大影响的，所有威胁将要进行的或者未决的诉讼、仲裁、行政程序、政府调整或询问以及声明和未声明的与公司有关的诉求的清单，与日常的雇佣关系相关的事宜除外，清单按以下方式提供：列出所涉各方的姓名或名称及其他基本资料；诉讼或者权利主张的性质；最近进展情况的简要介绍；索赔金额或补救措施的详细情况；</w:t>
      </w:r>
    </w:p>
    <w:p>
      <w:pPr>
        <w:keepNext w:val="0"/>
        <w:keepLines w:val="0"/>
        <w:pageBreakBefore w:val="0"/>
        <w:widowControl w:val="0"/>
        <w:numPr>
          <w:ilvl w:val="0"/>
          <w:numId w:val="90"/>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若上述案件存在，应提供案件的主要法律文书，包括但不限于：受理通知书、起诉书、仲裁申请书、答辩状、判决书、裁定书、裁决书、执行通知书、处罚通知书、行政复议申请以及复议机构的决定等；</w:t>
      </w:r>
    </w:p>
    <w:p>
      <w:pPr>
        <w:keepNext w:val="0"/>
        <w:keepLines w:val="0"/>
        <w:pageBreakBefore w:val="0"/>
        <w:widowControl w:val="0"/>
        <w:numPr>
          <w:ilvl w:val="0"/>
          <w:numId w:val="90"/>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关于任何政府部门以前、现在或预期将会对公司进行调查或询问（包括正式或非正式）的报告或者重要通信；上述政府部门包括但不限于审计、税务、金融、工商、海关、行业和其他监管机构；</w:t>
      </w:r>
    </w:p>
    <w:p>
      <w:pPr>
        <w:keepNext w:val="0"/>
        <w:keepLines w:val="0"/>
        <w:pageBreakBefore w:val="0"/>
        <w:widowControl w:val="0"/>
        <w:numPr>
          <w:ilvl w:val="0"/>
          <w:numId w:val="90"/>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公司法律顾问所出具的有关公司所涉及的诉讼或其他法律程序的重要说明；</w:t>
      </w:r>
    </w:p>
    <w:p>
      <w:pPr>
        <w:keepNext w:val="0"/>
        <w:keepLines w:val="0"/>
        <w:pageBreakBefore w:val="0"/>
        <w:widowControl w:val="0"/>
        <w:numPr>
          <w:ilvl w:val="0"/>
          <w:numId w:val="90"/>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当前公司和监管机构之间的重要协议、承诺或谅解。</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 xml:space="preserve">第二十九条  </w:t>
      </w:r>
      <w:r>
        <w:rPr>
          <w:rFonts w:hint="eastAsia" w:ascii="仿宋_GB2312" w:hAnsi="仿宋" w:eastAsia="仿宋_GB2312" w:cs="仿宋"/>
          <w:color w:val="000000"/>
          <w:sz w:val="28"/>
          <w:szCs w:val="28"/>
        </w:rPr>
        <w:t>劳动和保险</w:t>
      </w:r>
    </w:p>
    <w:p>
      <w:pPr>
        <w:keepNext w:val="0"/>
        <w:keepLines w:val="0"/>
        <w:pageBreakBefore w:val="0"/>
        <w:widowControl w:val="0"/>
        <w:numPr>
          <w:ilvl w:val="0"/>
          <w:numId w:val="91"/>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公司各类劳动合同的格式文本，并各提供一份已签署的劳动合同复印件；</w:t>
      </w:r>
    </w:p>
    <w:p>
      <w:pPr>
        <w:keepNext w:val="0"/>
        <w:keepLines w:val="0"/>
        <w:pageBreakBefore w:val="0"/>
        <w:widowControl w:val="0"/>
        <w:numPr>
          <w:ilvl w:val="0"/>
          <w:numId w:val="91"/>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公司的社保登记证；</w:t>
      </w:r>
    </w:p>
    <w:p>
      <w:pPr>
        <w:keepNext w:val="0"/>
        <w:keepLines w:val="0"/>
        <w:pageBreakBefore w:val="0"/>
        <w:widowControl w:val="0"/>
        <w:numPr>
          <w:ilvl w:val="0"/>
          <w:numId w:val="91"/>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公司缴纳社会保险的种类及实际缴纳情况；</w:t>
      </w:r>
    </w:p>
    <w:p>
      <w:pPr>
        <w:keepNext w:val="0"/>
        <w:keepLines w:val="0"/>
        <w:pageBreakBefore w:val="0"/>
        <w:widowControl w:val="0"/>
        <w:numPr>
          <w:ilvl w:val="0"/>
          <w:numId w:val="91"/>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是否受到过社会保障部门的处罚或调查，若有，请说明并提供相关文件；</w:t>
      </w:r>
    </w:p>
    <w:p>
      <w:pPr>
        <w:keepNext w:val="0"/>
        <w:keepLines w:val="0"/>
        <w:pageBreakBefore w:val="0"/>
        <w:widowControl w:val="0"/>
        <w:numPr>
          <w:ilvl w:val="0"/>
          <w:numId w:val="91"/>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劳动保障部门出具的关于公司是否存在被劳动保障行政管理部门处罚的证明；</w:t>
      </w:r>
    </w:p>
    <w:p>
      <w:pPr>
        <w:keepNext w:val="0"/>
        <w:keepLines w:val="0"/>
        <w:pageBreakBefore w:val="0"/>
        <w:widowControl w:val="0"/>
        <w:numPr>
          <w:ilvl w:val="0"/>
          <w:numId w:val="91"/>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公司所购买的重要保险单的清单目录；</w:t>
      </w:r>
    </w:p>
    <w:p>
      <w:pPr>
        <w:keepNext w:val="0"/>
        <w:keepLines w:val="0"/>
        <w:pageBreakBefore w:val="0"/>
        <w:widowControl w:val="0"/>
        <w:numPr>
          <w:ilvl w:val="0"/>
          <w:numId w:val="91"/>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公司签署的所有重大商业保险合同。</w:t>
      </w:r>
    </w:p>
    <w:p>
      <w:pPr>
        <w:keepNext w:val="0"/>
        <w:keepLines w:val="0"/>
        <w:pageBreakBefore w:val="0"/>
        <w:widowControl w:val="0"/>
        <w:tabs>
          <w:tab w:val="left" w:pos="425"/>
        </w:tabs>
        <w:wordWrap/>
        <w:bidi w:val="0"/>
        <w:spacing w:after="0" w:line="500" w:lineRule="exact"/>
        <w:ind w:firstLine="522"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 xml:space="preserve">第三十条  </w:t>
      </w:r>
      <w:r>
        <w:rPr>
          <w:rFonts w:hint="eastAsia" w:ascii="仿宋_GB2312" w:hAnsi="仿宋" w:eastAsia="仿宋_GB2312" w:cs="仿宋"/>
          <w:bCs/>
          <w:color w:val="000000"/>
          <w:sz w:val="28"/>
          <w:szCs w:val="28"/>
        </w:rPr>
        <w:t>公司</w:t>
      </w:r>
      <w:r>
        <w:rPr>
          <w:rFonts w:hint="eastAsia" w:ascii="仿宋_GB2312" w:hAnsi="仿宋" w:eastAsia="仿宋_GB2312" w:cs="仿宋"/>
          <w:color w:val="000000"/>
          <w:sz w:val="28"/>
          <w:szCs w:val="28"/>
        </w:rPr>
        <w:t>治理结构:</w:t>
      </w:r>
    </w:p>
    <w:p>
      <w:pPr>
        <w:keepNext w:val="0"/>
        <w:keepLines w:val="0"/>
        <w:pageBreakBefore w:val="0"/>
        <w:widowControl w:val="0"/>
        <w:numPr>
          <w:ilvl w:val="0"/>
          <w:numId w:val="92"/>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发行人的组织结构图；</w:t>
      </w:r>
    </w:p>
    <w:p>
      <w:pPr>
        <w:keepNext w:val="0"/>
        <w:keepLines w:val="0"/>
        <w:pageBreakBefore w:val="0"/>
        <w:widowControl w:val="0"/>
        <w:numPr>
          <w:ilvl w:val="0"/>
          <w:numId w:val="92"/>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发行人股东（大）会（或者法律法规规定的有权决策机构）、董事会、监事会的设置及运行情况说明；</w:t>
      </w:r>
    </w:p>
    <w:p>
      <w:pPr>
        <w:keepNext w:val="0"/>
        <w:keepLines w:val="0"/>
        <w:pageBreakBefore w:val="0"/>
        <w:widowControl w:val="0"/>
        <w:numPr>
          <w:ilvl w:val="0"/>
          <w:numId w:val="92"/>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现任董事、监事、高级管理人员的任职文件及简历（至少包括姓名、现任职务及任期、从业简历、兼职情况等）、持有发行人股份或股权和债券情况的说明、任职是否符合《公司法》及《公司章程》的说明文件、重大违纪违法情况的说明及查询文件：</w:t>
      </w:r>
    </w:p>
    <w:p>
      <w:pPr>
        <w:keepNext w:val="0"/>
        <w:keepLines w:val="0"/>
        <w:pageBreakBefore w:val="0"/>
        <w:widowControl w:val="0"/>
        <w:numPr>
          <w:ilvl w:val="0"/>
          <w:numId w:val="93"/>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公司董事清单，包括：姓名及任期、董事的委任文件；</w:t>
      </w:r>
    </w:p>
    <w:p>
      <w:pPr>
        <w:keepNext w:val="0"/>
        <w:keepLines w:val="0"/>
        <w:pageBreakBefore w:val="0"/>
        <w:widowControl w:val="0"/>
        <w:numPr>
          <w:ilvl w:val="0"/>
          <w:numId w:val="93"/>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公司高级管理人员清单：包括（正副总经理、财务主管、董事会秘书）姓名及任期；</w:t>
      </w:r>
    </w:p>
    <w:p>
      <w:pPr>
        <w:keepNext w:val="0"/>
        <w:keepLines w:val="0"/>
        <w:pageBreakBefore w:val="0"/>
        <w:widowControl w:val="0"/>
        <w:numPr>
          <w:ilvl w:val="0"/>
          <w:numId w:val="93"/>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公司监事清单，包括：监事姓名及任期、监事的选举文件；</w:t>
      </w:r>
    </w:p>
    <w:p>
      <w:pPr>
        <w:keepNext w:val="0"/>
        <w:keepLines w:val="0"/>
        <w:pageBreakBefore w:val="0"/>
        <w:widowControl w:val="0"/>
        <w:numPr>
          <w:ilvl w:val="0"/>
          <w:numId w:val="93"/>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对各地方纪委网站对董事、监事、高级管理人员的情况进行核查，确定是否存在违法、违纪的情形；在裁判文书网、执行信息网董事、监事、高级管理人员进行核查，确认是否存在重大诉讼、列入失信被执行人的情形。</w:t>
      </w:r>
    </w:p>
    <w:p>
      <w:pPr>
        <w:keepNext w:val="0"/>
        <w:keepLines w:val="0"/>
        <w:pageBreakBefore w:val="0"/>
        <w:widowControl w:val="0"/>
        <w:numPr>
          <w:ilvl w:val="0"/>
          <w:numId w:val="92"/>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发行人会计核算、财务管理、风险控制等方面的内部管理制度及运行情况说明；</w:t>
      </w:r>
    </w:p>
    <w:p>
      <w:pPr>
        <w:keepNext w:val="0"/>
        <w:keepLines w:val="0"/>
        <w:pageBreakBefore w:val="0"/>
        <w:widowControl w:val="0"/>
        <w:numPr>
          <w:ilvl w:val="0"/>
          <w:numId w:val="92"/>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对发行人董事、监事、高级管理人员访谈情况的记录文件；</w:t>
      </w:r>
    </w:p>
    <w:p>
      <w:pPr>
        <w:keepNext w:val="0"/>
        <w:keepLines w:val="0"/>
        <w:pageBreakBefore w:val="0"/>
        <w:widowControl w:val="0"/>
        <w:numPr>
          <w:ilvl w:val="0"/>
          <w:numId w:val="92"/>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发行人与控股股东、实际控制人业务、资产、人员、财务、机构等方面的独立性情况的相关材料；</w:t>
      </w:r>
    </w:p>
    <w:p>
      <w:pPr>
        <w:keepNext w:val="0"/>
        <w:keepLines w:val="0"/>
        <w:pageBreakBefore w:val="0"/>
        <w:widowControl w:val="0"/>
        <w:numPr>
          <w:ilvl w:val="0"/>
          <w:numId w:val="92"/>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发行人关于关联方、关联关系和关联交易决策权限、决策程序、定价机制的说明文件；报告期内发生重大关联交易涉及的决策权限及决策程序文件、合同协议、关于定价机制的说明文件（如有必要）；关联方、关联关系和关联交易对发行人偿债能力影响的分析文件（如有必要）；</w:t>
      </w:r>
    </w:p>
    <w:p>
      <w:pPr>
        <w:keepNext w:val="0"/>
        <w:keepLines w:val="0"/>
        <w:pageBreakBefore w:val="0"/>
        <w:widowControl w:val="0"/>
        <w:numPr>
          <w:ilvl w:val="0"/>
          <w:numId w:val="92"/>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报告期内资金被控股股东、实际控制人及其关联方占用的情况说明，以及对发行人偿债能力影响的分析文件；</w:t>
      </w:r>
    </w:p>
    <w:p>
      <w:pPr>
        <w:keepNext w:val="0"/>
        <w:keepLines w:val="0"/>
        <w:pageBreakBefore w:val="0"/>
        <w:widowControl w:val="0"/>
        <w:numPr>
          <w:ilvl w:val="0"/>
          <w:numId w:val="92"/>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报告期内为控股股东、实际控制人及其关联方提供担保的情况说明，以及对发行人偿债能力影响的分析文件。</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 xml:space="preserve">第三十一条  </w:t>
      </w:r>
      <w:r>
        <w:rPr>
          <w:rFonts w:hint="eastAsia" w:ascii="仿宋_GB2312" w:hAnsi="仿宋" w:eastAsia="仿宋_GB2312" w:cs="仿宋"/>
          <w:color w:val="000000"/>
          <w:sz w:val="28"/>
          <w:szCs w:val="28"/>
        </w:rPr>
        <w:t xml:space="preserve">财务资料 </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公司最近三年经审计的的合并财务报告及最近一期的财务报表。</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 xml:space="preserve">第三十二条  </w:t>
      </w:r>
      <w:r>
        <w:rPr>
          <w:rFonts w:hint="eastAsia" w:ascii="仿宋_GB2312" w:hAnsi="仿宋" w:eastAsia="仿宋_GB2312" w:cs="仿宋"/>
          <w:color w:val="000000"/>
          <w:sz w:val="28"/>
          <w:szCs w:val="28"/>
        </w:rPr>
        <w:t>相关的税务资料（含公司及下属子公司）：</w:t>
      </w:r>
    </w:p>
    <w:p>
      <w:pPr>
        <w:keepNext w:val="0"/>
        <w:keepLines w:val="0"/>
        <w:pageBreakBefore w:val="0"/>
        <w:widowControl w:val="0"/>
        <w:numPr>
          <w:ilvl w:val="0"/>
          <w:numId w:val="94"/>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公司适用的税种和税率的清单；公司所享受的任何税收优惠待遇清单；</w:t>
      </w:r>
    </w:p>
    <w:p>
      <w:pPr>
        <w:keepNext w:val="0"/>
        <w:keepLines w:val="0"/>
        <w:pageBreakBefore w:val="0"/>
        <w:widowControl w:val="0"/>
        <w:numPr>
          <w:ilvl w:val="0"/>
          <w:numId w:val="94"/>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公司现行有效的统一社会信用代码的营业执照记载的税务登记情况；</w:t>
      </w:r>
    </w:p>
    <w:p>
      <w:pPr>
        <w:keepNext w:val="0"/>
        <w:keepLines w:val="0"/>
        <w:pageBreakBefore w:val="0"/>
        <w:widowControl w:val="0"/>
        <w:numPr>
          <w:ilvl w:val="0"/>
          <w:numId w:val="94"/>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公司有关税收优惠、财政补贴的申请、批复、政策法规以及及其他文件；</w:t>
      </w:r>
    </w:p>
    <w:p>
      <w:pPr>
        <w:keepNext w:val="0"/>
        <w:keepLines w:val="0"/>
        <w:pageBreakBefore w:val="0"/>
        <w:widowControl w:val="0"/>
        <w:numPr>
          <w:ilvl w:val="0"/>
          <w:numId w:val="94"/>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税务机关出具的关于公司是否存在被税务主管部门处罚的税务证明。</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 xml:space="preserve">第三十三条  </w:t>
      </w:r>
      <w:r>
        <w:rPr>
          <w:rFonts w:hint="eastAsia" w:ascii="仿宋_GB2312" w:hAnsi="仿宋" w:eastAsia="仿宋_GB2312" w:cs="仿宋"/>
          <w:color w:val="000000"/>
          <w:sz w:val="28"/>
          <w:szCs w:val="28"/>
        </w:rPr>
        <w:t>关联交易及同业竞争</w:t>
      </w:r>
    </w:p>
    <w:p>
      <w:pPr>
        <w:keepNext w:val="0"/>
        <w:keepLines w:val="0"/>
        <w:pageBreakBefore w:val="0"/>
        <w:widowControl w:val="0"/>
        <w:numPr>
          <w:ilvl w:val="0"/>
          <w:numId w:val="95"/>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公司各关联方（包括存在控制关系和不存在控制关系）的营业执照（或身份证明）章程及相关批准文件（直接或间接股东除外）。</w:t>
      </w:r>
    </w:p>
    <w:p>
      <w:pPr>
        <w:keepNext w:val="0"/>
        <w:keepLines w:val="0"/>
        <w:pageBreakBefore w:val="0"/>
        <w:widowControl w:val="0"/>
        <w:numPr>
          <w:ilvl w:val="0"/>
          <w:numId w:val="95"/>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公司最近三年的关联交易情况，包括但不限于:关联交易的协议文本、内容、数量、定价原则以及依据、交易金额、公司对关联交易的决策文件；</w:t>
      </w:r>
    </w:p>
    <w:p>
      <w:pPr>
        <w:keepNext w:val="0"/>
        <w:keepLines w:val="0"/>
        <w:pageBreakBefore w:val="0"/>
        <w:widowControl w:val="0"/>
        <w:numPr>
          <w:ilvl w:val="0"/>
          <w:numId w:val="95"/>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公司与控股股东的关联交易按照公平合理原则定价，不存在损害公司及股东利益的情况的相关文件资料（包括但不限于独立董事报告、独立财务顾问报告、评估报告及确认书等）；</w:t>
      </w:r>
    </w:p>
    <w:p>
      <w:pPr>
        <w:keepNext w:val="0"/>
        <w:keepLines w:val="0"/>
        <w:pageBreakBefore w:val="0"/>
        <w:widowControl w:val="0"/>
        <w:numPr>
          <w:ilvl w:val="0"/>
          <w:numId w:val="95"/>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公司与关联方同业竞争状况、性质的说明文件；</w:t>
      </w:r>
    </w:p>
    <w:p>
      <w:pPr>
        <w:keepNext w:val="0"/>
        <w:keepLines w:val="0"/>
        <w:pageBreakBefore w:val="0"/>
        <w:widowControl w:val="0"/>
        <w:numPr>
          <w:ilvl w:val="0"/>
          <w:numId w:val="95"/>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公司、股东对有关关联交易和解决同业竞争的承诺、采取的措施（如承诺书、协议等）；</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 xml:space="preserve">第三十四条  </w:t>
      </w:r>
      <w:r>
        <w:rPr>
          <w:rFonts w:hint="eastAsia" w:ascii="仿宋_GB2312" w:hAnsi="仿宋" w:eastAsia="仿宋_GB2312" w:cs="仿宋"/>
          <w:color w:val="000000"/>
          <w:sz w:val="28"/>
          <w:szCs w:val="28"/>
        </w:rPr>
        <w:t xml:space="preserve">公司环保及质量监督相关文件（含公司及下属子公司） </w:t>
      </w:r>
    </w:p>
    <w:p>
      <w:pPr>
        <w:keepNext w:val="0"/>
        <w:keepLines w:val="0"/>
        <w:pageBreakBefore w:val="0"/>
        <w:widowControl w:val="0"/>
        <w:numPr>
          <w:ilvl w:val="0"/>
          <w:numId w:val="96"/>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公司环保情况介绍；</w:t>
      </w:r>
    </w:p>
    <w:p>
      <w:pPr>
        <w:keepNext w:val="0"/>
        <w:keepLines w:val="0"/>
        <w:pageBreakBefore w:val="0"/>
        <w:widowControl w:val="0"/>
        <w:numPr>
          <w:ilvl w:val="0"/>
          <w:numId w:val="96"/>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公司生产过程中取得的排污许可证或环境保护方面的批文；</w:t>
      </w:r>
    </w:p>
    <w:p>
      <w:pPr>
        <w:keepNext w:val="0"/>
        <w:keepLines w:val="0"/>
        <w:pageBreakBefore w:val="0"/>
        <w:widowControl w:val="0"/>
        <w:numPr>
          <w:ilvl w:val="0"/>
          <w:numId w:val="96"/>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公司服务或产品质量奖项；</w:t>
      </w:r>
    </w:p>
    <w:p>
      <w:pPr>
        <w:keepNext w:val="0"/>
        <w:keepLines w:val="0"/>
        <w:pageBreakBefore w:val="0"/>
        <w:widowControl w:val="0"/>
        <w:numPr>
          <w:ilvl w:val="0"/>
          <w:numId w:val="96"/>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由环保部门出具的关于公司是否存在违反国家环境保护方面的法律、法规和规范性文件而被处罚的证明文件；</w:t>
      </w:r>
    </w:p>
    <w:p>
      <w:pPr>
        <w:keepNext w:val="0"/>
        <w:keepLines w:val="0"/>
        <w:pageBreakBefore w:val="0"/>
        <w:widowControl w:val="0"/>
        <w:numPr>
          <w:ilvl w:val="0"/>
          <w:numId w:val="96"/>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由质监部门出具的关于公司是否存在因违反国家质量监督管理方面的法律、法规和规范性文件而被处罚的证明文件。</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 xml:space="preserve">第三十五条  </w:t>
      </w:r>
      <w:r>
        <w:rPr>
          <w:rFonts w:hint="eastAsia" w:ascii="仿宋_GB2312" w:hAnsi="仿宋" w:eastAsia="仿宋_GB2312" w:cs="仿宋"/>
          <w:color w:val="000000"/>
          <w:sz w:val="28"/>
          <w:szCs w:val="28"/>
        </w:rPr>
        <w:t>项目的相关文件</w:t>
      </w:r>
    </w:p>
    <w:p>
      <w:pPr>
        <w:keepNext w:val="0"/>
        <w:keepLines w:val="0"/>
        <w:pageBreakBefore w:val="0"/>
        <w:widowControl w:val="0"/>
        <w:numPr>
          <w:ilvl w:val="0"/>
          <w:numId w:val="97"/>
        </w:numPr>
        <w:wordWrap/>
        <w:bidi w:val="0"/>
        <w:adjustRightInd/>
        <w:snapToGrid/>
        <w:spacing w:after="0" w:line="500" w:lineRule="exact"/>
        <w:ind w:firstLine="522" w:firstLineChars="200"/>
        <w:jc w:val="both"/>
        <w:rPr>
          <w:rFonts w:hint="eastAsia" w:ascii="仿宋_GB2312" w:hAnsi="仿宋" w:eastAsia="仿宋_GB2312" w:cs="仿宋"/>
          <w:color w:val="auto"/>
          <w:sz w:val="28"/>
          <w:szCs w:val="28"/>
        </w:rPr>
      </w:pPr>
      <w:r>
        <w:rPr>
          <w:rFonts w:hint="eastAsia" w:ascii="仿宋_GB2312" w:hAnsi="仿宋" w:eastAsia="仿宋_GB2312" w:cs="仿宋"/>
          <w:color w:val="000000"/>
          <w:sz w:val="28"/>
          <w:szCs w:val="28"/>
        </w:rPr>
        <w:t>募集资金投</w:t>
      </w:r>
      <w:r>
        <w:rPr>
          <w:rFonts w:hint="eastAsia" w:ascii="仿宋_GB2312" w:hAnsi="仿宋" w:eastAsia="仿宋_GB2312" w:cs="仿宋"/>
          <w:color w:val="auto"/>
          <w:sz w:val="28"/>
          <w:szCs w:val="28"/>
        </w:rPr>
        <w:t>向项目工程可行性研究报告批复文件复印件或备案通知书复印件；（需核实募集资金拟投资项目建成后是否独立产生现金流，是否为公益性项目；投资项目</w:t>
      </w:r>
      <w:r>
        <w:rPr>
          <w:rFonts w:hint="eastAsia" w:ascii="仿宋_GB2312" w:hAnsi="宋体" w:eastAsia="仿宋_GB2312" w:cs="仿宋_GB2312"/>
          <w:color w:val="auto"/>
          <w:sz w:val="28"/>
          <w:szCs w:val="28"/>
          <w:lang w:bidi="ar"/>
        </w:rPr>
        <w:t>是否符合《预算法》 《政府投资条例》《国务院关于加强地方政府债务管理的意见》 （国发〔2014〕43 号）、《关于进一步规范地方政府举债融资行为的通知》（财预〔2017〕50 号）及《国务院关于进一步深化预算管理制度改革的意见》（国发〔2021〕5 号）等关于地方政府债务管理的相关规定，是否存在替政府垫资的情形，是否涉及新增地方政府隐性债务。</w:t>
      </w:r>
      <w:r>
        <w:rPr>
          <w:rFonts w:hint="eastAsia" w:ascii="仿宋_GB2312" w:hAnsi="仿宋" w:eastAsia="仿宋_GB2312" w:cs="仿宋"/>
          <w:color w:val="auto"/>
          <w:sz w:val="28"/>
          <w:szCs w:val="28"/>
        </w:rPr>
        <w:t>）</w:t>
      </w:r>
    </w:p>
    <w:p>
      <w:pPr>
        <w:keepNext w:val="0"/>
        <w:keepLines w:val="0"/>
        <w:pageBreakBefore w:val="0"/>
        <w:widowControl w:val="0"/>
        <w:numPr>
          <w:ilvl w:val="0"/>
          <w:numId w:val="97"/>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土地批文（建设用地许可证或用地预审批准书复印件、土地产权证复印件）；</w:t>
      </w:r>
    </w:p>
    <w:p>
      <w:pPr>
        <w:keepNext w:val="0"/>
        <w:keepLines w:val="0"/>
        <w:pageBreakBefore w:val="0"/>
        <w:widowControl w:val="0"/>
        <w:numPr>
          <w:ilvl w:val="0"/>
          <w:numId w:val="97"/>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项目环境影响评估报告的批复文件复印件；</w:t>
      </w:r>
    </w:p>
    <w:p>
      <w:pPr>
        <w:keepNext w:val="0"/>
        <w:keepLines w:val="0"/>
        <w:pageBreakBefore w:val="0"/>
        <w:widowControl w:val="0"/>
        <w:numPr>
          <w:ilvl w:val="0"/>
          <w:numId w:val="97"/>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公司与募投项目的项目主体之间的股权关系；</w:t>
      </w:r>
    </w:p>
    <w:p>
      <w:pPr>
        <w:keepNext w:val="0"/>
        <w:keepLines w:val="0"/>
        <w:pageBreakBefore w:val="0"/>
        <w:widowControl w:val="0"/>
        <w:numPr>
          <w:ilvl w:val="0"/>
          <w:numId w:val="97"/>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授权和审批，包括公司董事会决议、国资委、财政局、政府、人大、发改委等相关文件（若有）；</w:t>
      </w:r>
    </w:p>
    <w:p>
      <w:pPr>
        <w:keepNext w:val="0"/>
        <w:keepLines w:val="0"/>
        <w:pageBreakBefore w:val="0"/>
        <w:widowControl w:val="0"/>
        <w:numPr>
          <w:ilvl w:val="0"/>
          <w:numId w:val="97"/>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债券发行的信用评级报告（如有）；</w:t>
      </w:r>
    </w:p>
    <w:p>
      <w:pPr>
        <w:keepNext w:val="0"/>
        <w:keepLines w:val="0"/>
        <w:pageBreakBefore w:val="0"/>
        <w:widowControl w:val="0"/>
        <w:numPr>
          <w:ilvl w:val="0"/>
          <w:numId w:val="97"/>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《募集说明书》、《债券持有人会议规则》、《债券受托管理协议》、《承销协议》；</w:t>
      </w:r>
    </w:p>
    <w:p>
      <w:pPr>
        <w:keepNext w:val="0"/>
        <w:keepLines w:val="0"/>
        <w:pageBreakBefore w:val="0"/>
        <w:widowControl w:val="0"/>
        <w:numPr>
          <w:ilvl w:val="0"/>
          <w:numId w:val="97"/>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本次发行涉及的中介机构的主体资格证明：主承销商的《营业执照》、《中华人民共和国经营证券业务许可证》；律师事务所《律师事务所执业许可证》及向律师事务所在证监会、司法部备案情况；审计机构《营业执照》、《会计师事务所执业证书》及会计师事务所在证监会、财政部备案情况；信用评级机构《营业执照》及向证监会的备案情况；上述机构从事债券类项目的批复文件（如有）等。</w:t>
      </w:r>
    </w:p>
    <w:p>
      <w:pPr>
        <w:pStyle w:val="2"/>
        <w:keepNext w:val="0"/>
        <w:keepLines w:val="0"/>
        <w:pageBreakBefore w:val="0"/>
        <w:widowControl w:val="0"/>
        <w:wordWrap/>
        <w:bidi w:val="0"/>
        <w:spacing w:before="0" w:after="0" w:line="500" w:lineRule="exact"/>
        <w:jc w:val="center"/>
        <w:textAlignment w:val="baseline"/>
        <w:rPr>
          <w:rFonts w:hint="eastAsia" w:ascii="黑体" w:hAnsi="黑体" w:eastAsia="黑体" w:cs="黑体"/>
          <w:b w:val="0"/>
          <w:bCs/>
          <w:color w:val="000000"/>
          <w:sz w:val="28"/>
          <w:szCs w:val="28"/>
        </w:rPr>
      </w:pPr>
      <w:bookmarkStart w:id="139" w:name="_Toc3146"/>
      <w:bookmarkStart w:id="140" w:name="_Toc353717167"/>
      <w:bookmarkStart w:id="141" w:name="_Toc2151"/>
      <w:r>
        <w:rPr>
          <w:rFonts w:hint="eastAsia" w:ascii="黑体" w:hAnsi="黑体" w:eastAsia="黑体" w:cs="黑体"/>
          <w:b w:val="0"/>
          <w:bCs/>
          <w:color w:val="000000"/>
          <w:sz w:val="28"/>
          <w:szCs w:val="28"/>
        </w:rPr>
        <w:t xml:space="preserve">第五章  </w:t>
      </w:r>
      <w:bookmarkEnd w:id="139"/>
      <w:bookmarkEnd w:id="140"/>
      <w:r>
        <w:rPr>
          <w:rFonts w:hint="eastAsia" w:ascii="黑体" w:hAnsi="黑体" w:eastAsia="黑体" w:cs="黑体"/>
          <w:b w:val="0"/>
          <w:bCs/>
          <w:color w:val="000000"/>
          <w:sz w:val="28"/>
          <w:szCs w:val="28"/>
        </w:rPr>
        <w:t>尽职调查报告</w:t>
      </w:r>
      <w:bookmarkEnd w:id="141"/>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 xml:space="preserve">第三十六条  </w:t>
      </w:r>
      <w:r>
        <w:rPr>
          <w:rFonts w:hint="eastAsia" w:ascii="仿宋_GB2312" w:hAnsi="仿宋" w:eastAsia="仿宋_GB2312" w:cs="仿宋"/>
          <w:color w:val="000000"/>
          <w:sz w:val="28"/>
          <w:szCs w:val="28"/>
        </w:rPr>
        <w:t>尽职调查报告的主要内容：</w:t>
      </w:r>
    </w:p>
    <w:p>
      <w:pPr>
        <w:keepNext w:val="0"/>
        <w:keepLines w:val="0"/>
        <w:pageBreakBefore w:val="0"/>
        <w:widowControl w:val="0"/>
        <w:numPr>
          <w:ilvl w:val="0"/>
          <w:numId w:val="98"/>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发行人的主体资格。尽职调查报告中说明发行人是否为依照法律程序设立的股份有限公司或者经批准拟成立的股份有限公司；说明发行人是否依法有效存续,即根据法律、法规及其公司章程说明发行人是否有需要终止的情形出现；说明发行人目前正在从事或者拟从事的业务活动是否与其经营范围一致。</w:t>
      </w:r>
    </w:p>
    <w:p>
      <w:pPr>
        <w:keepNext w:val="0"/>
        <w:keepLines w:val="0"/>
        <w:pageBreakBefore w:val="0"/>
        <w:widowControl w:val="0"/>
        <w:numPr>
          <w:ilvl w:val="0"/>
          <w:numId w:val="98"/>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当期债券发行的批准或者授权。在尽职调查报告中说明董事会、股东（大）会决议的内容、形式是否合法有效，并且就股东（大）会的授权是否合法作出说明；说明发行申请人已经取得和尚待取得有权部门同意发行、上市方能发行、上市的事项。</w:t>
      </w:r>
    </w:p>
    <w:p>
      <w:pPr>
        <w:keepNext w:val="0"/>
        <w:keepLines w:val="0"/>
        <w:pageBreakBefore w:val="0"/>
        <w:widowControl w:val="0"/>
        <w:numPr>
          <w:ilvl w:val="0"/>
          <w:numId w:val="98"/>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当期债券发行的实质条件。在尽职调查报告中核查发行人是否符合如下实质条件(依据不同的公司债券品种核查不同的实质条件）：</w:t>
      </w:r>
    </w:p>
    <w:p>
      <w:pPr>
        <w:pStyle w:val="26"/>
        <w:keepNext w:val="0"/>
        <w:keepLines w:val="0"/>
        <w:pageBreakBefore w:val="0"/>
        <w:widowControl w:val="0"/>
        <w:wordWrap/>
        <w:bidi w:val="0"/>
        <w:spacing w:line="500" w:lineRule="exact"/>
        <w:ind w:firstLine="522" w:firstLineChars="200"/>
        <w:rPr>
          <w:rStyle w:val="27"/>
          <w:rFonts w:hint="eastAsia" w:ascii="仿宋_GB2312" w:hAnsi="仿宋" w:eastAsia="仿宋_GB2312" w:cs="仿宋"/>
          <w:b w:val="0"/>
          <w:bCs w:val="0"/>
          <w:color w:val="000000"/>
          <w:sz w:val="28"/>
          <w:szCs w:val="28"/>
        </w:rPr>
      </w:pPr>
      <w:r>
        <w:rPr>
          <w:rStyle w:val="27"/>
          <w:rFonts w:hint="eastAsia" w:ascii="仿宋_GB2312" w:hAnsi="仿宋" w:eastAsia="仿宋_GB2312" w:cs="仿宋"/>
          <w:b w:val="0"/>
          <w:bCs w:val="0"/>
          <w:color w:val="000000"/>
          <w:sz w:val="28"/>
          <w:szCs w:val="28"/>
        </w:rPr>
        <w:t>1.公开发行公司债券（面向专业投资者发行）</w:t>
      </w:r>
    </w:p>
    <w:p>
      <w:pPr>
        <w:pStyle w:val="26"/>
        <w:keepNext w:val="0"/>
        <w:keepLines w:val="0"/>
        <w:pageBreakBefore w:val="0"/>
        <w:widowControl w:val="0"/>
        <w:numPr>
          <w:ilvl w:val="0"/>
          <w:numId w:val="99"/>
        </w:numPr>
        <w:wordWrap/>
        <w:bidi w:val="0"/>
        <w:spacing w:line="500" w:lineRule="exact"/>
        <w:ind w:firstLine="522" w:firstLineChars="200"/>
        <w:rPr>
          <w:rFonts w:hint="eastAsia" w:ascii="仿宋_GB2312" w:hAnsi="仿宋" w:eastAsia="仿宋_GB2312" w:cs="仿宋"/>
          <w:color w:val="000000"/>
          <w:sz w:val="28"/>
          <w:szCs w:val="28"/>
          <w:lang w:val="zh-CN"/>
        </w:rPr>
      </w:pPr>
      <w:r>
        <w:rPr>
          <w:rFonts w:hint="eastAsia" w:ascii="仿宋_GB2312" w:hAnsi="仿宋" w:eastAsia="仿宋_GB2312" w:cs="仿宋"/>
          <w:color w:val="000000"/>
          <w:sz w:val="28"/>
          <w:szCs w:val="28"/>
        </w:rPr>
        <w:t>说明发行人</w:t>
      </w:r>
      <w:r>
        <w:rPr>
          <w:rFonts w:hint="eastAsia" w:ascii="仿宋_GB2312" w:hAnsi="仿宋" w:eastAsia="仿宋_GB2312" w:cs="仿宋"/>
          <w:color w:val="000000"/>
          <w:sz w:val="28"/>
          <w:szCs w:val="28"/>
          <w:lang w:val="zh-CN"/>
        </w:rPr>
        <w:t>具备健全且运行良好的组织机构；</w:t>
      </w:r>
    </w:p>
    <w:p>
      <w:pPr>
        <w:pStyle w:val="26"/>
        <w:keepNext w:val="0"/>
        <w:keepLines w:val="0"/>
        <w:pageBreakBefore w:val="0"/>
        <w:widowControl w:val="0"/>
        <w:numPr>
          <w:ilvl w:val="0"/>
          <w:numId w:val="99"/>
        </w:numPr>
        <w:wordWrap/>
        <w:bidi w:val="0"/>
        <w:spacing w:line="500" w:lineRule="exact"/>
        <w:ind w:firstLine="522" w:firstLineChars="200"/>
        <w:rPr>
          <w:rFonts w:hint="eastAsia" w:ascii="仿宋_GB2312" w:hAnsi="仿宋" w:eastAsia="仿宋_GB2312" w:cs="仿宋"/>
          <w:color w:val="000000"/>
          <w:sz w:val="28"/>
          <w:szCs w:val="28"/>
          <w:lang w:val="zh-CN"/>
        </w:rPr>
      </w:pPr>
      <w:r>
        <w:rPr>
          <w:rFonts w:hint="eastAsia" w:ascii="仿宋_GB2312" w:hAnsi="仿宋" w:eastAsia="仿宋_GB2312" w:cs="仿宋"/>
          <w:color w:val="000000"/>
          <w:sz w:val="28"/>
          <w:szCs w:val="28"/>
        </w:rPr>
        <w:t>说明发行人</w:t>
      </w:r>
      <w:r>
        <w:rPr>
          <w:rFonts w:hint="eastAsia" w:ascii="仿宋_GB2312" w:hAnsi="仿宋" w:eastAsia="仿宋_GB2312" w:cs="仿宋"/>
          <w:color w:val="000000"/>
          <w:sz w:val="28"/>
          <w:szCs w:val="28"/>
          <w:lang w:val="zh-CN"/>
        </w:rPr>
        <w:t>最近三年平均可分配利润足以支付公司债券一年的利息；</w:t>
      </w:r>
    </w:p>
    <w:p>
      <w:pPr>
        <w:pStyle w:val="26"/>
        <w:keepNext w:val="0"/>
        <w:keepLines w:val="0"/>
        <w:pageBreakBefore w:val="0"/>
        <w:widowControl w:val="0"/>
        <w:numPr>
          <w:ilvl w:val="0"/>
          <w:numId w:val="99"/>
        </w:numPr>
        <w:wordWrap/>
        <w:bidi w:val="0"/>
        <w:spacing w:line="500" w:lineRule="exact"/>
        <w:ind w:firstLine="522" w:firstLineChars="200"/>
        <w:rPr>
          <w:rFonts w:hint="eastAsia" w:ascii="仿宋_GB2312" w:hAnsi="仿宋" w:eastAsia="仿宋_GB2312" w:cs="仿宋"/>
          <w:color w:val="000000"/>
          <w:sz w:val="28"/>
          <w:szCs w:val="28"/>
          <w:lang w:val="zh-CN"/>
        </w:rPr>
      </w:pPr>
      <w:r>
        <w:rPr>
          <w:rFonts w:hint="eastAsia" w:ascii="仿宋_GB2312" w:hAnsi="仿宋" w:eastAsia="仿宋_GB2312" w:cs="仿宋"/>
          <w:color w:val="000000"/>
          <w:sz w:val="28"/>
          <w:szCs w:val="28"/>
        </w:rPr>
        <w:t>说明发行人符合</w:t>
      </w:r>
      <w:r>
        <w:rPr>
          <w:rFonts w:hint="eastAsia" w:ascii="仿宋_GB2312" w:hAnsi="仿宋" w:eastAsia="仿宋_GB2312" w:cs="仿宋"/>
          <w:color w:val="000000"/>
          <w:sz w:val="28"/>
          <w:szCs w:val="28"/>
          <w:lang w:val="zh-CN"/>
        </w:rPr>
        <w:t>国务院规定的其他条件。</w:t>
      </w:r>
      <w:bookmarkStart w:id="142" w:name="No76_Z2T15K2"/>
      <w:bookmarkEnd w:id="142"/>
      <w:bookmarkStart w:id="143" w:name="No72_Z2T15K1"/>
      <w:bookmarkEnd w:id="143"/>
      <w:bookmarkStart w:id="144" w:name="No73_Z2T15K1X1"/>
      <w:bookmarkEnd w:id="144"/>
      <w:bookmarkStart w:id="145" w:name="No74_Z2T15K1X2"/>
      <w:bookmarkEnd w:id="145"/>
      <w:bookmarkStart w:id="146" w:name="No77_Z2T15K3"/>
      <w:bookmarkEnd w:id="146"/>
      <w:bookmarkStart w:id="147" w:name="No75_Z2T15K1X3"/>
      <w:bookmarkEnd w:id="147"/>
    </w:p>
    <w:p>
      <w:pPr>
        <w:pStyle w:val="26"/>
        <w:keepNext w:val="0"/>
        <w:keepLines w:val="0"/>
        <w:pageBreakBefore w:val="0"/>
        <w:widowControl w:val="0"/>
        <w:numPr>
          <w:ilvl w:val="0"/>
          <w:numId w:val="99"/>
        </w:numPr>
        <w:wordWrap/>
        <w:bidi w:val="0"/>
        <w:spacing w:line="500" w:lineRule="exact"/>
        <w:ind w:firstLine="522" w:firstLineChars="200"/>
        <w:rPr>
          <w:rFonts w:hint="eastAsia" w:ascii="仿宋_GB2312" w:hAnsi="仿宋" w:eastAsia="仿宋_GB2312" w:cs="仿宋"/>
          <w:color w:val="000000"/>
          <w:sz w:val="28"/>
          <w:szCs w:val="28"/>
          <w:lang w:val="zh-CN"/>
        </w:rPr>
      </w:pPr>
      <w:bookmarkStart w:id="148" w:name="No87_Z2T17K1X1"/>
      <w:bookmarkEnd w:id="148"/>
      <w:r>
        <w:rPr>
          <w:rFonts w:hint="eastAsia" w:ascii="仿宋_GB2312" w:hAnsi="仿宋" w:eastAsia="仿宋_GB2312" w:cs="仿宋"/>
          <w:color w:val="000000"/>
          <w:sz w:val="28"/>
          <w:szCs w:val="28"/>
        </w:rPr>
        <w:t>说明发行人不存在</w:t>
      </w:r>
      <w:r>
        <w:rPr>
          <w:rFonts w:hint="eastAsia" w:ascii="仿宋_GB2312" w:hAnsi="仿宋" w:eastAsia="仿宋_GB2312" w:cs="仿宋"/>
          <w:color w:val="000000"/>
          <w:sz w:val="28"/>
          <w:szCs w:val="28"/>
          <w:lang w:val="zh-CN"/>
        </w:rPr>
        <w:t>已公开发行的公司债券或者其他债务有违约或者延迟支付本息的事实，仍处于继续状态；</w:t>
      </w:r>
    </w:p>
    <w:p>
      <w:pPr>
        <w:pStyle w:val="26"/>
        <w:keepNext w:val="0"/>
        <w:keepLines w:val="0"/>
        <w:pageBreakBefore w:val="0"/>
        <w:widowControl w:val="0"/>
        <w:numPr>
          <w:ilvl w:val="0"/>
          <w:numId w:val="99"/>
        </w:numPr>
        <w:wordWrap/>
        <w:bidi w:val="0"/>
        <w:spacing w:line="500" w:lineRule="exact"/>
        <w:ind w:firstLine="522" w:firstLineChars="200"/>
        <w:rPr>
          <w:rFonts w:hint="eastAsia" w:ascii="仿宋_GB2312" w:hAnsi="仿宋" w:eastAsia="仿宋_GB2312" w:cs="仿宋"/>
          <w:color w:val="000000"/>
          <w:sz w:val="28"/>
          <w:szCs w:val="28"/>
          <w:lang w:val="zh-CN"/>
        </w:rPr>
      </w:pPr>
      <w:bookmarkStart w:id="149" w:name="No88_Z2T17K1X2"/>
      <w:bookmarkEnd w:id="149"/>
      <w:r>
        <w:rPr>
          <w:rFonts w:hint="eastAsia" w:ascii="仿宋_GB2312" w:hAnsi="仿宋" w:eastAsia="仿宋_GB2312" w:cs="仿宋"/>
          <w:color w:val="000000"/>
          <w:sz w:val="28"/>
          <w:szCs w:val="28"/>
        </w:rPr>
        <w:t>说明发行人不存在违反《证券法》的</w:t>
      </w:r>
      <w:r>
        <w:rPr>
          <w:rFonts w:hint="eastAsia" w:ascii="仿宋_GB2312" w:hAnsi="仿宋" w:eastAsia="仿宋_GB2312" w:cs="仿宋"/>
          <w:color w:val="000000"/>
          <w:sz w:val="28"/>
          <w:szCs w:val="28"/>
          <w:lang w:val="zh-CN"/>
        </w:rPr>
        <w:t>规定</w:t>
      </w:r>
      <w:r>
        <w:rPr>
          <w:rFonts w:hint="eastAsia" w:ascii="仿宋_GB2312" w:hAnsi="仿宋" w:eastAsia="仿宋_GB2312" w:cs="仿宋"/>
          <w:color w:val="000000"/>
          <w:sz w:val="28"/>
          <w:szCs w:val="28"/>
        </w:rPr>
        <w:t>及</w:t>
      </w:r>
      <w:r>
        <w:rPr>
          <w:rFonts w:hint="eastAsia" w:ascii="仿宋_GB2312" w:hAnsi="仿宋" w:eastAsia="仿宋_GB2312" w:cs="仿宋"/>
          <w:color w:val="000000"/>
          <w:sz w:val="28"/>
          <w:szCs w:val="28"/>
          <w:lang w:val="zh-CN"/>
        </w:rPr>
        <w:t>改变公开发行公司债券所募资金的用途</w:t>
      </w:r>
      <w:r>
        <w:rPr>
          <w:rFonts w:hint="eastAsia" w:ascii="仿宋_GB2312" w:hAnsi="仿宋" w:eastAsia="仿宋_GB2312" w:cs="仿宋"/>
          <w:color w:val="000000"/>
          <w:sz w:val="28"/>
          <w:szCs w:val="28"/>
        </w:rPr>
        <w:t>的情形</w:t>
      </w:r>
      <w:r>
        <w:rPr>
          <w:rFonts w:hint="eastAsia" w:ascii="仿宋_GB2312" w:hAnsi="仿宋" w:eastAsia="仿宋_GB2312" w:cs="仿宋"/>
          <w:color w:val="000000"/>
          <w:sz w:val="28"/>
          <w:szCs w:val="28"/>
          <w:lang w:val="zh-CN"/>
        </w:rPr>
        <w:t>。</w:t>
      </w:r>
    </w:p>
    <w:p>
      <w:pPr>
        <w:pStyle w:val="26"/>
        <w:keepNext w:val="0"/>
        <w:keepLines w:val="0"/>
        <w:pageBreakBefore w:val="0"/>
        <w:widowControl w:val="0"/>
        <w:wordWrap/>
        <w:bidi w:val="0"/>
        <w:spacing w:line="500" w:lineRule="exact"/>
        <w:ind w:firstLine="522" w:firstLineChars="200"/>
        <w:rPr>
          <w:rStyle w:val="27"/>
          <w:rFonts w:hint="eastAsia" w:ascii="仿宋_GB2312" w:hAnsi="仿宋" w:eastAsia="仿宋_GB2312" w:cs="仿宋"/>
          <w:b w:val="0"/>
          <w:bCs w:val="0"/>
          <w:color w:val="000000"/>
          <w:sz w:val="28"/>
          <w:szCs w:val="28"/>
        </w:rPr>
      </w:pPr>
      <w:r>
        <w:rPr>
          <w:rStyle w:val="27"/>
          <w:rFonts w:hint="eastAsia" w:ascii="仿宋_GB2312" w:hAnsi="仿宋" w:eastAsia="仿宋_GB2312" w:cs="仿宋"/>
          <w:b w:val="0"/>
          <w:bCs w:val="0"/>
          <w:color w:val="000000"/>
          <w:sz w:val="28"/>
          <w:szCs w:val="28"/>
        </w:rPr>
        <w:t>2.公开发行公司债券（面向普通投资者）</w:t>
      </w:r>
    </w:p>
    <w:p>
      <w:pPr>
        <w:pStyle w:val="26"/>
        <w:keepNext w:val="0"/>
        <w:keepLines w:val="0"/>
        <w:pageBreakBefore w:val="0"/>
        <w:widowControl w:val="0"/>
        <w:wordWrap/>
        <w:bidi w:val="0"/>
        <w:spacing w:line="500" w:lineRule="exact"/>
        <w:ind w:firstLine="522" w:firstLineChars="200"/>
        <w:rPr>
          <w:rFonts w:hint="eastAsia" w:ascii="仿宋_GB2312" w:hAnsi="仿宋" w:eastAsia="仿宋_GB2312" w:cs="仿宋"/>
          <w:color w:val="000000"/>
          <w:sz w:val="28"/>
          <w:szCs w:val="28"/>
        </w:rPr>
      </w:pPr>
      <w:bookmarkStart w:id="150" w:name="No61_Z3J1T16K1"/>
      <w:bookmarkEnd w:id="150"/>
      <w:bookmarkStart w:id="151" w:name="No62_Z3J1T16K1X1"/>
      <w:bookmarkEnd w:id="151"/>
      <w:r>
        <w:rPr>
          <w:rFonts w:hint="eastAsia" w:ascii="仿宋_GB2312" w:hAnsi="仿宋" w:eastAsia="仿宋_GB2312" w:cs="仿宋"/>
          <w:color w:val="000000"/>
          <w:sz w:val="28"/>
          <w:szCs w:val="28"/>
        </w:rPr>
        <w:t>除满足公开发行公司债券（面向专业投资者发行）条件外，尽职调查报告中还需说明发行人满足如下条件：</w:t>
      </w:r>
    </w:p>
    <w:p>
      <w:pPr>
        <w:pStyle w:val="26"/>
        <w:keepNext w:val="0"/>
        <w:keepLines w:val="0"/>
        <w:pageBreakBefore w:val="0"/>
        <w:widowControl w:val="0"/>
        <w:numPr>
          <w:ilvl w:val="0"/>
          <w:numId w:val="100"/>
        </w:numPr>
        <w:wordWrap/>
        <w:bidi w:val="0"/>
        <w:spacing w:line="500" w:lineRule="exact"/>
        <w:ind w:firstLine="522" w:firstLineChars="200"/>
        <w:rPr>
          <w:rFonts w:hint="eastAsia" w:ascii="仿宋_GB2312" w:hAnsi="仿宋" w:eastAsia="仿宋_GB2312" w:cs="仿宋"/>
          <w:color w:val="000000"/>
          <w:sz w:val="28"/>
          <w:szCs w:val="28"/>
          <w:lang w:val="zh-CN"/>
        </w:rPr>
      </w:pPr>
      <w:r>
        <w:rPr>
          <w:rFonts w:hint="eastAsia" w:ascii="仿宋_GB2312" w:hAnsi="仿宋" w:eastAsia="仿宋_GB2312" w:cs="仿宋"/>
          <w:color w:val="000000"/>
          <w:sz w:val="28"/>
          <w:szCs w:val="28"/>
        </w:rPr>
        <w:t>说明</w:t>
      </w:r>
      <w:r>
        <w:rPr>
          <w:rFonts w:hint="eastAsia" w:ascii="仿宋_GB2312" w:hAnsi="仿宋" w:eastAsia="仿宋_GB2312" w:cs="仿宋"/>
          <w:color w:val="000000"/>
          <w:sz w:val="28"/>
          <w:szCs w:val="28"/>
          <w:lang w:val="zh-CN"/>
        </w:rPr>
        <w:t>发行人最近三年无债务违约或者延迟支付本息的事实；</w:t>
      </w:r>
    </w:p>
    <w:p>
      <w:pPr>
        <w:pStyle w:val="26"/>
        <w:keepNext w:val="0"/>
        <w:keepLines w:val="0"/>
        <w:pageBreakBefore w:val="0"/>
        <w:widowControl w:val="0"/>
        <w:numPr>
          <w:ilvl w:val="0"/>
          <w:numId w:val="100"/>
        </w:numPr>
        <w:wordWrap/>
        <w:bidi w:val="0"/>
        <w:spacing w:line="500" w:lineRule="exact"/>
        <w:ind w:firstLine="522" w:firstLineChars="200"/>
        <w:rPr>
          <w:rFonts w:hint="eastAsia" w:ascii="仿宋_GB2312" w:hAnsi="仿宋" w:eastAsia="仿宋_GB2312" w:cs="仿宋"/>
          <w:color w:val="000000"/>
          <w:sz w:val="28"/>
          <w:szCs w:val="28"/>
          <w:lang w:val="zh-CN"/>
        </w:rPr>
      </w:pPr>
      <w:bookmarkStart w:id="152" w:name="No63_Z3J1T16K1X2"/>
      <w:bookmarkEnd w:id="152"/>
      <w:r>
        <w:rPr>
          <w:rFonts w:hint="eastAsia" w:ascii="仿宋_GB2312" w:hAnsi="仿宋" w:eastAsia="仿宋_GB2312" w:cs="仿宋"/>
          <w:color w:val="000000"/>
          <w:sz w:val="28"/>
          <w:szCs w:val="28"/>
        </w:rPr>
        <w:t>说明</w:t>
      </w:r>
      <w:r>
        <w:rPr>
          <w:rFonts w:hint="eastAsia" w:ascii="仿宋_GB2312" w:hAnsi="仿宋" w:eastAsia="仿宋_GB2312" w:cs="仿宋"/>
          <w:color w:val="000000"/>
          <w:sz w:val="28"/>
          <w:szCs w:val="28"/>
          <w:lang w:val="zh-CN"/>
        </w:rPr>
        <w:t>发行人最近三年平均可分配利润不少于债券一年利息的1.5倍；</w:t>
      </w:r>
    </w:p>
    <w:p>
      <w:pPr>
        <w:pStyle w:val="26"/>
        <w:keepNext w:val="0"/>
        <w:keepLines w:val="0"/>
        <w:pageBreakBefore w:val="0"/>
        <w:widowControl w:val="0"/>
        <w:numPr>
          <w:ilvl w:val="0"/>
          <w:numId w:val="100"/>
        </w:numPr>
        <w:wordWrap/>
        <w:bidi w:val="0"/>
        <w:spacing w:line="500" w:lineRule="exact"/>
        <w:ind w:firstLine="522" w:firstLineChars="200"/>
        <w:rPr>
          <w:rFonts w:hint="eastAsia" w:ascii="仿宋_GB2312" w:hAnsi="仿宋" w:eastAsia="仿宋_GB2312" w:cs="仿宋"/>
          <w:color w:val="000000"/>
          <w:sz w:val="28"/>
          <w:szCs w:val="28"/>
          <w:lang w:val="zh-CN"/>
        </w:rPr>
      </w:pPr>
      <w:bookmarkStart w:id="153" w:name="No64_Z3J1T16K1X3"/>
      <w:bookmarkEnd w:id="153"/>
      <w:r>
        <w:rPr>
          <w:rFonts w:hint="eastAsia" w:ascii="仿宋_GB2312" w:hAnsi="仿宋" w:eastAsia="仿宋_GB2312" w:cs="仿宋"/>
          <w:color w:val="000000"/>
          <w:sz w:val="28"/>
          <w:szCs w:val="28"/>
        </w:rPr>
        <w:t>说明</w:t>
      </w:r>
      <w:r>
        <w:rPr>
          <w:rFonts w:hint="eastAsia" w:ascii="仿宋_GB2312" w:hAnsi="仿宋" w:eastAsia="仿宋_GB2312" w:cs="仿宋"/>
          <w:color w:val="000000"/>
          <w:sz w:val="28"/>
          <w:szCs w:val="28"/>
          <w:lang w:val="zh-CN"/>
        </w:rPr>
        <w:t>发行人最近一期末净资产规模不少于250亿元；</w:t>
      </w:r>
    </w:p>
    <w:p>
      <w:pPr>
        <w:pStyle w:val="26"/>
        <w:keepNext w:val="0"/>
        <w:keepLines w:val="0"/>
        <w:pageBreakBefore w:val="0"/>
        <w:widowControl w:val="0"/>
        <w:numPr>
          <w:ilvl w:val="0"/>
          <w:numId w:val="100"/>
        </w:numPr>
        <w:wordWrap/>
        <w:bidi w:val="0"/>
        <w:spacing w:line="500" w:lineRule="exact"/>
        <w:ind w:firstLine="522" w:firstLineChars="200"/>
        <w:rPr>
          <w:rFonts w:hint="eastAsia" w:ascii="仿宋_GB2312" w:hAnsi="仿宋" w:eastAsia="仿宋_GB2312" w:cs="仿宋"/>
          <w:color w:val="000000"/>
          <w:sz w:val="28"/>
          <w:szCs w:val="28"/>
          <w:lang w:val="zh-CN"/>
        </w:rPr>
      </w:pPr>
      <w:bookmarkStart w:id="154" w:name="No65_Z3J1T16K1X4"/>
      <w:bookmarkEnd w:id="154"/>
      <w:r>
        <w:rPr>
          <w:rFonts w:hint="eastAsia" w:ascii="仿宋_GB2312" w:hAnsi="仿宋" w:eastAsia="仿宋_GB2312" w:cs="仿宋"/>
          <w:color w:val="000000"/>
          <w:sz w:val="28"/>
          <w:szCs w:val="28"/>
        </w:rPr>
        <w:t>说明</w:t>
      </w:r>
      <w:r>
        <w:rPr>
          <w:rFonts w:hint="eastAsia" w:ascii="仿宋_GB2312" w:hAnsi="仿宋" w:eastAsia="仿宋_GB2312" w:cs="仿宋"/>
          <w:color w:val="000000"/>
          <w:sz w:val="28"/>
          <w:szCs w:val="28"/>
          <w:lang w:val="zh-CN"/>
        </w:rPr>
        <w:t>发行人最近36个月内累计公开发行债券不少于3期，发行规模不少于100亿元；</w:t>
      </w:r>
    </w:p>
    <w:p>
      <w:pPr>
        <w:pStyle w:val="26"/>
        <w:keepNext w:val="0"/>
        <w:keepLines w:val="0"/>
        <w:pageBreakBefore w:val="0"/>
        <w:widowControl w:val="0"/>
        <w:numPr>
          <w:ilvl w:val="0"/>
          <w:numId w:val="100"/>
        </w:numPr>
        <w:wordWrap/>
        <w:bidi w:val="0"/>
        <w:spacing w:line="500" w:lineRule="exact"/>
        <w:ind w:firstLine="522" w:firstLineChars="200"/>
        <w:rPr>
          <w:rFonts w:hint="eastAsia" w:ascii="仿宋_GB2312" w:hAnsi="仿宋" w:eastAsia="仿宋_GB2312" w:cs="仿宋"/>
          <w:color w:val="000000"/>
          <w:sz w:val="28"/>
          <w:szCs w:val="28"/>
          <w:lang w:val="zh-CN"/>
        </w:rPr>
      </w:pPr>
      <w:bookmarkStart w:id="155" w:name="No66_Z3J1T16K1X5"/>
      <w:bookmarkEnd w:id="155"/>
      <w:r>
        <w:rPr>
          <w:rFonts w:hint="eastAsia" w:ascii="仿宋_GB2312" w:hAnsi="仿宋" w:eastAsia="仿宋_GB2312" w:cs="仿宋"/>
          <w:color w:val="000000"/>
          <w:sz w:val="28"/>
          <w:szCs w:val="28"/>
        </w:rPr>
        <w:t>说明发行人符合</w:t>
      </w:r>
      <w:r>
        <w:rPr>
          <w:rFonts w:hint="eastAsia" w:ascii="仿宋_GB2312" w:hAnsi="仿宋" w:eastAsia="仿宋_GB2312" w:cs="仿宋"/>
          <w:color w:val="000000"/>
          <w:sz w:val="28"/>
          <w:szCs w:val="28"/>
          <w:lang w:val="zh-CN"/>
        </w:rPr>
        <w:t>中国证监会根据投资者保护的需要规定的其他条件。</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bookmarkStart w:id="156" w:name="No67_Z3J1T16K2"/>
      <w:bookmarkEnd w:id="156"/>
      <w:r>
        <w:rPr>
          <w:rFonts w:hint="eastAsia" w:ascii="仿宋_GB2312" w:hAnsi="仿宋" w:eastAsia="仿宋_GB2312" w:cs="仿宋"/>
          <w:color w:val="000000"/>
          <w:sz w:val="28"/>
          <w:szCs w:val="28"/>
        </w:rPr>
        <w:t>3.私募债（非公开发行公司债券）</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《证券法》、《债券发行与交易管理办法》未针对非公开发行公司债券规定实质条件，但是需要依据证券业协会发布的《非公开发行公司债券项目承接负面清单》核查发债企业是否存在负面清单的情形：</w:t>
      </w:r>
    </w:p>
    <w:p>
      <w:pPr>
        <w:keepNext w:val="0"/>
        <w:keepLines w:val="0"/>
        <w:pageBreakBefore w:val="0"/>
        <w:widowControl w:val="0"/>
        <w:numPr>
          <w:ilvl w:val="0"/>
          <w:numId w:val="101"/>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最近24个月内公司财务会计文件存在虚假记载，或公司存在其他重大违法行为;</w:t>
      </w:r>
    </w:p>
    <w:p>
      <w:pPr>
        <w:keepNext w:val="0"/>
        <w:keepLines w:val="0"/>
        <w:pageBreakBefore w:val="0"/>
        <w:widowControl w:val="0"/>
        <w:numPr>
          <w:ilvl w:val="0"/>
          <w:numId w:val="101"/>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对已发行的公司债券或者其他债务有违约或迟延支付本息的事实，仍处于继续状态;</w:t>
      </w:r>
    </w:p>
    <w:p>
      <w:pPr>
        <w:keepNext w:val="0"/>
        <w:keepLines w:val="0"/>
        <w:pageBreakBefore w:val="0"/>
        <w:widowControl w:val="0"/>
        <w:numPr>
          <w:ilvl w:val="0"/>
          <w:numId w:val="101"/>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存在违规对外担保或者资金被关联方或第三方以借款、代偿债务、代垫款项等方式违规占用的情形，仍处于继续状态;</w:t>
      </w:r>
    </w:p>
    <w:p>
      <w:pPr>
        <w:keepNext w:val="0"/>
        <w:keepLines w:val="0"/>
        <w:pageBreakBefore w:val="0"/>
        <w:widowControl w:val="0"/>
        <w:numPr>
          <w:ilvl w:val="0"/>
          <w:numId w:val="101"/>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最近12个月内因违反公司债券相关规定被中国证监会采取行政监管措施，或最近6个月内因违反公司债券相关规定被证券交易所等自律组织采取纪律处分，尚未完成整改的;</w:t>
      </w:r>
    </w:p>
    <w:p>
      <w:pPr>
        <w:keepNext w:val="0"/>
        <w:keepLines w:val="0"/>
        <w:pageBreakBefore w:val="0"/>
        <w:widowControl w:val="0"/>
        <w:numPr>
          <w:ilvl w:val="0"/>
          <w:numId w:val="101"/>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最近两年内财务报表曾被注册会计师出具保留意见且保留意见所涉及事项的重大影响尚未消除，或被注册会计师出具否定意见或者无法表示意见的审计报告;</w:t>
      </w:r>
    </w:p>
    <w:p>
      <w:pPr>
        <w:keepNext w:val="0"/>
        <w:keepLines w:val="0"/>
        <w:pageBreakBefore w:val="0"/>
        <w:widowControl w:val="0"/>
        <w:numPr>
          <w:ilvl w:val="0"/>
          <w:numId w:val="101"/>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因严重违法失信行为，被有权部门认定为失信被执行人、失信生产经营单位或者其他失信单位，并被暂停或限制发行公司债券;</w:t>
      </w:r>
    </w:p>
    <w:p>
      <w:pPr>
        <w:keepNext w:val="0"/>
        <w:keepLines w:val="0"/>
        <w:pageBreakBefore w:val="0"/>
        <w:widowControl w:val="0"/>
        <w:numPr>
          <w:ilvl w:val="0"/>
          <w:numId w:val="101"/>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擅自改变前次发行公司债券募集资金的用途而未做纠正;</w:t>
      </w:r>
    </w:p>
    <w:p>
      <w:pPr>
        <w:keepNext w:val="0"/>
        <w:keepLines w:val="0"/>
        <w:pageBreakBefore w:val="0"/>
        <w:widowControl w:val="0"/>
        <w:numPr>
          <w:ilvl w:val="0"/>
          <w:numId w:val="101"/>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本次发行募集资金用途违反相关法律法规或募集资金投向不符合国家产业政策;</w:t>
      </w:r>
    </w:p>
    <w:p>
      <w:pPr>
        <w:keepNext w:val="0"/>
        <w:keepLines w:val="0"/>
        <w:pageBreakBefore w:val="0"/>
        <w:widowControl w:val="0"/>
        <w:numPr>
          <w:ilvl w:val="0"/>
          <w:numId w:val="101"/>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除金融类企业外，本次发行债券募集资金用途为持有以交易为目的的金融资产、委托理财等财务性投资，或本次发行债券募集资金用途为直接或间接投资于以买卖有价证券为主要业务的公司;</w:t>
      </w:r>
    </w:p>
    <w:p>
      <w:pPr>
        <w:keepNext w:val="0"/>
        <w:keepLines w:val="0"/>
        <w:pageBreakBefore w:val="0"/>
        <w:widowControl w:val="0"/>
        <w:numPr>
          <w:ilvl w:val="0"/>
          <w:numId w:val="101"/>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本次发行文件存在虚假记载、误导性陈述或重大遗漏;</w:t>
      </w:r>
    </w:p>
    <w:p>
      <w:pPr>
        <w:keepNext w:val="0"/>
        <w:keepLines w:val="0"/>
        <w:pageBreakBefore w:val="0"/>
        <w:widowControl w:val="0"/>
        <w:numPr>
          <w:ilvl w:val="0"/>
          <w:numId w:val="101"/>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存在严重损害投资者合法权益和社会公共利益情形;</w:t>
      </w:r>
    </w:p>
    <w:p>
      <w:pPr>
        <w:keepNext w:val="0"/>
        <w:keepLines w:val="0"/>
        <w:pageBreakBefore w:val="0"/>
        <w:widowControl w:val="0"/>
        <w:numPr>
          <w:ilvl w:val="0"/>
          <w:numId w:val="101"/>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地方融资平台公司。</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本条所指的地方融资平台公司是指根据国务院相关文件规定，由地方政府及其部门和机构等通过财政拨款或注入土地、股权等资产设立，承担政府投资项目融资功能，并拥有独立法人资格的经济实体;（新《债券发行与交易管理办法》取消了地方政府融资平台的限制，但是负面清单暂未进行修订，在未修订前暂按照现行负面清单进行核查）</w:t>
      </w:r>
    </w:p>
    <w:p>
      <w:pPr>
        <w:keepNext w:val="0"/>
        <w:keepLines w:val="0"/>
        <w:pageBreakBefore w:val="0"/>
        <w:widowControl w:val="0"/>
        <w:numPr>
          <w:ilvl w:val="0"/>
          <w:numId w:val="102"/>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主管部门认定的存在“闲置土地”、“炒地”、“捂盘惜售”、“哄抬房价”等违法违规行为的房地产公司；</w:t>
      </w:r>
    </w:p>
    <w:p>
      <w:pPr>
        <w:keepNext w:val="0"/>
        <w:keepLines w:val="0"/>
        <w:pageBreakBefore w:val="0"/>
        <w:widowControl w:val="0"/>
        <w:numPr>
          <w:ilvl w:val="0"/>
          <w:numId w:val="102"/>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典当行；</w:t>
      </w:r>
    </w:p>
    <w:p>
      <w:pPr>
        <w:keepNext w:val="0"/>
        <w:keepLines w:val="0"/>
        <w:pageBreakBefore w:val="0"/>
        <w:widowControl w:val="0"/>
        <w:numPr>
          <w:ilvl w:val="0"/>
          <w:numId w:val="102"/>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未能同时满足以下条件的担保公司：</w:t>
      </w:r>
    </w:p>
    <w:p>
      <w:pPr>
        <w:keepNext w:val="0"/>
        <w:keepLines w:val="0"/>
        <w:pageBreakBefore w:val="0"/>
        <w:widowControl w:val="0"/>
        <w:numPr>
          <w:ilvl w:val="0"/>
          <w:numId w:val="103"/>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经营融资担保业务满3年；</w:t>
      </w:r>
    </w:p>
    <w:p>
      <w:pPr>
        <w:keepNext w:val="0"/>
        <w:keepLines w:val="0"/>
        <w:pageBreakBefore w:val="0"/>
        <w:widowControl w:val="0"/>
        <w:numPr>
          <w:ilvl w:val="0"/>
          <w:numId w:val="103"/>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注册资本不低于人民币6亿元；</w:t>
      </w:r>
    </w:p>
    <w:p>
      <w:pPr>
        <w:keepNext w:val="0"/>
        <w:keepLines w:val="0"/>
        <w:pageBreakBefore w:val="0"/>
        <w:widowControl w:val="0"/>
        <w:numPr>
          <w:ilvl w:val="0"/>
          <w:numId w:val="103"/>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主体信用评级AA级（含）以上；</w:t>
      </w:r>
    </w:p>
    <w:p>
      <w:pPr>
        <w:keepNext w:val="0"/>
        <w:keepLines w:val="0"/>
        <w:pageBreakBefore w:val="0"/>
        <w:widowControl w:val="0"/>
        <w:numPr>
          <w:ilvl w:val="0"/>
          <w:numId w:val="103"/>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近三年无重大违法违规行为。</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（16）未能同时满足以下条件的小贷公司：</w:t>
      </w:r>
    </w:p>
    <w:p>
      <w:pPr>
        <w:keepNext w:val="0"/>
        <w:keepLines w:val="0"/>
        <w:pageBreakBefore w:val="0"/>
        <w:widowControl w:val="0"/>
        <w:numPr>
          <w:ilvl w:val="0"/>
          <w:numId w:val="104"/>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经省级主管机关批准设立或备案，且成立时间满2年；</w:t>
      </w:r>
    </w:p>
    <w:p>
      <w:pPr>
        <w:keepNext w:val="0"/>
        <w:keepLines w:val="0"/>
        <w:pageBreakBefore w:val="0"/>
        <w:widowControl w:val="0"/>
        <w:numPr>
          <w:ilvl w:val="0"/>
          <w:numId w:val="104"/>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省级监管评级或考核评级最近两年连续达到最高等级；</w:t>
      </w:r>
    </w:p>
    <w:p>
      <w:pPr>
        <w:keepNext w:val="0"/>
        <w:keepLines w:val="0"/>
        <w:pageBreakBefore w:val="0"/>
        <w:widowControl w:val="0"/>
        <w:numPr>
          <w:ilvl w:val="0"/>
          <w:numId w:val="104"/>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主体信用评级达到AA级（含）以上。</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（17）对于最近一年经审计的总资产、净资产或营业收入任一项指标占合并报表相关指标比例超过30%的子公司存在负面清单第（1）条至第（7）条及第（11）条规定情形的，视同发行人属于负面清单范畴。</w:t>
      </w:r>
    </w:p>
    <w:p>
      <w:pPr>
        <w:keepNext w:val="0"/>
        <w:keepLines w:val="0"/>
        <w:pageBreakBefore w:val="0"/>
        <w:widowControl w:val="0"/>
        <w:tabs>
          <w:tab w:val="left" w:pos="312"/>
        </w:tabs>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4.各类专项公司债券</w:t>
      </w:r>
    </w:p>
    <w:p>
      <w:pPr>
        <w:keepNext w:val="0"/>
        <w:keepLines w:val="0"/>
        <w:pageBreakBefore w:val="0"/>
        <w:widowControl w:val="0"/>
        <w:numPr>
          <w:ilvl w:val="0"/>
          <w:numId w:val="105"/>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住房租赁专项公司债券</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证监会尚未出台关于住房租赁专项公司债的规则体系，因此在尽职调查事项方面，还是遵从现行公司债的规定。</w:t>
      </w:r>
    </w:p>
    <w:p>
      <w:pPr>
        <w:keepNext w:val="0"/>
        <w:keepLines w:val="0"/>
        <w:pageBreakBefore w:val="0"/>
        <w:widowControl w:val="0"/>
        <w:numPr>
          <w:ilvl w:val="0"/>
          <w:numId w:val="105"/>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扶贫专项公司债</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上交所公司债监管问答则明确符合以下两个条件之一的公司债券，可以界定为扶贫专项公司债券：</w:t>
      </w:r>
    </w:p>
    <w:p>
      <w:pPr>
        <w:keepNext w:val="0"/>
        <w:keepLines w:val="0"/>
        <w:pageBreakBefore w:val="0"/>
        <w:widowControl w:val="0"/>
        <w:numPr>
          <w:ilvl w:val="0"/>
          <w:numId w:val="106"/>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注册地在国家扶贫开发工作重点县、集中连片特殊困难地区或“深度贫困地区”（前述三类地区以下简称贫困地区）的企业发行的公司债券；在扶贫攻坚期内，注册地在已实现脱贫摘帽但不满三年贫困地区的企业发行的公司债券也可界定为扶贫债券。</w:t>
      </w:r>
    </w:p>
    <w:p>
      <w:pPr>
        <w:keepNext w:val="0"/>
        <w:keepLines w:val="0"/>
        <w:pageBreakBefore w:val="0"/>
        <w:widowControl w:val="0"/>
        <w:numPr>
          <w:ilvl w:val="0"/>
          <w:numId w:val="106"/>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发行人注册地不在贫困地区，但募集资金主要用于精准扶贫项目建设、运营、收购或者偿还精准扶贫项目贷款的公司债券。</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符合上述要求的普通公司债券在发行前可申请使用“扶贫专项公司债券”标识，并履行相应的发行前备案手续。</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其中，申报发行扶贫债券募集说明书确定用于精准扶贫项目的金额应不低于债券募集资金总额的 50%，其余部分可以用于补充公司流动资金或偿还借款等。</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扶贫专项公司债尽职调查报告中，除遵照一般公司债券进行核查之外还应核查发行人是否符合上述条件。</w:t>
      </w:r>
    </w:p>
    <w:p>
      <w:pPr>
        <w:keepNext w:val="0"/>
        <w:keepLines w:val="0"/>
        <w:pageBreakBefore w:val="0"/>
        <w:widowControl w:val="0"/>
        <w:numPr>
          <w:ilvl w:val="0"/>
          <w:numId w:val="105"/>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项目收益专项公司债券</w:t>
      </w:r>
    </w:p>
    <w:p>
      <w:pPr>
        <w:keepNext w:val="0"/>
        <w:keepLines w:val="0"/>
        <w:pageBreakBefore w:val="0"/>
        <w:widowControl w:val="0"/>
        <w:numPr>
          <w:ilvl w:val="0"/>
          <w:numId w:val="107"/>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主体要求：项目收益专项公司债券的债项评级应达到AA或以上。通过设置集团担保符合上一款要求的，担保人应当参照公司债券有关发行主体的信息披露要求，在募集说明书中进行信息披露。成立不满一个完整会计年度的项目公司发行项目收益专项公司债券的，应当设置集团担保。</w:t>
      </w:r>
    </w:p>
    <w:p>
      <w:pPr>
        <w:keepNext w:val="0"/>
        <w:keepLines w:val="0"/>
        <w:pageBreakBefore w:val="0"/>
        <w:widowControl w:val="0"/>
        <w:numPr>
          <w:ilvl w:val="0"/>
          <w:numId w:val="107"/>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项目要求：项目收益专项公司债券募集资金投资的项目必须符合国家产业政策和固定资产投资管理有关规定，用于项目投资、建设、运营或收购，能够产生持续稳定的现金流。在保障项目建设和运营的前提下，允许使用不超过30%的债券募集资金用于企业偿还银行贷款和补充营运资金。</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申报项目原则上应当是已开工项目，未开工项目应符合开工条件（原则上至少应取得募投项目的审批、核准或备案文件等），并在发行时披露预计开工时间。除专项债券募集资金以外，项目建设资金来源原则上应全部落实。项目收益专项公司债券的存续期不得超过项目运营周期，还本付息资金安排应与项目收益相匹配。项目建设、运营所形成的资产、收益权不得附带抵押、质押等权利限制，但通过相关安排，在本次募集资金到位后10日内能够解除权利限制或为本次债券发行提供其他有效增信措施的除外。</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项目收益专项公司债券尽职调查报告中，除遵照一般公司债券进行核查之外还应核查发行人是否符合上述条件。</w:t>
      </w:r>
    </w:p>
    <w:p>
      <w:pPr>
        <w:keepNext w:val="0"/>
        <w:keepLines w:val="0"/>
        <w:pageBreakBefore w:val="0"/>
        <w:widowControl w:val="0"/>
        <w:numPr>
          <w:ilvl w:val="0"/>
          <w:numId w:val="105"/>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绿色公司债券</w:t>
      </w:r>
    </w:p>
    <w:p>
      <w:pPr>
        <w:pStyle w:val="14"/>
        <w:keepNext w:val="0"/>
        <w:keepLines w:val="0"/>
        <w:pageBreakBefore w:val="0"/>
        <w:widowControl w:val="0"/>
        <w:numPr>
          <w:ilvl w:val="0"/>
          <w:numId w:val="108"/>
        </w:numPr>
        <w:shd w:val="clear" w:color="auto" w:fill="FFFFFF"/>
        <w:wordWrap/>
        <w:bidi w:val="0"/>
        <w:spacing w:beforeAutospacing="0" w:after="0" w:afterAutospacing="0" w:line="500" w:lineRule="exact"/>
        <w:ind w:firstLine="522" w:firstLineChars="200"/>
        <w:jc w:val="both"/>
        <w:rPr>
          <w:rFonts w:hint="eastAsia" w:ascii="仿宋_GB2312" w:hAnsi="仿宋" w:eastAsia="仿宋_GB2312" w:cs="仿宋"/>
          <w:color w:val="000000"/>
          <w:kern w:val="2"/>
          <w:sz w:val="28"/>
          <w:szCs w:val="28"/>
        </w:rPr>
      </w:pPr>
      <w:r>
        <w:rPr>
          <w:rStyle w:val="18"/>
          <w:rFonts w:hint="eastAsia" w:ascii="仿宋_GB2312" w:hAnsi="仿宋" w:eastAsia="仿宋_GB2312" w:cs="仿宋"/>
          <w:b w:val="0"/>
          <w:bCs w:val="0"/>
          <w:color w:val="000000"/>
          <w:kern w:val="2"/>
          <w:sz w:val="28"/>
          <w:szCs w:val="28"/>
        </w:rPr>
        <w:t>申请文件要求：</w:t>
      </w:r>
      <w:r>
        <w:rPr>
          <w:rFonts w:hint="eastAsia" w:ascii="仿宋_GB2312" w:hAnsi="仿宋" w:eastAsia="仿宋_GB2312" w:cs="仿宋"/>
          <w:color w:val="000000"/>
          <w:kern w:val="2"/>
          <w:sz w:val="28"/>
          <w:szCs w:val="28"/>
        </w:rPr>
        <w:t>申请发行绿色公司债券时，募集说明书应当披露拟投资的绿色产业项目类别、项目认定依据或标准、环境效益目标、募集资金使用计划和管理制度等内容。同时，发行人还应当提供募集资金投向绿色产业项目的承诺函。（募集资金投向：发行绿色公司债券所募集的资金可以用于绿色产业项目的建设、运营、收购，或偿还绿色产业项目的银行贷款等债务；严禁名实不符，冒用、滥用绿色项目名义套用、挪用资金。）</w:t>
      </w:r>
    </w:p>
    <w:p>
      <w:pPr>
        <w:pStyle w:val="14"/>
        <w:keepNext w:val="0"/>
        <w:keepLines w:val="0"/>
        <w:pageBreakBefore w:val="0"/>
        <w:widowControl w:val="0"/>
        <w:numPr>
          <w:ilvl w:val="0"/>
          <w:numId w:val="108"/>
        </w:numPr>
        <w:shd w:val="clear" w:color="auto" w:fill="FFFFFF"/>
        <w:wordWrap/>
        <w:bidi w:val="0"/>
        <w:spacing w:beforeAutospacing="0" w:after="0" w:afterAutospacing="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绿色公司债券存续期内，应当披露募集资金使用情况、绿色产业项目进展情况和环境效益等内容。</w:t>
      </w:r>
    </w:p>
    <w:p>
      <w:pPr>
        <w:keepNext w:val="0"/>
        <w:keepLines w:val="0"/>
        <w:pageBreakBefore w:val="0"/>
        <w:widowControl w:val="0"/>
        <w:numPr>
          <w:ilvl w:val="0"/>
          <w:numId w:val="108"/>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Style w:val="18"/>
          <w:rFonts w:hint="eastAsia" w:ascii="仿宋_GB2312" w:hAnsi="仿宋" w:eastAsia="仿宋_GB2312" w:cs="仿宋"/>
          <w:b w:val="0"/>
          <w:bCs w:val="0"/>
          <w:color w:val="000000"/>
          <w:sz w:val="28"/>
          <w:szCs w:val="28"/>
        </w:rPr>
        <w:t>绿色公司债评估认证：</w:t>
      </w:r>
      <w:r>
        <w:rPr>
          <w:rFonts w:hint="eastAsia" w:ascii="仿宋_GB2312" w:hAnsi="仿宋" w:eastAsia="仿宋_GB2312" w:cs="仿宋"/>
          <w:color w:val="000000"/>
          <w:sz w:val="28"/>
          <w:szCs w:val="28"/>
        </w:rPr>
        <w:t>绿色公司债券申报前及存续期内，鼓励发行人提交由独立专业评估或认证机构就募集资金拟投资项目属于绿色产业项目所出具的评估意见或认证报告。鼓励评估认证机构之间加强沟通协调和行业自律，建立完善统一的评估认证标准和流程。</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绿色公司债券尽职调查报告中，除遵照一般公司债券进行核查之外还应核查发行人是否符合上述条件。</w:t>
      </w:r>
    </w:p>
    <w:p>
      <w:pPr>
        <w:keepNext w:val="0"/>
        <w:keepLines w:val="0"/>
        <w:pageBreakBefore w:val="0"/>
        <w:widowControl w:val="0"/>
        <w:numPr>
          <w:ilvl w:val="0"/>
          <w:numId w:val="105"/>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创新创业公司债</w:t>
      </w:r>
    </w:p>
    <w:p>
      <w:pPr>
        <w:pStyle w:val="14"/>
        <w:keepNext w:val="0"/>
        <w:keepLines w:val="0"/>
        <w:pageBreakBefore w:val="0"/>
        <w:widowControl w:val="0"/>
        <w:shd w:val="clear" w:color="auto" w:fill="FFFFFF"/>
        <w:wordWrap/>
        <w:bidi w:val="0"/>
        <w:spacing w:beforeAutospacing="0" w:after="0" w:afterAutospacing="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创新创业公司发行创新创业公司债，应当就本公司创新创业特征作专项披露；律师应当依据以下规范性文件进行审慎筛查，在尽职调查报告中就发行人是否具有创新创业特征发表明确意见：</w:t>
      </w:r>
    </w:p>
    <w:p>
      <w:pPr>
        <w:pStyle w:val="14"/>
        <w:keepNext w:val="0"/>
        <w:keepLines w:val="0"/>
        <w:pageBreakBefore w:val="0"/>
        <w:widowControl w:val="0"/>
        <w:numPr>
          <w:ilvl w:val="0"/>
          <w:numId w:val="109"/>
        </w:numPr>
        <w:shd w:val="clear" w:color="auto" w:fill="FFFFFF"/>
        <w:wordWrap/>
        <w:bidi w:val="0"/>
        <w:spacing w:beforeAutospacing="0" w:after="0" w:afterAutospacing="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国家战略性新兴产业相关发展规划；</w:t>
      </w:r>
    </w:p>
    <w:p>
      <w:pPr>
        <w:pStyle w:val="14"/>
        <w:keepNext w:val="0"/>
        <w:keepLines w:val="0"/>
        <w:pageBreakBefore w:val="0"/>
        <w:widowControl w:val="0"/>
        <w:numPr>
          <w:ilvl w:val="0"/>
          <w:numId w:val="109"/>
        </w:numPr>
        <w:shd w:val="clear" w:color="auto" w:fill="FFFFFF"/>
        <w:wordWrap/>
        <w:bidi w:val="0"/>
        <w:spacing w:beforeAutospacing="0" w:after="0" w:afterAutospacing="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《国务院关于印发&lt;中国制造2025&gt;的通知》（国发〔2015〕28号）及相关政策文件；</w:t>
      </w:r>
    </w:p>
    <w:p>
      <w:pPr>
        <w:pStyle w:val="14"/>
        <w:keepNext w:val="0"/>
        <w:keepLines w:val="0"/>
        <w:pageBreakBefore w:val="0"/>
        <w:widowControl w:val="0"/>
        <w:numPr>
          <w:ilvl w:val="0"/>
          <w:numId w:val="109"/>
        </w:numPr>
        <w:shd w:val="clear" w:color="auto" w:fill="FFFFFF"/>
        <w:wordWrap/>
        <w:bidi w:val="0"/>
        <w:spacing w:beforeAutospacing="0" w:after="0" w:afterAutospacing="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国务院及相关部委出台的大众创业万众创新政策文件；</w:t>
      </w:r>
    </w:p>
    <w:p>
      <w:pPr>
        <w:pStyle w:val="14"/>
        <w:keepNext w:val="0"/>
        <w:keepLines w:val="0"/>
        <w:pageBreakBefore w:val="0"/>
        <w:widowControl w:val="0"/>
        <w:numPr>
          <w:ilvl w:val="0"/>
          <w:numId w:val="109"/>
        </w:numPr>
        <w:shd w:val="clear" w:color="auto" w:fill="FFFFFF"/>
        <w:wordWrap/>
        <w:bidi w:val="0"/>
        <w:spacing w:beforeAutospacing="0" w:after="0" w:afterAutospacing="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国家及地方高新技术企业认定标准；</w:t>
      </w:r>
    </w:p>
    <w:p>
      <w:pPr>
        <w:pStyle w:val="14"/>
        <w:keepNext w:val="0"/>
        <w:keepLines w:val="0"/>
        <w:pageBreakBefore w:val="0"/>
        <w:widowControl w:val="0"/>
        <w:numPr>
          <w:ilvl w:val="0"/>
          <w:numId w:val="109"/>
        </w:numPr>
        <w:shd w:val="clear" w:color="auto" w:fill="FFFFFF"/>
        <w:wordWrap/>
        <w:bidi w:val="0"/>
        <w:spacing w:beforeAutospacing="0" w:after="0" w:afterAutospacing="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其他创新创业相关政策文件。</w:t>
      </w:r>
    </w:p>
    <w:p>
      <w:pPr>
        <w:pStyle w:val="14"/>
        <w:keepNext w:val="0"/>
        <w:keepLines w:val="0"/>
        <w:pageBreakBefore w:val="0"/>
        <w:widowControl w:val="0"/>
        <w:shd w:val="clear" w:color="auto" w:fill="FFFFFF"/>
        <w:wordWrap/>
        <w:bidi w:val="0"/>
        <w:spacing w:beforeAutospacing="0" w:after="0" w:afterAutospacing="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发行创新创业公司债募集的资金应专项投资于种子期、初创期、成长期的创新创业公司的股权。</w:t>
      </w:r>
    </w:p>
    <w:p>
      <w:pPr>
        <w:keepNext w:val="0"/>
        <w:keepLines w:val="0"/>
        <w:pageBreakBefore w:val="0"/>
        <w:widowControl w:val="0"/>
        <w:numPr>
          <w:ilvl w:val="0"/>
          <w:numId w:val="105"/>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纾困专项债</w:t>
      </w:r>
    </w:p>
    <w:p>
      <w:pPr>
        <w:pStyle w:val="14"/>
        <w:keepNext w:val="0"/>
        <w:keepLines w:val="0"/>
        <w:pageBreakBefore w:val="0"/>
        <w:widowControl w:val="0"/>
        <w:numPr>
          <w:ilvl w:val="0"/>
          <w:numId w:val="110"/>
        </w:numPr>
        <w:shd w:val="clear" w:color="auto" w:fill="FFFFFF"/>
        <w:wordWrap/>
        <w:bidi w:val="0"/>
        <w:spacing w:beforeAutospacing="0" w:after="0" w:afterAutospacing="0" w:line="500" w:lineRule="exact"/>
        <w:ind w:firstLine="522" w:firstLineChars="200"/>
        <w:jc w:val="both"/>
        <w:rPr>
          <w:rFonts w:hint="eastAsia" w:ascii="仿宋_GB2312" w:hAnsi="仿宋" w:eastAsia="仿宋_GB2312" w:cs="仿宋"/>
          <w:color w:val="000000"/>
          <w:kern w:val="2"/>
          <w:sz w:val="28"/>
          <w:szCs w:val="28"/>
        </w:rPr>
      </w:pPr>
      <w:r>
        <w:rPr>
          <w:rStyle w:val="18"/>
          <w:rFonts w:hint="eastAsia" w:ascii="仿宋_GB2312" w:hAnsi="仿宋" w:eastAsia="仿宋_GB2312" w:cs="仿宋"/>
          <w:b w:val="0"/>
          <w:color w:val="000000"/>
          <w:kern w:val="2"/>
          <w:sz w:val="28"/>
          <w:szCs w:val="28"/>
        </w:rPr>
        <w:t>主体资质：</w:t>
      </w:r>
      <w:r>
        <w:rPr>
          <w:rFonts w:hint="eastAsia" w:ascii="仿宋_GB2312" w:hAnsi="仿宋" w:eastAsia="仿宋_GB2312" w:cs="仿宋"/>
          <w:color w:val="000000"/>
          <w:kern w:val="2"/>
          <w:sz w:val="28"/>
          <w:szCs w:val="28"/>
        </w:rPr>
        <w:t>纾困专项公司债券发行人在符合公司债券一般发行条件基础上，还应当符合以下条件：</w:t>
      </w:r>
    </w:p>
    <w:p>
      <w:pPr>
        <w:pStyle w:val="14"/>
        <w:keepNext w:val="0"/>
        <w:keepLines w:val="0"/>
        <w:pageBreakBefore w:val="0"/>
        <w:widowControl w:val="0"/>
        <w:shd w:val="clear" w:color="auto" w:fill="FFFFFF"/>
        <w:wordWrap/>
        <w:bidi w:val="0"/>
        <w:spacing w:beforeAutospacing="0" w:after="0" w:afterAutospacing="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发行人应当为具备良好的盈利能力及偿债能力的国有资产管理公司、金融控股公司、开展投资或资产管理业务的其他企业等，主体评级为AA+以上。</w:t>
      </w:r>
    </w:p>
    <w:p>
      <w:pPr>
        <w:pStyle w:val="14"/>
        <w:keepNext w:val="0"/>
        <w:keepLines w:val="0"/>
        <w:pageBreakBefore w:val="0"/>
        <w:widowControl w:val="0"/>
        <w:shd w:val="clear" w:color="auto" w:fill="FFFFFF"/>
        <w:wordWrap/>
        <w:bidi w:val="0"/>
        <w:spacing w:beforeAutospacing="0" w:after="0" w:afterAutospacing="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发行人不得为有关规定明确的地方政府融资平台公司。</w:t>
      </w:r>
    </w:p>
    <w:p>
      <w:pPr>
        <w:pStyle w:val="14"/>
        <w:keepNext w:val="0"/>
        <w:keepLines w:val="0"/>
        <w:pageBreakBefore w:val="0"/>
        <w:widowControl w:val="0"/>
        <w:shd w:val="clear" w:color="auto" w:fill="FFFFFF"/>
        <w:wordWrap/>
        <w:bidi w:val="0"/>
        <w:spacing w:beforeAutospacing="0" w:after="0" w:afterAutospacing="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发行人应当是所属地方政府设立纾困计划的参与方，且以适当方式获得所属政府相关部门或机构的认可，认可方式包括但不限于所属政府部门或机构对本次纾困专项公司债券发行出具批复文件、相关会议纪要或其他认可方式等。</w:t>
      </w:r>
    </w:p>
    <w:p>
      <w:pPr>
        <w:pStyle w:val="14"/>
        <w:keepNext w:val="0"/>
        <w:keepLines w:val="0"/>
        <w:pageBreakBefore w:val="0"/>
        <w:widowControl w:val="0"/>
        <w:numPr>
          <w:ilvl w:val="0"/>
          <w:numId w:val="111"/>
        </w:numPr>
        <w:shd w:val="clear" w:color="auto" w:fill="FFFFFF"/>
        <w:wordWrap/>
        <w:bidi w:val="0"/>
        <w:spacing w:beforeAutospacing="0" w:after="0" w:afterAutospacing="0" w:line="500" w:lineRule="exact"/>
        <w:ind w:firstLine="522" w:firstLineChars="200"/>
        <w:jc w:val="both"/>
        <w:rPr>
          <w:rFonts w:hint="eastAsia" w:ascii="仿宋_GB2312" w:hAnsi="仿宋" w:eastAsia="仿宋_GB2312" w:cs="仿宋"/>
          <w:color w:val="000000"/>
          <w:kern w:val="2"/>
          <w:sz w:val="28"/>
          <w:szCs w:val="28"/>
        </w:rPr>
      </w:pPr>
      <w:r>
        <w:rPr>
          <w:rStyle w:val="18"/>
          <w:rFonts w:hint="eastAsia" w:ascii="仿宋_GB2312" w:hAnsi="仿宋" w:eastAsia="仿宋_GB2312" w:cs="仿宋"/>
          <w:b w:val="0"/>
          <w:color w:val="000000"/>
          <w:kern w:val="2"/>
          <w:sz w:val="28"/>
          <w:szCs w:val="28"/>
        </w:rPr>
        <w:t>募集资金用途：</w:t>
      </w:r>
    </w:p>
    <w:p>
      <w:pPr>
        <w:pStyle w:val="14"/>
        <w:keepNext w:val="0"/>
        <w:keepLines w:val="0"/>
        <w:pageBreakBefore w:val="0"/>
        <w:widowControl w:val="0"/>
        <w:shd w:val="clear" w:color="auto" w:fill="FFFFFF"/>
        <w:wordWrap/>
        <w:bidi w:val="0"/>
        <w:spacing w:beforeAutospacing="0" w:after="0" w:afterAutospacing="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纾困专项公司债券的募集资金用途应满足以下要求：</w:t>
      </w:r>
    </w:p>
    <w:p>
      <w:pPr>
        <w:pStyle w:val="14"/>
        <w:keepNext w:val="0"/>
        <w:keepLines w:val="0"/>
        <w:pageBreakBefore w:val="0"/>
        <w:widowControl w:val="0"/>
        <w:shd w:val="clear" w:color="auto" w:fill="FFFFFF"/>
        <w:wordWrap/>
        <w:bidi w:val="0"/>
        <w:spacing w:beforeAutospacing="0" w:after="0" w:afterAutospacing="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募集资金应当主要用于支持上市公司及其股东融资、缓解上市公司及其股东流动性压力。募集资金用于投资纾困基金的，相关纾困基金原则上应当由政府或其指定的国有资本运营主体出资，不得向社会资本方募集。</w:t>
      </w:r>
    </w:p>
    <w:p>
      <w:pPr>
        <w:pStyle w:val="14"/>
        <w:keepNext w:val="0"/>
        <w:keepLines w:val="0"/>
        <w:pageBreakBefore w:val="0"/>
        <w:widowControl w:val="0"/>
        <w:shd w:val="clear" w:color="auto" w:fill="FFFFFF"/>
        <w:wordWrap/>
        <w:bidi w:val="0"/>
        <w:spacing w:beforeAutospacing="0" w:after="0" w:afterAutospacing="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——是募集资金运用不得违反《关于规范金融机构资产管理业务的指导意见》（银发[2018]106号）及地方政府债务管理的相关规定。</w:t>
      </w:r>
    </w:p>
    <w:p>
      <w:pPr>
        <w:pStyle w:val="14"/>
        <w:keepNext w:val="0"/>
        <w:keepLines w:val="0"/>
        <w:pageBreakBefore w:val="0"/>
        <w:widowControl w:val="0"/>
        <w:shd w:val="clear" w:color="auto" w:fill="FFFFFF"/>
        <w:wordWrap/>
        <w:bidi w:val="0"/>
        <w:spacing w:beforeAutospacing="0" w:after="0" w:afterAutospacing="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kern w:val="2"/>
          <w:sz w:val="28"/>
          <w:szCs w:val="28"/>
        </w:rPr>
        <w:t>纾困专项公司债券</w:t>
      </w:r>
      <w:r>
        <w:rPr>
          <w:rFonts w:hint="eastAsia" w:ascii="仿宋_GB2312" w:hAnsi="仿宋" w:eastAsia="仿宋_GB2312" w:cs="仿宋"/>
          <w:color w:val="000000"/>
          <w:sz w:val="28"/>
          <w:szCs w:val="28"/>
        </w:rPr>
        <w:t>尽职调查报告中，除遵照一般公司债券进行核查之外还应核查发行人是否符合上述条件。</w:t>
      </w:r>
    </w:p>
    <w:p>
      <w:pPr>
        <w:keepNext w:val="0"/>
        <w:keepLines w:val="0"/>
        <w:pageBreakBefore w:val="0"/>
        <w:widowControl w:val="0"/>
        <w:numPr>
          <w:ilvl w:val="0"/>
          <w:numId w:val="112"/>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发行人的业务及经营。在尽职调查报告中说明发行人目前的业务与经营是否已经依法取得法律规定应当具备的批准、许可、核准、登记或备案等文件。</w:t>
      </w:r>
    </w:p>
    <w:p>
      <w:pPr>
        <w:keepNext w:val="0"/>
        <w:keepLines w:val="0"/>
        <w:pageBreakBefore w:val="0"/>
        <w:widowControl w:val="0"/>
        <w:numPr>
          <w:ilvl w:val="0"/>
          <w:numId w:val="112"/>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发行人所有或者授权使用、经营的主要财产(如机器设备、房产、土地使用权、知识产权等)。说明发行人对其主要财产的所有权或者使用、经营权的行使有无限制，如是否存在担保或者其他债务关系。说明发行人的不动产权证（或房产证、土地使用权证）、商标证书、专利证书及其他产权证书取得的法律手续是否完备、合法；如应予变更登记而发行人尚未办理变更登记手续，还应说明完成有关变更登记手续是否存在法律障碍。</w:t>
      </w:r>
    </w:p>
    <w:p>
      <w:pPr>
        <w:keepNext w:val="0"/>
        <w:keepLines w:val="0"/>
        <w:pageBreakBefore w:val="0"/>
        <w:widowControl w:val="0"/>
        <w:numPr>
          <w:ilvl w:val="0"/>
          <w:numId w:val="112"/>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发行人的重大债权、债务关系。应当审查发行人将要履行、正在履行的重大合同，以及虽已履行完毕，但是经审查发现内容有瑕疵，并且对发行人经营活动可能产生重大影响的合同，并说明前述合同内容和形式是否合法有效。说明发行人在上述合同项下的任何义务与其依据其他合同或者法律文件承担的义务是否有冲突，该等冲突所造成的法律障碍是否已经排除。说明上述合同的主体是否已因发行人的重组而变更，并构成合同履行障碍。如果上述合同主体拟变更，说明是否获得合同对方的同意。完成变更手续后，对合同履行是否构成法律障碍。说明发行人是否有因环境保护、知识产权、产品质量、劳动安全、人身权等原因产生侵权之债。</w:t>
      </w:r>
    </w:p>
    <w:p>
      <w:pPr>
        <w:keepNext w:val="0"/>
        <w:keepLines w:val="0"/>
        <w:pageBreakBefore w:val="0"/>
        <w:widowControl w:val="0"/>
        <w:numPr>
          <w:ilvl w:val="0"/>
          <w:numId w:val="112"/>
        </w:numPr>
        <w:wordWrap/>
        <w:bidi w:val="0"/>
        <w:adjustRightInd/>
        <w:snapToGrid/>
        <w:spacing w:after="0" w:line="500" w:lineRule="exact"/>
        <w:ind w:firstLine="522" w:firstLineChars="200"/>
        <w:jc w:val="both"/>
        <w:rPr>
          <w:rFonts w:hint="eastAsia" w:ascii="仿宋_GB2312" w:hAnsi="仿宋" w:eastAsia="仿宋_GB2312" w:cs="仿宋"/>
          <w:color w:val="auto"/>
          <w:sz w:val="28"/>
          <w:szCs w:val="28"/>
        </w:rPr>
      </w:pPr>
      <w:r>
        <w:rPr>
          <w:rFonts w:hint="eastAsia" w:ascii="仿宋_GB2312" w:hAnsi="仿宋" w:eastAsia="仿宋_GB2312" w:cs="仿宋"/>
          <w:color w:val="000000"/>
          <w:sz w:val="28"/>
          <w:szCs w:val="28"/>
        </w:rPr>
        <w:t>发行人涉及的诉讼、仲裁或行政处罚。说明发行人是否有尚未了结的或者可预见的诉讼、仲裁案件或者被行政处罚的案件。如上述案件存在，还应说明</w:t>
      </w:r>
      <w:r>
        <w:rPr>
          <w:rFonts w:hint="eastAsia" w:ascii="仿宋_GB2312" w:hAnsi="仿宋" w:eastAsia="仿宋_GB2312" w:cs="仿宋"/>
          <w:color w:val="auto"/>
          <w:sz w:val="28"/>
          <w:szCs w:val="28"/>
        </w:rPr>
        <w:t>其所涉金额及对本次发行或上市的影响程度。</w:t>
      </w:r>
    </w:p>
    <w:p>
      <w:pPr>
        <w:keepNext w:val="0"/>
        <w:keepLines w:val="0"/>
        <w:pageBreakBefore w:val="0"/>
        <w:widowControl w:val="0"/>
        <w:numPr>
          <w:ilvl w:val="0"/>
          <w:numId w:val="112"/>
        </w:numPr>
        <w:wordWrap/>
        <w:bidi w:val="0"/>
        <w:adjustRightInd/>
        <w:snapToGrid/>
        <w:spacing w:after="0" w:line="500" w:lineRule="exact"/>
        <w:ind w:firstLine="522" w:firstLineChars="200"/>
        <w:jc w:val="both"/>
        <w:rPr>
          <w:rFonts w:hint="eastAsia" w:ascii="仿宋_GB2312" w:hAnsi="仿宋" w:eastAsia="仿宋_GB2312" w:cs="仿宋"/>
          <w:color w:val="auto"/>
          <w:sz w:val="28"/>
          <w:szCs w:val="28"/>
        </w:rPr>
      </w:pPr>
      <w:r>
        <w:rPr>
          <w:rFonts w:hint="eastAsia" w:ascii="仿宋_GB2312" w:hAnsi="仿宋" w:eastAsia="仿宋_GB2312" w:cs="仿宋"/>
          <w:color w:val="auto"/>
          <w:sz w:val="28"/>
          <w:szCs w:val="28"/>
        </w:rPr>
        <w:t>发行人的税务问题。说明发行人执行的税种税率、税收优惠及财政补助是否符合国家法律、法规及地方性法规的要求。说明发行人近三年是否依法纳税，是否存在因违反税务方面的法律、行政法规而受到税务部门重大处罚的情形。</w:t>
      </w:r>
    </w:p>
    <w:p>
      <w:pPr>
        <w:keepNext w:val="0"/>
        <w:keepLines w:val="0"/>
        <w:pageBreakBefore w:val="0"/>
        <w:widowControl w:val="0"/>
        <w:numPr>
          <w:ilvl w:val="0"/>
          <w:numId w:val="112"/>
        </w:numPr>
        <w:wordWrap/>
        <w:bidi w:val="0"/>
        <w:adjustRightInd/>
        <w:snapToGrid/>
        <w:spacing w:after="0" w:line="500" w:lineRule="exact"/>
        <w:ind w:firstLine="522" w:firstLineChars="200"/>
        <w:jc w:val="both"/>
        <w:rPr>
          <w:rFonts w:hint="eastAsia" w:ascii="仿宋_GB2312" w:hAnsi="仿宋" w:eastAsia="仿宋_GB2312" w:cs="仿宋"/>
          <w:color w:val="auto"/>
          <w:sz w:val="28"/>
          <w:szCs w:val="28"/>
        </w:rPr>
      </w:pPr>
      <w:r>
        <w:rPr>
          <w:rFonts w:hint="eastAsia" w:ascii="仿宋_GB2312" w:hAnsi="仿宋" w:eastAsia="仿宋_GB2312" w:cs="仿宋"/>
          <w:color w:val="auto"/>
          <w:sz w:val="28"/>
          <w:szCs w:val="28"/>
        </w:rPr>
        <w:t>发行人的公司治理与规范运作。发行人是否根据《公司法》及公司章程的规定，建立了健全的组织机构。发行人是否建立了健全的股东大会、董事会、监事会议事规则，该等议事规则是否符合现行法律、行政法规和规范性文件的规定。发行人近三年股东（大）会、董事会、监事会召开及运作是否合法、合规、真实、有效。</w:t>
      </w:r>
    </w:p>
    <w:p>
      <w:pPr>
        <w:keepNext w:val="0"/>
        <w:keepLines w:val="0"/>
        <w:pageBreakBefore w:val="0"/>
        <w:widowControl w:val="0"/>
        <w:numPr>
          <w:ilvl w:val="0"/>
          <w:numId w:val="112"/>
        </w:numPr>
        <w:wordWrap/>
        <w:bidi w:val="0"/>
        <w:adjustRightInd/>
        <w:snapToGrid/>
        <w:spacing w:after="0" w:line="500" w:lineRule="exact"/>
        <w:ind w:firstLine="522" w:firstLineChars="200"/>
        <w:jc w:val="both"/>
        <w:rPr>
          <w:rFonts w:hint="eastAsia" w:ascii="仿宋_GB2312" w:hAnsi="宋体" w:eastAsia="仿宋_GB2312" w:cs="仿宋_GB2312"/>
          <w:color w:val="auto"/>
          <w:sz w:val="28"/>
          <w:szCs w:val="28"/>
          <w:lang w:bidi="ar"/>
        </w:rPr>
      </w:pPr>
      <w:r>
        <w:rPr>
          <w:rFonts w:hint="eastAsia" w:ascii="仿宋_GB2312" w:hAnsi="仿宋" w:eastAsia="仿宋_GB2312" w:cs="仿宋"/>
          <w:color w:val="auto"/>
          <w:sz w:val="28"/>
          <w:szCs w:val="28"/>
        </w:rPr>
        <w:t>发行人募集资金的运用。说明发行人本次募集资金的使用是否符合国家产业政策和相关法律法规的规定；说明募集资金拟投资项目建成后是否独立产生现金流，是否为公益性项目;说明发行人本次募集资金的使用是否已经公司股东（大）会审议批准，是否需要得到有权部门的批准或授权，如需要，是否已经得到该等批准或授权。</w:t>
      </w:r>
    </w:p>
    <w:p>
      <w:pPr>
        <w:widowControl w:val="0"/>
        <w:numPr>
          <w:ilvl w:val="0"/>
          <w:numId w:val="0"/>
        </w:numPr>
        <w:adjustRightInd/>
        <w:snapToGrid/>
        <w:spacing w:after="0" w:line="500" w:lineRule="exact"/>
        <w:ind w:left="0" w:leftChars="0" w:firstLine="522" w:firstLineChars="200"/>
        <w:jc w:val="both"/>
        <w:rPr>
          <w:rFonts w:hint="eastAsia" w:ascii="仿宋_GB2312" w:hAnsi="仿宋" w:eastAsia="仿宋_GB2312" w:cs="仿宋"/>
          <w:color w:val="auto"/>
          <w:sz w:val="28"/>
          <w:szCs w:val="28"/>
        </w:rPr>
      </w:pPr>
      <w:r>
        <w:rPr>
          <w:rFonts w:hint="eastAsia" w:ascii="仿宋_GB2312" w:hAnsi="仿宋" w:eastAsia="仿宋_GB2312" w:cs="仿宋"/>
          <w:color w:val="auto"/>
          <w:sz w:val="28"/>
          <w:szCs w:val="28"/>
        </w:rPr>
        <w:t xml:space="preserve">说明拟投资项目是否符合《预算法》 《政府投资条例》《国务院关于加强地方政府债务管理的意见》 （国发〔2014〕43 号）、《关于进一步规范地方政府举债融资行为的通知》（财预〔2017〕50 号）及《国务院关于进一步深化预算管理制度改革的意见》（国发〔2021〕5 号）等关于地方政府债务管理的相关规定，是否存在替政府垫资的情形，是否涉及新增地方政府隐性债务。 </w:t>
      </w:r>
    </w:p>
    <w:p>
      <w:pPr>
        <w:keepNext w:val="0"/>
        <w:keepLines w:val="0"/>
        <w:pageBreakBefore w:val="0"/>
        <w:widowControl w:val="0"/>
        <w:numPr>
          <w:ilvl w:val="0"/>
          <w:numId w:val="112"/>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auto"/>
          <w:sz w:val="28"/>
          <w:szCs w:val="28"/>
        </w:rPr>
        <w:t>关于发行人的债券的主承销商。说明发行人债券发行的主承销商是否具备作为主承销商的资质（主要核查是否持有有效的《营业执照》、《经营证券业务许可证》等资质文件），其作为本期债券的主承销商是否符合相关法律法规的规定。主承销商是否受到监管部门的行政处罚，如果该等处罚不影响主承销</w:t>
      </w:r>
      <w:r>
        <w:rPr>
          <w:rFonts w:hint="eastAsia" w:ascii="仿宋_GB2312" w:hAnsi="仿宋" w:eastAsia="仿宋_GB2312" w:cs="仿宋"/>
          <w:color w:val="000000"/>
          <w:sz w:val="28"/>
          <w:szCs w:val="28"/>
        </w:rPr>
        <w:t>商从事本次发行的资质条件，应核查并说明处罚事项不影响本次发行。</w:t>
      </w:r>
    </w:p>
    <w:p>
      <w:pPr>
        <w:keepNext w:val="0"/>
        <w:keepLines w:val="0"/>
        <w:pageBreakBefore w:val="0"/>
        <w:widowControl w:val="0"/>
        <w:numPr>
          <w:ilvl w:val="0"/>
          <w:numId w:val="112"/>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关于债券的《债券持有人会议规则》。说明发行人和（或）债券受托管理人所制定的《债券持有人会议规则》是否符合相关法律法规的规定，并合法有效。</w:t>
      </w:r>
    </w:p>
    <w:p>
      <w:pPr>
        <w:keepNext w:val="0"/>
        <w:keepLines w:val="0"/>
        <w:pageBreakBefore w:val="0"/>
        <w:widowControl w:val="0"/>
        <w:numPr>
          <w:ilvl w:val="0"/>
          <w:numId w:val="112"/>
        </w:numPr>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关于债券的《债券受托管理协议》。说明发行人和债券受托管理人所签署的《债券受托管理协议》是否已对本期债券发行各方的权利义务进行了详细约定，其内容是否合法有效。</w:t>
      </w:r>
    </w:p>
    <w:p>
      <w:pPr>
        <w:widowControl w:val="0"/>
        <w:numPr>
          <w:ilvl w:val="0"/>
          <w:numId w:val="113"/>
        </w:numPr>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债券发行的担保。债券如有担保情形，需说明保证人是否具备为债券发行提供担保的主体资格或拟设担保的财产是否合乎相关法律的规定条件，发行人为债券发行所取得的担保是否符合相关法律法规的规定，担保是否合法有效。需说明担保人是否已依据《公司法》、《公司章程》履行必要的内部决议、授权程序。同时，如果担保机构为担保公司的，需核查</w:t>
      </w:r>
      <w:r>
        <w:rPr>
          <w:rFonts w:hint="eastAsia" w:ascii="仿宋_GB2312" w:hAnsi="宋体" w:eastAsia="仿宋_GB2312" w:cs="仿宋_GB2312"/>
          <w:color w:val="000000"/>
          <w:sz w:val="28"/>
          <w:szCs w:val="28"/>
          <w:lang w:bidi="ar"/>
        </w:rPr>
        <w:t>担保公司是否为融资性担保</w:t>
      </w:r>
      <w:r>
        <w:rPr>
          <w:rFonts w:hint="eastAsia" w:ascii="仿宋_GB2312" w:hAnsi="仿宋" w:eastAsia="仿宋_GB2312" w:cs="仿宋"/>
          <w:color w:val="000000"/>
          <w:sz w:val="28"/>
          <w:szCs w:val="28"/>
        </w:rPr>
        <w:t>机构，是否取得《营业执照》及由所在地监管部门发放的《融资担保业务经营许可证》，担保人融资性担保责任余额和担保集中度等业务指标是否符合《融资担保公司监督管理条例》（中华人民共和国国务院令第683号）、《融资担保公司监督管理条例》四项配套制度（银保监发（2018）1号）及《融资担保公司监督管理补充规定》（银保监发（2019）37号）等监管文件的要求。</w:t>
      </w:r>
    </w:p>
    <w:p>
      <w:pPr>
        <w:widowControl w:val="0"/>
        <w:adjustRightInd/>
        <w:snapToGrid/>
        <w:spacing w:after="0" w:line="500" w:lineRule="exact"/>
        <w:ind w:left="402" w:leftChars="0"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（十五）本期债券的信用评级。评级非强制要求，但如果有评级情况，需说明评级机构的有关资质是否符合法律法规的规定。评级机构对债券的评级安排是否符合法律法规的要求。</w:t>
      </w:r>
    </w:p>
    <w:p>
      <w:pPr>
        <w:widowControl w:val="0"/>
        <w:adjustRightInd/>
        <w:snapToGrid/>
        <w:spacing w:after="0" w:line="500" w:lineRule="exact"/>
        <w:ind w:left="402" w:leftChars="0"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（十六）发行所涉及的其他中介机构。说明参与债券发行的中介机构是否具备经证监会及国务院有关主管部门进行备案，受聘担任发行人的公司债券发行有关中介机构是否合乎相关法律的规定。</w:t>
      </w:r>
    </w:p>
    <w:p>
      <w:pPr>
        <w:widowControl w:val="0"/>
        <w:numPr>
          <w:ilvl w:val="0"/>
          <w:numId w:val="0"/>
        </w:numPr>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（十七）结论意见。概括说明律师对本次债券发行的意见。即对本次发行的合法性给予总括确认。如果不能作总括确认，可以逐项确认，或者对保留意见事项作出限定后再给予确认。</w:t>
      </w:r>
    </w:p>
    <w:p>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jc w:val="center"/>
        <w:textAlignment w:val="baseline"/>
        <w:rPr>
          <w:rFonts w:ascii="仿宋_GB2312" w:eastAsia="仿宋_GB2312"/>
          <w:color w:val="000000"/>
          <w:sz w:val="28"/>
          <w:szCs w:val="28"/>
        </w:rPr>
      </w:pPr>
      <w:r>
        <w:rPr>
          <w:rFonts w:hint="eastAsia" w:ascii="仿宋_GB2312" w:hAnsi="仿宋" w:eastAsia="仿宋_GB2312"/>
          <w:b w:val="0"/>
          <w:color w:val="000000"/>
          <w:sz w:val="28"/>
          <w:szCs w:val="28"/>
        </w:rPr>
        <w:br w:type="page"/>
      </w:r>
      <w:bookmarkStart w:id="157" w:name="_Toc353717168"/>
      <w:bookmarkStart w:id="158" w:name="_Toc23406"/>
      <w:bookmarkStart w:id="159" w:name="_Toc20575"/>
      <w:r>
        <w:rPr>
          <w:rFonts w:hint="eastAsia" w:ascii="方正小标宋简体" w:hAnsi="方正小标宋简体" w:eastAsia="方正小标宋简体" w:cs="方正小标宋简体"/>
          <w:b w:val="0"/>
          <w:bCs/>
          <w:color w:val="000000"/>
          <w:sz w:val="44"/>
          <w:szCs w:val="40"/>
        </w:rPr>
        <w:t>附  表</w:t>
      </w:r>
      <w:bookmarkEnd w:id="157"/>
      <w:bookmarkEnd w:id="158"/>
      <w:bookmarkEnd w:id="159"/>
    </w:p>
    <w:p>
      <w:pPr>
        <w:keepNext w:val="0"/>
        <w:keepLines w:val="0"/>
        <w:pageBreakBefore w:val="0"/>
        <w:widowControl w:val="0"/>
        <w:kinsoku/>
        <w:wordWrap/>
        <w:overflowPunct/>
        <w:topLinePunct w:val="0"/>
        <w:autoSpaceDE/>
        <w:autoSpaceDN/>
        <w:bidi w:val="0"/>
        <w:adjustRightInd/>
        <w:snapToGrid/>
        <w:spacing w:before="455" w:beforeLines="100" w:after="229" w:afterLines="50" w:line="500" w:lineRule="exact"/>
        <w:jc w:val="center"/>
        <w:textAlignment w:val="baseline"/>
        <w:outlineLvl w:val="0"/>
        <w:rPr>
          <w:rFonts w:hint="eastAsia" w:ascii="楷体" w:hAnsi="楷体" w:eastAsia="楷体" w:cs="楷体"/>
          <w:b/>
          <w:color w:val="000000"/>
          <w:sz w:val="28"/>
          <w:szCs w:val="28"/>
        </w:rPr>
      </w:pPr>
      <w:bookmarkStart w:id="160" w:name="_Toc19960"/>
      <w:r>
        <w:rPr>
          <w:rFonts w:hint="eastAsia" w:ascii="楷体" w:hAnsi="楷体" w:eastAsia="楷体" w:cs="楷体"/>
          <w:b/>
          <w:color w:val="000000"/>
          <w:sz w:val="28"/>
          <w:szCs w:val="28"/>
        </w:rPr>
        <w:t>附表1：对企业主体调查所需调查材料以及材料来源表</w:t>
      </w:r>
      <w:bookmarkEnd w:id="160"/>
    </w:p>
    <w:tbl>
      <w:tblPr>
        <w:tblStyle w:val="15"/>
        <w:tblW w:w="79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55"/>
        <w:gridCol w:w="1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noWrap w:val="0"/>
            <w:vAlign w:val="top"/>
          </w:tcPr>
          <w:p>
            <w:pPr>
              <w:keepNext w:val="0"/>
              <w:keepLines w:val="0"/>
              <w:pageBreakBefore w:val="0"/>
              <w:widowControl w:val="0"/>
              <w:kinsoku/>
              <w:wordWrap/>
              <w:overflowPunct/>
              <w:topLinePunct w:val="0"/>
              <w:autoSpaceDE/>
              <w:autoSpaceDN/>
              <w:bidi w:val="0"/>
              <w:adjustRightInd/>
              <w:snapToGrid/>
              <w:spacing w:after="0" w:line="460" w:lineRule="exact"/>
              <w:jc w:val="center"/>
              <w:textAlignment w:val="baseline"/>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材料</w:t>
            </w:r>
          </w:p>
        </w:tc>
        <w:tc>
          <w:tcPr>
            <w:tcW w:w="1888" w:type="dxa"/>
            <w:noWrap w:val="0"/>
            <w:vAlign w:val="top"/>
          </w:tcPr>
          <w:p>
            <w:pPr>
              <w:keepNext w:val="0"/>
              <w:keepLines w:val="0"/>
              <w:pageBreakBefore w:val="0"/>
              <w:widowControl w:val="0"/>
              <w:kinsoku/>
              <w:wordWrap/>
              <w:overflowPunct/>
              <w:topLinePunct w:val="0"/>
              <w:autoSpaceDE/>
              <w:autoSpaceDN/>
              <w:bidi w:val="0"/>
              <w:adjustRightInd/>
              <w:snapToGrid/>
              <w:spacing w:after="0" w:line="460" w:lineRule="exact"/>
              <w:jc w:val="center"/>
              <w:textAlignment w:val="baseline"/>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noWrap w:val="0"/>
            <w:vAlign w:val="top"/>
          </w:tcPr>
          <w:p>
            <w:pPr>
              <w:keepNext w:val="0"/>
              <w:keepLines w:val="0"/>
              <w:pageBreakBefore w:val="0"/>
              <w:widowControl w:val="0"/>
              <w:kinsoku/>
              <w:wordWrap/>
              <w:overflowPunct/>
              <w:topLinePunct w:val="0"/>
              <w:autoSpaceDE/>
              <w:autoSpaceDN/>
              <w:bidi w:val="0"/>
              <w:adjustRightInd/>
              <w:snapToGrid/>
              <w:spacing w:after="0" w:line="46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统一社会信用代码营业执照（营业执照、组织机构代码、税务登记）、国有产权登记证、药品经营许可证、药品生产许可证等企业主体证照</w:t>
            </w:r>
          </w:p>
        </w:tc>
        <w:tc>
          <w:tcPr>
            <w:tcW w:w="1888" w:type="dxa"/>
            <w:noWrap w:val="0"/>
            <w:vAlign w:val="center"/>
          </w:tcPr>
          <w:p>
            <w:pPr>
              <w:keepNext w:val="0"/>
              <w:keepLines w:val="0"/>
              <w:pageBreakBefore w:val="0"/>
              <w:widowControl w:val="0"/>
              <w:kinsoku/>
              <w:wordWrap/>
              <w:overflowPunct/>
              <w:topLinePunct w:val="0"/>
              <w:autoSpaceDE/>
              <w:autoSpaceDN/>
              <w:bidi w:val="0"/>
              <w:adjustRightInd/>
              <w:snapToGrid/>
              <w:spacing w:after="0" w:line="460" w:lineRule="exact"/>
              <w:ind w:firstLine="0" w:firstLineChars="0"/>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被调查人提供但需核实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noWrap w:val="0"/>
            <w:vAlign w:val="top"/>
          </w:tcPr>
          <w:p>
            <w:pPr>
              <w:keepNext w:val="0"/>
              <w:keepLines w:val="0"/>
              <w:pageBreakBefore w:val="0"/>
              <w:widowControl w:val="0"/>
              <w:kinsoku/>
              <w:wordWrap/>
              <w:overflowPunct/>
              <w:topLinePunct w:val="0"/>
              <w:autoSpaceDE/>
              <w:autoSpaceDN/>
              <w:bidi w:val="0"/>
              <w:adjustRightInd/>
              <w:snapToGrid/>
              <w:spacing w:after="0" w:line="46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企业设立登记申请书、验资报告、股东（大）会决议、名称预核准通知书等企业设立文件</w:t>
            </w:r>
          </w:p>
        </w:tc>
        <w:tc>
          <w:tcPr>
            <w:tcW w:w="1888" w:type="dxa"/>
            <w:noWrap w:val="0"/>
            <w:vAlign w:val="center"/>
          </w:tcPr>
          <w:p>
            <w:pPr>
              <w:keepNext w:val="0"/>
              <w:keepLines w:val="0"/>
              <w:pageBreakBefore w:val="0"/>
              <w:widowControl w:val="0"/>
              <w:kinsoku/>
              <w:wordWrap/>
              <w:overflowPunct/>
              <w:topLinePunct w:val="0"/>
              <w:autoSpaceDE/>
              <w:autoSpaceDN/>
              <w:bidi w:val="0"/>
              <w:adjustRightInd/>
              <w:snapToGrid/>
              <w:spacing w:after="0" w:line="460" w:lineRule="exact"/>
              <w:ind w:firstLine="0" w:firstLineChars="0"/>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工商调档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noWrap w:val="0"/>
            <w:vAlign w:val="top"/>
          </w:tcPr>
          <w:p>
            <w:pPr>
              <w:keepNext w:val="0"/>
              <w:keepLines w:val="0"/>
              <w:pageBreakBefore w:val="0"/>
              <w:widowControl w:val="0"/>
              <w:kinsoku/>
              <w:wordWrap/>
              <w:overflowPunct/>
              <w:topLinePunct w:val="0"/>
              <w:autoSpaceDE/>
              <w:autoSpaceDN/>
              <w:bidi w:val="0"/>
              <w:adjustRightInd/>
              <w:snapToGrid/>
              <w:spacing w:after="0" w:line="46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企业自设立至今，名称、性质、隶属关系、注册资本、股本结构历次变动情况的说明，及相关文件资料（批文、协议、决议、章程、验资报告等）</w:t>
            </w:r>
          </w:p>
        </w:tc>
        <w:tc>
          <w:tcPr>
            <w:tcW w:w="1888" w:type="dxa"/>
            <w:noWrap w:val="0"/>
            <w:vAlign w:val="center"/>
          </w:tcPr>
          <w:p>
            <w:pPr>
              <w:keepNext w:val="0"/>
              <w:keepLines w:val="0"/>
              <w:pageBreakBefore w:val="0"/>
              <w:widowControl w:val="0"/>
              <w:kinsoku/>
              <w:wordWrap/>
              <w:overflowPunct/>
              <w:topLinePunct w:val="0"/>
              <w:autoSpaceDE/>
              <w:autoSpaceDN/>
              <w:bidi w:val="0"/>
              <w:adjustRightInd/>
              <w:snapToGrid/>
              <w:spacing w:after="0" w:line="460" w:lineRule="exact"/>
              <w:ind w:firstLine="0" w:firstLineChars="0"/>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工商调档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noWrap w:val="0"/>
            <w:vAlign w:val="top"/>
          </w:tcPr>
          <w:p>
            <w:pPr>
              <w:keepNext w:val="0"/>
              <w:keepLines w:val="0"/>
              <w:pageBreakBefore w:val="0"/>
              <w:widowControl w:val="0"/>
              <w:kinsoku/>
              <w:wordWrap/>
              <w:overflowPunct/>
              <w:topLinePunct w:val="0"/>
              <w:autoSpaceDE/>
              <w:autoSpaceDN/>
              <w:bidi w:val="0"/>
              <w:adjustRightInd/>
              <w:snapToGrid/>
              <w:spacing w:after="0" w:line="46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企业三年连审年检报告</w:t>
            </w:r>
          </w:p>
        </w:tc>
        <w:tc>
          <w:tcPr>
            <w:tcW w:w="1888" w:type="dxa"/>
            <w:noWrap w:val="0"/>
            <w:vAlign w:val="center"/>
          </w:tcPr>
          <w:p>
            <w:pPr>
              <w:keepNext w:val="0"/>
              <w:keepLines w:val="0"/>
              <w:pageBreakBefore w:val="0"/>
              <w:widowControl w:val="0"/>
              <w:kinsoku/>
              <w:wordWrap/>
              <w:overflowPunct/>
              <w:topLinePunct w:val="0"/>
              <w:autoSpaceDE/>
              <w:autoSpaceDN/>
              <w:bidi w:val="0"/>
              <w:adjustRightInd/>
              <w:snapToGrid/>
              <w:spacing w:after="0" w:line="46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noWrap w:val="0"/>
            <w:vAlign w:val="top"/>
          </w:tcPr>
          <w:p>
            <w:pPr>
              <w:keepNext w:val="0"/>
              <w:keepLines w:val="0"/>
              <w:pageBreakBefore w:val="0"/>
              <w:widowControl w:val="0"/>
              <w:kinsoku/>
              <w:wordWrap/>
              <w:overflowPunct/>
              <w:topLinePunct w:val="0"/>
              <w:autoSpaceDE/>
              <w:autoSpaceDN/>
              <w:bidi w:val="0"/>
              <w:adjustRightInd/>
              <w:snapToGrid/>
              <w:spacing w:after="0" w:line="46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公司现行有效的章程及章程修正案</w:t>
            </w:r>
          </w:p>
        </w:tc>
        <w:tc>
          <w:tcPr>
            <w:tcW w:w="1888" w:type="dxa"/>
            <w:noWrap w:val="0"/>
            <w:vAlign w:val="center"/>
          </w:tcPr>
          <w:p>
            <w:pPr>
              <w:keepNext w:val="0"/>
              <w:keepLines w:val="0"/>
              <w:pageBreakBefore w:val="0"/>
              <w:widowControl w:val="0"/>
              <w:kinsoku/>
              <w:wordWrap/>
              <w:overflowPunct/>
              <w:topLinePunct w:val="0"/>
              <w:autoSpaceDE/>
              <w:autoSpaceDN/>
              <w:bidi w:val="0"/>
              <w:adjustRightInd/>
              <w:snapToGrid/>
              <w:spacing w:after="0" w:line="46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工商调档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noWrap w:val="0"/>
            <w:vAlign w:val="top"/>
          </w:tcPr>
          <w:p>
            <w:pPr>
              <w:keepNext w:val="0"/>
              <w:keepLines w:val="0"/>
              <w:pageBreakBefore w:val="0"/>
              <w:widowControl w:val="0"/>
              <w:kinsoku/>
              <w:wordWrap/>
              <w:overflowPunct/>
              <w:topLinePunct w:val="0"/>
              <w:autoSpaceDE/>
              <w:autoSpaceDN/>
              <w:bidi w:val="0"/>
              <w:adjustRightInd/>
              <w:snapToGrid/>
              <w:spacing w:after="0" w:line="46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各子公司及分支机构清单</w:t>
            </w:r>
          </w:p>
        </w:tc>
        <w:tc>
          <w:tcPr>
            <w:tcW w:w="1888" w:type="dxa"/>
            <w:noWrap w:val="0"/>
            <w:vAlign w:val="center"/>
          </w:tcPr>
          <w:p>
            <w:pPr>
              <w:keepNext w:val="0"/>
              <w:keepLines w:val="0"/>
              <w:pageBreakBefore w:val="0"/>
              <w:widowControl w:val="0"/>
              <w:kinsoku/>
              <w:wordWrap/>
              <w:overflowPunct/>
              <w:topLinePunct w:val="0"/>
              <w:autoSpaceDE/>
              <w:autoSpaceDN/>
              <w:bidi w:val="0"/>
              <w:adjustRightInd/>
              <w:snapToGrid/>
              <w:spacing w:after="0" w:line="46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noWrap w:val="0"/>
            <w:vAlign w:val="top"/>
          </w:tcPr>
          <w:p>
            <w:pPr>
              <w:keepNext w:val="0"/>
              <w:keepLines w:val="0"/>
              <w:pageBreakBefore w:val="0"/>
              <w:widowControl w:val="0"/>
              <w:kinsoku/>
              <w:wordWrap/>
              <w:overflowPunct/>
              <w:topLinePunct w:val="0"/>
              <w:autoSpaceDE/>
              <w:autoSpaceDN/>
              <w:bidi w:val="0"/>
              <w:adjustRightInd/>
              <w:snapToGrid/>
              <w:spacing w:after="0" w:line="46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各子公司营业执照等主体证照以及现行有效章程以及章程修正案</w:t>
            </w:r>
          </w:p>
        </w:tc>
        <w:tc>
          <w:tcPr>
            <w:tcW w:w="1888" w:type="dxa"/>
            <w:noWrap w:val="0"/>
            <w:vAlign w:val="center"/>
          </w:tcPr>
          <w:p>
            <w:pPr>
              <w:keepNext w:val="0"/>
              <w:keepLines w:val="0"/>
              <w:pageBreakBefore w:val="0"/>
              <w:widowControl w:val="0"/>
              <w:kinsoku/>
              <w:wordWrap/>
              <w:overflowPunct/>
              <w:topLinePunct w:val="0"/>
              <w:autoSpaceDE/>
              <w:autoSpaceDN/>
              <w:bidi w:val="0"/>
              <w:adjustRightInd/>
              <w:snapToGrid/>
              <w:spacing w:after="0" w:line="46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工商调档、被调查人提供</w:t>
            </w:r>
          </w:p>
        </w:tc>
      </w:tr>
    </w:tbl>
    <w:p>
      <w:pPr>
        <w:keepNext w:val="0"/>
        <w:keepLines w:val="0"/>
        <w:pageBreakBefore w:val="0"/>
        <w:widowControl w:val="0"/>
        <w:wordWrap/>
        <w:bidi w:val="0"/>
        <w:spacing w:after="0" w:line="500" w:lineRule="exact"/>
        <w:ind w:firstLine="522" w:firstLineChars="200"/>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说明：本部分调查资料在特殊情况下无法从市场监督管理部门调取的，可要求由被调查人提供，但此时调查需要特别注意各项资料之间的衔接与互相印证。</w:t>
      </w:r>
    </w:p>
    <w:p>
      <w:pPr>
        <w:keepNext w:val="0"/>
        <w:keepLines w:val="0"/>
        <w:pageBreakBefore w:val="0"/>
        <w:widowControl w:val="0"/>
        <w:kinsoku/>
        <w:wordWrap/>
        <w:overflowPunct/>
        <w:topLinePunct w:val="0"/>
        <w:autoSpaceDE/>
        <w:autoSpaceDN/>
        <w:bidi w:val="0"/>
        <w:adjustRightInd/>
        <w:snapToGrid/>
        <w:spacing w:after="229" w:afterLines="50" w:line="500" w:lineRule="exact"/>
        <w:jc w:val="center"/>
        <w:textAlignment w:val="baseline"/>
        <w:outlineLvl w:val="0"/>
        <w:rPr>
          <w:rFonts w:hint="eastAsia" w:ascii="楷体" w:hAnsi="楷体" w:eastAsia="楷体" w:cs="楷体"/>
          <w:b/>
          <w:color w:val="000000"/>
          <w:sz w:val="28"/>
          <w:szCs w:val="28"/>
        </w:rPr>
      </w:pPr>
      <w:r>
        <w:rPr>
          <w:rFonts w:hint="eastAsia" w:ascii="仿宋_GB2312" w:eastAsia="仿宋_GB2312"/>
          <w:color w:val="000000"/>
          <w:sz w:val="28"/>
          <w:szCs w:val="28"/>
        </w:rPr>
        <w:br w:type="page"/>
      </w:r>
      <w:bookmarkStart w:id="161" w:name="_Toc8491"/>
      <w:r>
        <w:rPr>
          <w:rFonts w:hint="eastAsia" w:ascii="楷体" w:hAnsi="楷体" w:eastAsia="楷体" w:cs="楷体"/>
          <w:b/>
          <w:color w:val="000000"/>
          <w:sz w:val="28"/>
          <w:szCs w:val="28"/>
        </w:rPr>
        <w:t>附表2：对股东与股权的调查所需调查材料以及材料来源表</w:t>
      </w:r>
      <w:bookmarkEnd w:id="161"/>
    </w:p>
    <w:tbl>
      <w:tblPr>
        <w:tblStyle w:val="1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19"/>
        <w:gridCol w:w="2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8" w:type="pct"/>
            <w:noWrap w:val="0"/>
            <w:vAlign w:val="top"/>
          </w:tcPr>
          <w:p>
            <w:pPr>
              <w:keepNext w:val="0"/>
              <w:keepLines w:val="0"/>
              <w:pageBreakBefore w:val="0"/>
              <w:widowControl w:val="0"/>
              <w:kinsoku/>
              <w:wordWrap/>
              <w:overflowPunct/>
              <w:topLinePunct w:val="0"/>
              <w:autoSpaceDE/>
              <w:autoSpaceDN/>
              <w:bidi w:val="0"/>
              <w:adjustRightInd/>
              <w:snapToGrid/>
              <w:spacing w:after="0" w:line="460" w:lineRule="exact"/>
              <w:jc w:val="center"/>
              <w:textAlignment w:val="baseline"/>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材料</w:t>
            </w:r>
          </w:p>
        </w:tc>
        <w:tc>
          <w:tcPr>
            <w:tcW w:w="1361" w:type="pct"/>
            <w:noWrap w:val="0"/>
            <w:vAlign w:val="top"/>
          </w:tcPr>
          <w:p>
            <w:pPr>
              <w:keepNext w:val="0"/>
              <w:keepLines w:val="0"/>
              <w:pageBreakBefore w:val="0"/>
              <w:widowControl w:val="0"/>
              <w:kinsoku/>
              <w:wordWrap/>
              <w:overflowPunct/>
              <w:topLinePunct w:val="0"/>
              <w:autoSpaceDE/>
              <w:autoSpaceDN/>
              <w:bidi w:val="0"/>
              <w:adjustRightInd/>
              <w:snapToGrid/>
              <w:spacing w:after="0" w:line="460" w:lineRule="exact"/>
              <w:jc w:val="center"/>
              <w:textAlignment w:val="baseline"/>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8" w:type="pct"/>
            <w:noWrap w:val="0"/>
            <w:vAlign w:val="top"/>
          </w:tcPr>
          <w:p>
            <w:pPr>
              <w:keepNext w:val="0"/>
              <w:keepLines w:val="0"/>
              <w:pageBreakBefore w:val="0"/>
              <w:widowControl w:val="0"/>
              <w:kinsoku/>
              <w:wordWrap/>
              <w:overflowPunct/>
              <w:topLinePunct w:val="0"/>
              <w:autoSpaceDE/>
              <w:autoSpaceDN/>
              <w:bidi w:val="0"/>
              <w:adjustRightInd/>
              <w:snapToGrid/>
              <w:spacing w:after="0" w:line="46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企业目前的股权结构</w:t>
            </w:r>
          </w:p>
        </w:tc>
        <w:tc>
          <w:tcPr>
            <w:tcW w:w="1361" w:type="pct"/>
            <w:noWrap w:val="0"/>
            <w:vAlign w:val="center"/>
          </w:tcPr>
          <w:p>
            <w:pPr>
              <w:keepNext w:val="0"/>
              <w:keepLines w:val="0"/>
              <w:pageBreakBefore w:val="0"/>
              <w:widowControl w:val="0"/>
              <w:kinsoku/>
              <w:wordWrap/>
              <w:overflowPunct/>
              <w:topLinePunct w:val="0"/>
              <w:autoSpaceDE/>
              <w:autoSpaceDN/>
              <w:bidi w:val="0"/>
              <w:adjustRightInd/>
              <w:snapToGrid/>
              <w:spacing w:after="0" w:line="46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工商调档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8" w:type="pct"/>
            <w:noWrap w:val="0"/>
            <w:vAlign w:val="top"/>
          </w:tcPr>
          <w:p>
            <w:pPr>
              <w:keepNext w:val="0"/>
              <w:keepLines w:val="0"/>
              <w:pageBreakBefore w:val="0"/>
              <w:widowControl w:val="0"/>
              <w:kinsoku/>
              <w:wordWrap/>
              <w:overflowPunct/>
              <w:topLinePunct w:val="0"/>
              <w:autoSpaceDE/>
              <w:autoSpaceDN/>
              <w:bidi w:val="0"/>
              <w:adjustRightInd/>
              <w:snapToGrid/>
              <w:spacing w:after="0" w:line="46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企业股权质押、冻结、查封等权利限制登记</w:t>
            </w:r>
          </w:p>
        </w:tc>
        <w:tc>
          <w:tcPr>
            <w:tcW w:w="1361" w:type="pct"/>
            <w:noWrap w:val="0"/>
            <w:vAlign w:val="center"/>
          </w:tcPr>
          <w:p>
            <w:pPr>
              <w:keepNext w:val="0"/>
              <w:keepLines w:val="0"/>
              <w:pageBreakBefore w:val="0"/>
              <w:widowControl w:val="0"/>
              <w:kinsoku/>
              <w:wordWrap/>
              <w:overflowPunct/>
              <w:topLinePunct w:val="0"/>
              <w:autoSpaceDE/>
              <w:autoSpaceDN/>
              <w:bidi w:val="0"/>
              <w:adjustRightInd/>
              <w:snapToGrid/>
              <w:spacing w:after="0" w:line="46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工商调档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8" w:type="pct"/>
            <w:noWrap w:val="0"/>
            <w:vAlign w:val="top"/>
          </w:tcPr>
          <w:p>
            <w:pPr>
              <w:keepNext w:val="0"/>
              <w:keepLines w:val="0"/>
              <w:pageBreakBefore w:val="0"/>
              <w:widowControl w:val="0"/>
              <w:kinsoku/>
              <w:wordWrap/>
              <w:overflowPunct/>
              <w:topLinePunct w:val="0"/>
              <w:autoSpaceDE/>
              <w:autoSpaceDN/>
              <w:bidi w:val="0"/>
              <w:adjustRightInd/>
              <w:snapToGrid/>
              <w:spacing w:after="0" w:line="46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股权质押协议、冻结查封裁定及其他权利限制法律文件</w:t>
            </w:r>
          </w:p>
        </w:tc>
        <w:tc>
          <w:tcPr>
            <w:tcW w:w="1361" w:type="pct"/>
            <w:noWrap w:val="0"/>
            <w:vAlign w:val="center"/>
          </w:tcPr>
          <w:p>
            <w:pPr>
              <w:keepNext w:val="0"/>
              <w:keepLines w:val="0"/>
              <w:pageBreakBefore w:val="0"/>
              <w:widowControl w:val="0"/>
              <w:kinsoku/>
              <w:wordWrap/>
              <w:overflowPunct/>
              <w:topLinePunct w:val="0"/>
              <w:autoSpaceDE/>
              <w:autoSpaceDN/>
              <w:bidi w:val="0"/>
              <w:adjustRightInd/>
              <w:snapToGrid/>
              <w:spacing w:after="0" w:line="46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p>
            <w:pPr>
              <w:keepNext w:val="0"/>
              <w:keepLines w:val="0"/>
              <w:pageBreakBefore w:val="0"/>
              <w:widowControl w:val="0"/>
              <w:kinsoku/>
              <w:wordWrap/>
              <w:overflowPunct/>
              <w:topLinePunct w:val="0"/>
              <w:autoSpaceDE/>
              <w:autoSpaceDN/>
              <w:bidi w:val="0"/>
              <w:adjustRightInd/>
              <w:snapToGrid/>
              <w:spacing w:after="0" w:line="46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工商查询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8" w:type="pct"/>
            <w:noWrap w:val="0"/>
            <w:vAlign w:val="top"/>
          </w:tcPr>
          <w:p>
            <w:pPr>
              <w:keepNext w:val="0"/>
              <w:keepLines w:val="0"/>
              <w:pageBreakBefore w:val="0"/>
              <w:widowControl w:val="0"/>
              <w:kinsoku/>
              <w:wordWrap/>
              <w:overflowPunct/>
              <w:topLinePunct w:val="0"/>
              <w:autoSpaceDE/>
              <w:autoSpaceDN/>
              <w:bidi w:val="0"/>
              <w:adjustRightInd/>
              <w:snapToGrid/>
              <w:spacing w:after="0" w:line="46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各股东（发起人）或者实际控制人的营业执照（身份证明）、股东的企业章程</w:t>
            </w:r>
          </w:p>
        </w:tc>
        <w:tc>
          <w:tcPr>
            <w:tcW w:w="1361" w:type="pct"/>
            <w:noWrap w:val="0"/>
            <w:vAlign w:val="center"/>
          </w:tcPr>
          <w:p>
            <w:pPr>
              <w:keepNext w:val="0"/>
              <w:keepLines w:val="0"/>
              <w:pageBreakBefore w:val="0"/>
              <w:widowControl w:val="0"/>
              <w:kinsoku/>
              <w:wordWrap/>
              <w:overflowPunct/>
              <w:topLinePunct w:val="0"/>
              <w:autoSpaceDE/>
              <w:autoSpaceDN/>
              <w:bidi w:val="0"/>
              <w:adjustRightInd/>
              <w:snapToGrid/>
              <w:spacing w:after="0" w:line="46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工商调档、</w:t>
            </w:r>
          </w:p>
          <w:p>
            <w:pPr>
              <w:keepNext w:val="0"/>
              <w:keepLines w:val="0"/>
              <w:pageBreakBefore w:val="0"/>
              <w:widowControl w:val="0"/>
              <w:kinsoku/>
              <w:wordWrap/>
              <w:overflowPunct/>
              <w:topLinePunct w:val="0"/>
              <w:autoSpaceDE/>
              <w:autoSpaceDN/>
              <w:bidi w:val="0"/>
              <w:adjustRightInd/>
              <w:snapToGrid/>
              <w:spacing w:after="0" w:line="46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8" w:type="pct"/>
            <w:noWrap w:val="0"/>
            <w:vAlign w:val="top"/>
          </w:tcPr>
          <w:p>
            <w:pPr>
              <w:keepNext w:val="0"/>
              <w:keepLines w:val="0"/>
              <w:pageBreakBefore w:val="0"/>
              <w:widowControl w:val="0"/>
              <w:kinsoku/>
              <w:wordWrap/>
              <w:overflowPunct/>
              <w:topLinePunct w:val="0"/>
              <w:autoSpaceDE/>
              <w:autoSpaceDN/>
              <w:bidi w:val="0"/>
              <w:adjustRightInd/>
              <w:snapToGrid/>
              <w:spacing w:after="0" w:line="46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企业各股东间关系说明、企业实际控制人说明</w:t>
            </w:r>
          </w:p>
        </w:tc>
        <w:tc>
          <w:tcPr>
            <w:tcW w:w="1361" w:type="pct"/>
            <w:noWrap w:val="0"/>
            <w:vAlign w:val="center"/>
          </w:tcPr>
          <w:p>
            <w:pPr>
              <w:keepNext w:val="0"/>
              <w:keepLines w:val="0"/>
              <w:pageBreakBefore w:val="0"/>
              <w:widowControl w:val="0"/>
              <w:kinsoku/>
              <w:wordWrap/>
              <w:overflowPunct/>
              <w:topLinePunct w:val="0"/>
              <w:autoSpaceDE/>
              <w:autoSpaceDN/>
              <w:bidi w:val="0"/>
              <w:adjustRightInd/>
              <w:snapToGrid/>
              <w:spacing w:after="0" w:line="46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被调查人陈述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8" w:type="pct"/>
            <w:noWrap w:val="0"/>
            <w:vAlign w:val="top"/>
          </w:tcPr>
          <w:p>
            <w:pPr>
              <w:keepNext w:val="0"/>
              <w:keepLines w:val="0"/>
              <w:pageBreakBefore w:val="0"/>
              <w:widowControl w:val="0"/>
              <w:kinsoku/>
              <w:wordWrap/>
              <w:overflowPunct/>
              <w:topLinePunct w:val="0"/>
              <w:autoSpaceDE/>
              <w:autoSpaceDN/>
              <w:bidi w:val="0"/>
              <w:adjustRightInd/>
              <w:snapToGrid/>
              <w:spacing w:after="0" w:line="46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企业各股东、实际控制人之间与企业有关的协议</w:t>
            </w:r>
          </w:p>
        </w:tc>
        <w:tc>
          <w:tcPr>
            <w:tcW w:w="1361" w:type="pct"/>
            <w:noWrap w:val="0"/>
            <w:vAlign w:val="center"/>
          </w:tcPr>
          <w:p>
            <w:pPr>
              <w:keepNext w:val="0"/>
              <w:keepLines w:val="0"/>
              <w:pageBreakBefore w:val="0"/>
              <w:widowControl w:val="0"/>
              <w:kinsoku/>
              <w:wordWrap/>
              <w:overflowPunct/>
              <w:topLinePunct w:val="0"/>
              <w:autoSpaceDE/>
              <w:autoSpaceDN/>
              <w:bidi w:val="0"/>
              <w:adjustRightInd/>
              <w:snapToGrid/>
              <w:spacing w:after="0" w:line="46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8" w:type="pct"/>
            <w:noWrap w:val="0"/>
            <w:vAlign w:val="top"/>
          </w:tcPr>
          <w:p>
            <w:pPr>
              <w:keepNext w:val="0"/>
              <w:keepLines w:val="0"/>
              <w:pageBreakBefore w:val="0"/>
              <w:widowControl w:val="0"/>
              <w:kinsoku/>
              <w:wordWrap/>
              <w:overflowPunct/>
              <w:topLinePunct w:val="0"/>
              <w:autoSpaceDE/>
              <w:autoSpaceDN/>
              <w:bidi w:val="0"/>
              <w:adjustRightInd/>
              <w:snapToGrid/>
              <w:spacing w:after="0" w:line="46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企业股权的代持股、信托持股、委托持股等涉及实际股东权利的协议</w:t>
            </w:r>
          </w:p>
        </w:tc>
        <w:tc>
          <w:tcPr>
            <w:tcW w:w="1361" w:type="pct"/>
            <w:noWrap w:val="0"/>
            <w:vAlign w:val="center"/>
          </w:tcPr>
          <w:p>
            <w:pPr>
              <w:keepNext w:val="0"/>
              <w:keepLines w:val="0"/>
              <w:pageBreakBefore w:val="0"/>
              <w:widowControl w:val="0"/>
              <w:kinsoku/>
              <w:wordWrap/>
              <w:overflowPunct/>
              <w:topLinePunct w:val="0"/>
              <w:autoSpaceDE/>
              <w:autoSpaceDN/>
              <w:bidi w:val="0"/>
              <w:adjustRightInd/>
              <w:snapToGrid/>
              <w:spacing w:after="0" w:line="46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8" w:type="pct"/>
            <w:noWrap w:val="0"/>
            <w:vAlign w:val="top"/>
          </w:tcPr>
          <w:p>
            <w:pPr>
              <w:keepNext w:val="0"/>
              <w:keepLines w:val="0"/>
              <w:pageBreakBefore w:val="0"/>
              <w:widowControl w:val="0"/>
              <w:kinsoku/>
              <w:wordWrap/>
              <w:overflowPunct/>
              <w:topLinePunct w:val="0"/>
              <w:autoSpaceDE/>
              <w:autoSpaceDN/>
              <w:bidi w:val="0"/>
              <w:adjustRightInd/>
              <w:snapToGrid/>
              <w:spacing w:after="0" w:line="46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各股东、实际控制人所投资或者参与的其他企业或所从事的其他事业的说明</w:t>
            </w:r>
          </w:p>
        </w:tc>
        <w:tc>
          <w:tcPr>
            <w:tcW w:w="1361" w:type="pct"/>
            <w:noWrap w:val="0"/>
            <w:vAlign w:val="center"/>
          </w:tcPr>
          <w:p>
            <w:pPr>
              <w:keepNext w:val="0"/>
              <w:keepLines w:val="0"/>
              <w:pageBreakBefore w:val="0"/>
              <w:widowControl w:val="0"/>
              <w:kinsoku/>
              <w:wordWrap/>
              <w:overflowPunct/>
              <w:topLinePunct w:val="0"/>
              <w:autoSpaceDE/>
              <w:autoSpaceDN/>
              <w:bidi w:val="0"/>
              <w:adjustRightInd/>
              <w:snapToGrid/>
              <w:spacing w:after="0" w:line="46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被调查人陈述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8" w:type="pct"/>
            <w:noWrap w:val="0"/>
            <w:vAlign w:val="top"/>
          </w:tcPr>
          <w:p>
            <w:pPr>
              <w:keepNext w:val="0"/>
              <w:keepLines w:val="0"/>
              <w:pageBreakBefore w:val="0"/>
              <w:widowControl w:val="0"/>
              <w:kinsoku/>
              <w:wordWrap/>
              <w:overflowPunct/>
              <w:topLinePunct w:val="0"/>
              <w:autoSpaceDE/>
              <w:autoSpaceDN/>
              <w:bidi w:val="0"/>
              <w:adjustRightInd/>
              <w:snapToGrid/>
              <w:spacing w:after="0" w:line="46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企业与股东、实际控制人之间的债权债务清单，债权债务形成的合同</w:t>
            </w:r>
          </w:p>
        </w:tc>
        <w:tc>
          <w:tcPr>
            <w:tcW w:w="1361" w:type="pct"/>
            <w:noWrap w:val="0"/>
            <w:vAlign w:val="center"/>
          </w:tcPr>
          <w:p>
            <w:pPr>
              <w:keepNext w:val="0"/>
              <w:keepLines w:val="0"/>
              <w:pageBreakBefore w:val="0"/>
              <w:widowControl w:val="0"/>
              <w:kinsoku/>
              <w:wordWrap/>
              <w:overflowPunct/>
              <w:topLinePunct w:val="0"/>
              <w:autoSpaceDE/>
              <w:autoSpaceDN/>
              <w:bidi w:val="0"/>
              <w:adjustRightInd/>
              <w:snapToGrid/>
              <w:spacing w:after="0" w:line="46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8" w:type="pct"/>
            <w:noWrap w:val="0"/>
            <w:vAlign w:val="top"/>
          </w:tcPr>
          <w:p>
            <w:pPr>
              <w:keepNext w:val="0"/>
              <w:keepLines w:val="0"/>
              <w:pageBreakBefore w:val="0"/>
              <w:widowControl w:val="0"/>
              <w:kinsoku/>
              <w:wordWrap/>
              <w:overflowPunct/>
              <w:topLinePunct w:val="0"/>
              <w:autoSpaceDE/>
              <w:autoSpaceDN/>
              <w:bidi w:val="0"/>
              <w:adjustRightInd/>
              <w:snapToGrid/>
              <w:spacing w:after="0" w:line="46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过去三年中企业与股东、实际控制人之间的交易往来记录以及相关合同</w:t>
            </w:r>
          </w:p>
        </w:tc>
        <w:tc>
          <w:tcPr>
            <w:tcW w:w="1361" w:type="pct"/>
            <w:noWrap w:val="0"/>
            <w:vAlign w:val="center"/>
          </w:tcPr>
          <w:p>
            <w:pPr>
              <w:keepNext w:val="0"/>
              <w:keepLines w:val="0"/>
              <w:pageBreakBefore w:val="0"/>
              <w:widowControl w:val="0"/>
              <w:kinsoku/>
              <w:wordWrap/>
              <w:overflowPunct/>
              <w:topLinePunct w:val="0"/>
              <w:autoSpaceDE/>
              <w:autoSpaceDN/>
              <w:bidi w:val="0"/>
              <w:adjustRightInd/>
              <w:snapToGrid/>
              <w:spacing w:after="0" w:line="46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p>
            <w:pPr>
              <w:keepNext w:val="0"/>
              <w:keepLines w:val="0"/>
              <w:pageBreakBefore w:val="0"/>
              <w:widowControl w:val="0"/>
              <w:kinsoku/>
              <w:wordWrap/>
              <w:overflowPunct/>
              <w:topLinePunct w:val="0"/>
              <w:autoSpaceDE/>
              <w:autoSpaceDN/>
              <w:bidi w:val="0"/>
              <w:adjustRightInd/>
              <w:snapToGrid/>
              <w:spacing w:after="0" w:line="46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被调查人陈述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8" w:type="pct"/>
            <w:noWrap w:val="0"/>
            <w:vAlign w:val="top"/>
          </w:tcPr>
          <w:p>
            <w:pPr>
              <w:keepNext w:val="0"/>
              <w:keepLines w:val="0"/>
              <w:pageBreakBefore w:val="0"/>
              <w:widowControl w:val="0"/>
              <w:kinsoku/>
              <w:wordWrap/>
              <w:overflowPunct/>
              <w:topLinePunct w:val="0"/>
              <w:autoSpaceDE/>
              <w:autoSpaceDN/>
              <w:bidi w:val="0"/>
              <w:adjustRightInd/>
              <w:snapToGrid/>
              <w:spacing w:after="0" w:line="46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企业与股东、实际控制人之间担保与被担保关系说明，担保与被担保合同</w:t>
            </w:r>
          </w:p>
        </w:tc>
        <w:tc>
          <w:tcPr>
            <w:tcW w:w="1361" w:type="pct"/>
            <w:noWrap w:val="0"/>
            <w:vAlign w:val="center"/>
          </w:tcPr>
          <w:p>
            <w:pPr>
              <w:keepNext w:val="0"/>
              <w:keepLines w:val="0"/>
              <w:pageBreakBefore w:val="0"/>
              <w:widowControl w:val="0"/>
              <w:kinsoku/>
              <w:wordWrap/>
              <w:overflowPunct/>
              <w:topLinePunct w:val="0"/>
              <w:autoSpaceDE/>
              <w:autoSpaceDN/>
              <w:bidi w:val="0"/>
              <w:adjustRightInd/>
              <w:snapToGrid/>
              <w:spacing w:after="0" w:line="46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tc>
      </w:tr>
    </w:tbl>
    <w:p>
      <w:pPr>
        <w:keepNext w:val="0"/>
        <w:keepLines w:val="0"/>
        <w:pageBreakBefore w:val="0"/>
        <w:widowControl w:val="0"/>
        <w:kinsoku/>
        <w:wordWrap/>
        <w:overflowPunct/>
        <w:topLinePunct w:val="0"/>
        <w:autoSpaceDE/>
        <w:autoSpaceDN/>
        <w:bidi w:val="0"/>
        <w:adjustRightInd/>
        <w:snapToGrid/>
        <w:spacing w:after="0" w:line="460" w:lineRule="exact"/>
        <w:ind w:firstLine="522" w:firstLineChars="200"/>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说明1：本部分调查材料在特殊情况下无法从工商行政管理部门调取的，可要求由被调查人提供，但此时调查需要特别注意各项资料之间的衔接与互相印证。</w:t>
      </w:r>
    </w:p>
    <w:p>
      <w:pPr>
        <w:keepNext w:val="0"/>
        <w:keepLines w:val="0"/>
        <w:pageBreakBefore w:val="0"/>
        <w:widowControl w:val="0"/>
        <w:kinsoku/>
        <w:wordWrap/>
        <w:overflowPunct/>
        <w:topLinePunct w:val="0"/>
        <w:autoSpaceDE/>
        <w:autoSpaceDN/>
        <w:bidi w:val="0"/>
        <w:adjustRightInd/>
        <w:snapToGrid/>
        <w:spacing w:after="0" w:line="460" w:lineRule="exact"/>
        <w:ind w:firstLine="522" w:firstLineChars="200"/>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说明2：本部分调查材料需特别注意被调查人陈述的来源，注意被调查人陈述内容与其他客观证据的互相印证，特别注意被调查人身份，尽量选择股东（实际控制人）本人了解情况。</w:t>
      </w:r>
    </w:p>
    <w:p>
      <w:pPr>
        <w:keepNext w:val="0"/>
        <w:keepLines w:val="0"/>
        <w:pageBreakBefore w:val="0"/>
        <w:widowControl w:val="0"/>
        <w:wordWrap/>
        <w:bidi w:val="0"/>
        <w:spacing w:before="227" w:beforeLines="50" w:after="227" w:afterLines="50" w:line="500" w:lineRule="exact"/>
        <w:jc w:val="center"/>
        <w:textAlignment w:val="baseline"/>
        <w:outlineLvl w:val="0"/>
        <w:rPr>
          <w:rFonts w:hint="eastAsia" w:ascii="楷体" w:hAnsi="楷体" w:eastAsia="楷体" w:cs="楷体"/>
          <w:b/>
          <w:color w:val="000000"/>
          <w:sz w:val="28"/>
          <w:szCs w:val="28"/>
        </w:rPr>
      </w:pPr>
      <w:r>
        <w:rPr>
          <w:rFonts w:hint="eastAsia" w:ascii="仿宋_GB2312" w:eastAsia="仿宋_GB2312"/>
          <w:color w:val="000000"/>
          <w:sz w:val="28"/>
          <w:szCs w:val="28"/>
        </w:rPr>
        <w:br w:type="page"/>
      </w:r>
      <w:bookmarkStart w:id="162" w:name="_Toc7696"/>
      <w:r>
        <w:rPr>
          <w:rFonts w:hint="eastAsia" w:ascii="楷体" w:hAnsi="楷体" w:eastAsia="楷体" w:cs="楷体"/>
          <w:b/>
          <w:color w:val="000000"/>
          <w:sz w:val="28"/>
          <w:szCs w:val="28"/>
        </w:rPr>
        <w:t>附表3：对公司治理调查所需调查材料以及材料来源表</w:t>
      </w:r>
      <w:bookmarkEnd w:id="162"/>
    </w:p>
    <w:tbl>
      <w:tblPr>
        <w:tblStyle w:val="1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35"/>
        <w:gridCol w:w="2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7" w:type="pct"/>
            <w:noWrap w:val="0"/>
            <w:vAlign w:val="top"/>
          </w:tcPr>
          <w:p>
            <w:pPr>
              <w:keepNext w:val="0"/>
              <w:keepLines w:val="0"/>
              <w:pageBreakBefore w:val="0"/>
              <w:widowControl w:val="0"/>
              <w:kinsoku/>
              <w:wordWrap/>
              <w:overflowPunct/>
              <w:topLinePunct w:val="0"/>
              <w:autoSpaceDE/>
              <w:autoSpaceDN/>
              <w:bidi w:val="0"/>
              <w:adjustRightInd/>
              <w:snapToGrid/>
              <w:spacing w:after="0" w:line="420" w:lineRule="exact"/>
              <w:jc w:val="center"/>
              <w:textAlignment w:val="baseline"/>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材料</w:t>
            </w:r>
          </w:p>
        </w:tc>
        <w:tc>
          <w:tcPr>
            <w:tcW w:w="1812" w:type="pct"/>
            <w:noWrap w:val="0"/>
            <w:vAlign w:val="top"/>
          </w:tcPr>
          <w:p>
            <w:pPr>
              <w:keepNext w:val="0"/>
              <w:keepLines w:val="0"/>
              <w:pageBreakBefore w:val="0"/>
              <w:widowControl w:val="0"/>
              <w:kinsoku/>
              <w:wordWrap/>
              <w:overflowPunct/>
              <w:topLinePunct w:val="0"/>
              <w:autoSpaceDE/>
              <w:autoSpaceDN/>
              <w:bidi w:val="0"/>
              <w:adjustRightInd/>
              <w:snapToGrid/>
              <w:spacing w:after="0" w:line="420" w:lineRule="exact"/>
              <w:jc w:val="center"/>
              <w:textAlignment w:val="baseline"/>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7" w:type="pct"/>
            <w:noWrap w:val="0"/>
            <w:vAlign w:val="top"/>
          </w:tcPr>
          <w:p>
            <w:pPr>
              <w:keepNext w:val="0"/>
              <w:keepLines w:val="0"/>
              <w:pageBreakBefore w:val="0"/>
              <w:widowControl w:val="0"/>
              <w:kinsoku/>
              <w:wordWrap/>
              <w:overflowPunct/>
              <w:topLinePunct w:val="0"/>
              <w:autoSpaceDE/>
              <w:autoSpaceDN/>
              <w:bidi w:val="0"/>
              <w:adjustRightInd/>
              <w:snapToGrid/>
              <w:spacing w:after="0" w:line="42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董事会、监事会、总经理办公会、企业高管人员名单、简历</w:t>
            </w:r>
          </w:p>
        </w:tc>
        <w:tc>
          <w:tcPr>
            <w:tcW w:w="1812" w:type="pct"/>
            <w:noWrap w:val="0"/>
            <w:vAlign w:val="center"/>
          </w:tcPr>
          <w:p>
            <w:pPr>
              <w:keepNext w:val="0"/>
              <w:keepLines w:val="0"/>
              <w:pageBreakBefore w:val="0"/>
              <w:widowControl w:val="0"/>
              <w:kinsoku/>
              <w:wordWrap/>
              <w:overflowPunct/>
              <w:topLinePunct w:val="0"/>
              <w:autoSpaceDE/>
              <w:autoSpaceDN/>
              <w:bidi w:val="0"/>
              <w:adjustRightInd/>
              <w:snapToGrid/>
              <w:spacing w:after="0" w:line="42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7" w:type="pct"/>
            <w:noWrap w:val="0"/>
            <w:vAlign w:val="top"/>
          </w:tcPr>
          <w:p>
            <w:pPr>
              <w:keepNext w:val="0"/>
              <w:keepLines w:val="0"/>
              <w:pageBreakBefore w:val="0"/>
              <w:widowControl w:val="0"/>
              <w:kinsoku/>
              <w:wordWrap/>
              <w:overflowPunct/>
              <w:topLinePunct w:val="0"/>
              <w:autoSpaceDE/>
              <w:autoSpaceDN/>
              <w:bidi w:val="0"/>
              <w:adjustRightInd/>
              <w:snapToGrid/>
              <w:spacing w:after="0" w:line="42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公司股东（大）会、董事会、监事会、总经理办公会议事规则</w:t>
            </w:r>
          </w:p>
        </w:tc>
        <w:tc>
          <w:tcPr>
            <w:tcW w:w="1812" w:type="pct"/>
            <w:noWrap w:val="0"/>
            <w:vAlign w:val="top"/>
          </w:tcPr>
          <w:p>
            <w:pPr>
              <w:keepNext w:val="0"/>
              <w:keepLines w:val="0"/>
              <w:pageBreakBefore w:val="0"/>
              <w:widowControl w:val="0"/>
              <w:kinsoku/>
              <w:wordWrap/>
              <w:overflowPunct/>
              <w:topLinePunct w:val="0"/>
              <w:autoSpaceDE/>
              <w:autoSpaceDN/>
              <w:bidi w:val="0"/>
              <w:adjustRightInd/>
              <w:snapToGrid/>
              <w:spacing w:after="0" w:line="420" w:lineRule="exact"/>
              <w:ind w:firstLine="522" w:firstLineChars="200"/>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p>
            <w:pPr>
              <w:keepNext w:val="0"/>
              <w:keepLines w:val="0"/>
              <w:pageBreakBefore w:val="0"/>
              <w:widowControl w:val="0"/>
              <w:kinsoku/>
              <w:wordWrap/>
              <w:overflowPunct/>
              <w:topLinePunct w:val="0"/>
              <w:autoSpaceDE/>
              <w:autoSpaceDN/>
              <w:bidi w:val="0"/>
              <w:adjustRightInd/>
              <w:snapToGrid/>
              <w:spacing w:after="0" w:line="420" w:lineRule="exact"/>
              <w:ind w:firstLine="522" w:firstLineChars="200"/>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工商查询章程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3187" w:type="pct"/>
            <w:noWrap w:val="0"/>
            <w:vAlign w:val="top"/>
          </w:tcPr>
          <w:p>
            <w:pPr>
              <w:keepNext w:val="0"/>
              <w:keepLines w:val="0"/>
              <w:pageBreakBefore w:val="0"/>
              <w:widowControl w:val="0"/>
              <w:kinsoku/>
              <w:wordWrap/>
              <w:overflowPunct/>
              <w:topLinePunct w:val="0"/>
              <w:autoSpaceDE/>
              <w:autoSpaceDN/>
              <w:bidi w:val="0"/>
              <w:adjustRightInd/>
              <w:snapToGrid/>
              <w:spacing w:after="0" w:line="42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公司内部组织架构图</w:t>
            </w:r>
          </w:p>
        </w:tc>
        <w:tc>
          <w:tcPr>
            <w:tcW w:w="1812" w:type="pct"/>
            <w:noWrap w:val="0"/>
            <w:vAlign w:val="center"/>
          </w:tcPr>
          <w:p>
            <w:pPr>
              <w:keepNext w:val="0"/>
              <w:keepLines w:val="0"/>
              <w:pageBreakBefore w:val="0"/>
              <w:widowControl w:val="0"/>
              <w:kinsoku/>
              <w:wordWrap/>
              <w:overflowPunct/>
              <w:topLinePunct w:val="0"/>
              <w:autoSpaceDE/>
              <w:autoSpaceDN/>
              <w:bidi w:val="0"/>
              <w:adjustRightInd/>
              <w:snapToGrid/>
              <w:spacing w:after="0" w:line="42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3187" w:type="pct"/>
            <w:noWrap w:val="0"/>
            <w:vAlign w:val="top"/>
          </w:tcPr>
          <w:p>
            <w:pPr>
              <w:keepNext w:val="0"/>
              <w:keepLines w:val="0"/>
              <w:pageBreakBefore w:val="0"/>
              <w:widowControl w:val="0"/>
              <w:kinsoku/>
              <w:wordWrap/>
              <w:overflowPunct/>
              <w:topLinePunct w:val="0"/>
              <w:autoSpaceDE/>
              <w:autoSpaceDN/>
              <w:bidi w:val="0"/>
              <w:adjustRightInd/>
              <w:snapToGrid/>
              <w:spacing w:after="0" w:line="42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公司主要内部规章制度</w:t>
            </w:r>
          </w:p>
        </w:tc>
        <w:tc>
          <w:tcPr>
            <w:tcW w:w="1812" w:type="pct"/>
            <w:noWrap w:val="0"/>
            <w:vAlign w:val="center"/>
          </w:tcPr>
          <w:p>
            <w:pPr>
              <w:keepNext w:val="0"/>
              <w:keepLines w:val="0"/>
              <w:pageBreakBefore w:val="0"/>
              <w:widowControl w:val="0"/>
              <w:kinsoku/>
              <w:wordWrap/>
              <w:overflowPunct/>
              <w:topLinePunct w:val="0"/>
              <w:autoSpaceDE/>
              <w:autoSpaceDN/>
              <w:bidi w:val="0"/>
              <w:adjustRightInd/>
              <w:snapToGrid/>
              <w:spacing w:after="0" w:line="42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7" w:type="pct"/>
            <w:noWrap w:val="0"/>
            <w:vAlign w:val="top"/>
          </w:tcPr>
          <w:p>
            <w:pPr>
              <w:keepNext w:val="0"/>
              <w:keepLines w:val="0"/>
              <w:pageBreakBefore w:val="0"/>
              <w:widowControl w:val="0"/>
              <w:kinsoku/>
              <w:wordWrap/>
              <w:overflowPunct/>
              <w:topLinePunct w:val="0"/>
              <w:autoSpaceDE/>
              <w:autoSpaceDN/>
              <w:bidi w:val="0"/>
              <w:adjustRightInd/>
              <w:snapToGrid/>
              <w:spacing w:after="0" w:line="42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公司近三年来重大事项的董事会、总经理办公会决议或会议纪要、记录</w:t>
            </w:r>
          </w:p>
        </w:tc>
        <w:tc>
          <w:tcPr>
            <w:tcW w:w="1812" w:type="pct"/>
            <w:noWrap w:val="0"/>
            <w:vAlign w:val="center"/>
          </w:tcPr>
          <w:p>
            <w:pPr>
              <w:keepNext w:val="0"/>
              <w:keepLines w:val="0"/>
              <w:pageBreakBefore w:val="0"/>
              <w:widowControl w:val="0"/>
              <w:kinsoku/>
              <w:wordWrap/>
              <w:overflowPunct/>
              <w:topLinePunct w:val="0"/>
              <w:autoSpaceDE/>
              <w:autoSpaceDN/>
              <w:bidi w:val="0"/>
              <w:adjustRightInd/>
              <w:snapToGrid/>
              <w:spacing w:after="0" w:line="42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7" w:type="pct"/>
            <w:noWrap w:val="0"/>
            <w:vAlign w:val="top"/>
          </w:tcPr>
          <w:p>
            <w:pPr>
              <w:keepNext w:val="0"/>
              <w:keepLines w:val="0"/>
              <w:pageBreakBefore w:val="0"/>
              <w:widowControl w:val="0"/>
              <w:kinsoku/>
              <w:wordWrap/>
              <w:overflowPunct/>
              <w:topLinePunct w:val="0"/>
              <w:autoSpaceDE/>
              <w:autoSpaceDN/>
              <w:bidi w:val="0"/>
              <w:adjustRightInd/>
              <w:snapToGrid/>
              <w:spacing w:after="0" w:line="42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企业董事会、监事会、高管人员所投资或者参与的其他企业或所从事的其他事业的说明</w:t>
            </w:r>
          </w:p>
        </w:tc>
        <w:tc>
          <w:tcPr>
            <w:tcW w:w="1812" w:type="pct"/>
            <w:noWrap w:val="0"/>
            <w:vAlign w:val="center"/>
          </w:tcPr>
          <w:p>
            <w:pPr>
              <w:keepNext w:val="0"/>
              <w:keepLines w:val="0"/>
              <w:pageBreakBefore w:val="0"/>
              <w:widowControl w:val="0"/>
              <w:kinsoku/>
              <w:wordWrap/>
              <w:overflowPunct/>
              <w:topLinePunct w:val="0"/>
              <w:autoSpaceDE/>
              <w:autoSpaceDN/>
              <w:bidi w:val="0"/>
              <w:adjustRightInd/>
              <w:snapToGrid/>
              <w:spacing w:after="0" w:line="42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被调查人陈述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7" w:type="pct"/>
            <w:noWrap w:val="0"/>
            <w:vAlign w:val="top"/>
          </w:tcPr>
          <w:p>
            <w:pPr>
              <w:keepNext w:val="0"/>
              <w:keepLines w:val="0"/>
              <w:pageBreakBefore w:val="0"/>
              <w:widowControl w:val="0"/>
              <w:kinsoku/>
              <w:wordWrap/>
              <w:overflowPunct/>
              <w:topLinePunct w:val="0"/>
              <w:autoSpaceDE/>
              <w:autoSpaceDN/>
              <w:bidi w:val="0"/>
              <w:adjustRightInd/>
              <w:snapToGrid/>
              <w:spacing w:after="0" w:line="42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企业与董事会、监事会及高管人员之间的债权债务清单，债权债务形成的合同</w:t>
            </w:r>
          </w:p>
        </w:tc>
        <w:tc>
          <w:tcPr>
            <w:tcW w:w="1812" w:type="pct"/>
            <w:noWrap w:val="0"/>
            <w:vAlign w:val="center"/>
          </w:tcPr>
          <w:p>
            <w:pPr>
              <w:keepNext w:val="0"/>
              <w:keepLines w:val="0"/>
              <w:pageBreakBefore w:val="0"/>
              <w:widowControl w:val="0"/>
              <w:kinsoku/>
              <w:wordWrap/>
              <w:overflowPunct/>
              <w:topLinePunct w:val="0"/>
              <w:autoSpaceDE/>
              <w:autoSpaceDN/>
              <w:bidi w:val="0"/>
              <w:adjustRightInd/>
              <w:snapToGrid/>
              <w:spacing w:after="0" w:line="42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trPr>
        <w:tc>
          <w:tcPr>
            <w:tcW w:w="3187" w:type="pct"/>
            <w:noWrap w:val="0"/>
            <w:vAlign w:val="top"/>
          </w:tcPr>
          <w:p>
            <w:pPr>
              <w:keepNext w:val="0"/>
              <w:keepLines w:val="0"/>
              <w:pageBreakBefore w:val="0"/>
              <w:widowControl w:val="0"/>
              <w:kinsoku/>
              <w:wordWrap/>
              <w:overflowPunct/>
              <w:topLinePunct w:val="0"/>
              <w:autoSpaceDE/>
              <w:autoSpaceDN/>
              <w:bidi w:val="0"/>
              <w:adjustRightInd/>
              <w:snapToGrid/>
              <w:spacing w:after="0" w:line="42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过去三年中企业与董事会、监事会及高管人员之间的交易往来记录以及相关合同</w:t>
            </w:r>
          </w:p>
        </w:tc>
        <w:tc>
          <w:tcPr>
            <w:tcW w:w="1812" w:type="pct"/>
            <w:noWrap w:val="0"/>
            <w:vAlign w:val="top"/>
          </w:tcPr>
          <w:p>
            <w:pPr>
              <w:keepNext w:val="0"/>
              <w:keepLines w:val="0"/>
              <w:pageBreakBefore w:val="0"/>
              <w:widowControl w:val="0"/>
              <w:kinsoku/>
              <w:wordWrap/>
              <w:overflowPunct/>
              <w:topLinePunct w:val="0"/>
              <w:autoSpaceDE/>
              <w:autoSpaceDN/>
              <w:bidi w:val="0"/>
              <w:adjustRightInd/>
              <w:snapToGrid/>
              <w:spacing w:after="0" w:line="420" w:lineRule="exact"/>
              <w:ind w:firstLine="522" w:firstLineChars="200"/>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p>
            <w:pPr>
              <w:keepNext w:val="0"/>
              <w:keepLines w:val="0"/>
              <w:pageBreakBefore w:val="0"/>
              <w:widowControl w:val="0"/>
              <w:kinsoku/>
              <w:wordWrap/>
              <w:overflowPunct/>
              <w:topLinePunct w:val="0"/>
              <w:autoSpaceDE/>
              <w:autoSpaceDN/>
              <w:bidi w:val="0"/>
              <w:adjustRightInd/>
              <w:snapToGrid/>
              <w:spacing w:after="0" w:line="420" w:lineRule="exact"/>
              <w:ind w:firstLine="522" w:firstLineChars="200"/>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被调查人陈述</w:t>
            </w:r>
          </w:p>
        </w:tc>
      </w:tr>
    </w:tbl>
    <w:p>
      <w:pPr>
        <w:keepNext w:val="0"/>
        <w:keepLines w:val="0"/>
        <w:pageBreakBefore w:val="0"/>
        <w:widowControl w:val="0"/>
        <w:wordWrap/>
        <w:bidi w:val="0"/>
        <w:spacing w:after="0" w:line="500" w:lineRule="exact"/>
        <w:ind w:firstLine="522" w:firstLineChars="200"/>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说明：本部分调查材料需特别注意被调查人陈述的来源，注意被调查人陈述内容与其他客观证据的互相印证，特别注意被调查人身份，尽量选择股东（实际控制人）本人了解情况。</w:t>
      </w:r>
    </w:p>
    <w:p>
      <w:pPr>
        <w:keepNext w:val="0"/>
        <w:keepLines w:val="0"/>
        <w:pageBreakBefore w:val="0"/>
        <w:widowControl w:val="0"/>
        <w:wordWrap/>
        <w:bidi w:val="0"/>
        <w:spacing w:before="227" w:beforeLines="50" w:after="227" w:afterLines="50" w:line="500" w:lineRule="exact"/>
        <w:ind w:firstLine="522" w:firstLineChars="200"/>
        <w:textAlignment w:val="baseline"/>
        <w:outlineLvl w:val="0"/>
        <w:rPr>
          <w:rFonts w:hint="eastAsia" w:ascii="楷体" w:hAnsi="楷体" w:eastAsia="楷体" w:cs="楷体"/>
          <w:b/>
          <w:color w:val="000000"/>
          <w:sz w:val="28"/>
          <w:szCs w:val="28"/>
        </w:rPr>
      </w:pPr>
      <w:r>
        <w:rPr>
          <w:rFonts w:hint="eastAsia" w:ascii="楷体" w:hAnsi="楷体" w:eastAsia="楷体" w:cs="楷体"/>
          <w:b/>
          <w:color w:val="000000"/>
          <w:sz w:val="28"/>
          <w:szCs w:val="28"/>
        </w:rPr>
        <w:br w:type="page"/>
      </w:r>
      <w:bookmarkStart w:id="163" w:name="_Toc7960"/>
      <w:r>
        <w:rPr>
          <w:rFonts w:hint="eastAsia" w:ascii="楷体" w:hAnsi="楷体" w:eastAsia="楷体" w:cs="楷体"/>
          <w:b/>
          <w:color w:val="000000"/>
          <w:sz w:val="28"/>
          <w:szCs w:val="28"/>
        </w:rPr>
        <w:t>附表4：诉讼、仲裁、行政处罚调查所需调查材料以及材料来源表</w:t>
      </w:r>
      <w:bookmarkEnd w:id="163"/>
    </w:p>
    <w:tbl>
      <w:tblPr>
        <w:tblStyle w:val="1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3"/>
        <w:gridCol w:w="2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7" w:type="pct"/>
            <w:noWrap w:val="0"/>
            <w:vAlign w:val="top"/>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材料</w:t>
            </w:r>
          </w:p>
        </w:tc>
        <w:tc>
          <w:tcPr>
            <w:tcW w:w="1912" w:type="pct"/>
            <w:noWrap w:val="0"/>
            <w:vAlign w:val="top"/>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7"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企业所有未决诉讼、仲裁的相关法律文件以及目前进展情况说明</w:t>
            </w:r>
          </w:p>
        </w:tc>
        <w:tc>
          <w:tcPr>
            <w:tcW w:w="1912" w:type="pct"/>
            <w:noWrap w:val="0"/>
            <w:vAlign w:val="center"/>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被调查人提供、核实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7"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主要股东、董事、监事、高管所有未决诉讼、仲裁的相关法律文件以及目前进展情况说明</w:t>
            </w:r>
          </w:p>
        </w:tc>
        <w:tc>
          <w:tcPr>
            <w:tcW w:w="1912" w:type="pct"/>
            <w:noWrap w:val="0"/>
            <w:vAlign w:val="center"/>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被调查人提供、核实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7"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过去三年行政处罚决定书以及执行情况说明</w:t>
            </w:r>
          </w:p>
        </w:tc>
        <w:tc>
          <w:tcPr>
            <w:tcW w:w="1912" w:type="pct"/>
            <w:noWrap w:val="0"/>
            <w:vAlign w:val="center"/>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被调查人提供、陈述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7"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企业过去三年侵权行为情况说明以及相关法律文件</w:t>
            </w:r>
          </w:p>
        </w:tc>
        <w:tc>
          <w:tcPr>
            <w:tcW w:w="1912" w:type="pct"/>
            <w:noWrap w:val="0"/>
            <w:vAlign w:val="center"/>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被调查人提供、陈述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3087"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企业潜在纠纷事项说明</w:t>
            </w:r>
          </w:p>
        </w:tc>
        <w:tc>
          <w:tcPr>
            <w:tcW w:w="1912" w:type="pct"/>
            <w:noWrap w:val="0"/>
            <w:vAlign w:val="center"/>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被调查人陈述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3087"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企业潜在行政处罚事项说明</w:t>
            </w:r>
          </w:p>
        </w:tc>
        <w:tc>
          <w:tcPr>
            <w:tcW w:w="1912" w:type="pct"/>
            <w:noWrap w:val="0"/>
            <w:vAlign w:val="center"/>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被调查人陈述</w:t>
            </w:r>
          </w:p>
        </w:tc>
      </w:tr>
    </w:tbl>
    <w:p>
      <w:pPr>
        <w:keepNext w:val="0"/>
        <w:keepLines w:val="0"/>
        <w:pageBreakBefore w:val="0"/>
        <w:widowControl w:val="0"/>
        <w:wordWrap/>
        <w:bidi w:val="0"/>
        <w:spacing w:before="227" w:beforeLines="50" w:after="227" w:afterLines="50" w:line="500" w:lineRule="exact"/>
        <w:textAlignment w:val="baseline"/>
        <w:rPr>
          <w:rFonts w:ascii="仿宋_GB2312" w:eastAsia="仿宋_GB2312"/>
          <w:color w:val="000000"/>
          <w:sz w:val="28"/>
          <w:szCs w:val="28"/>
        </w:rPr>
      </w:pPr>
    </w:p>
    <w:p>
      <w:pPr>
        <w:keepNext w:val="0"/>
        <w:keepLines w:val="0"/>
        <w:pageBreakBefore w:val="0"/>
        <w:widowControl w:val="0"/>
        <w:wordWrap/>
        <w:bidi w:val="0"/>
        <w:spacing w:before="227" w:beforeLines="50" w:after="227" w:afterLines="50" w:line="500" w:lineRule="exact"/>
        <w:jc w:val="center"/>
        <w:textAlignment w:val="baseline"/>
        <w:outlineLvl w:val="0"/>
        <w:rPr>
          <w:rFonts w:hint="eastAsia" w:ascii="楷体" w:hAnsi="楷体" w:eastAsia="楷体" w:cs="楷体"/>
          <w:b/>
          <w:color w:val="000000"/>
          <w:sz w:val="28"/>
          <w:szCs w:val="28"/>
        </w:rPr>
      </w:pPr>
      <w:r>
        <w:rPr>
          <w:rFonts w:ascii="仿宋_GB2312" w:eastAsia="仿宋_GB2312"/>
          <w:color w:val="000000"/>
          <w:sz w:val="28"/>
          <w:szCs w:val="28"/>
        </w:rPr>
        <w:br w:type="page"/>
      </w:r>
      <w:bookmarkStart w:id="164" w:name="_Toc25413"/>
      <w:r>
        <w:rPr>
          <w:rFonts w:hint="eastAsia" w:ascii="楷体" w:hAnsi="楷体" w:eastAsia="楷体" w:cs="楷体"/>
          <w:b/>
          <w:color w:val="000000"/>
          <w:sz w:val="28"/>
          <w:szCs w:val="28"/>
        </w:rPr>
        <w:t>附表5：对主要资产调查所需调查材料以及材料来源表</w:t>
      </w:r>
      <w:bookmarkEnd w:id="164"/>
    </w:p>
    <w:tbl>
      <w:tblPr>
        <w:tblStyle w:val="1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13"/>
        <w:gridCol w:w="3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843" w:type="pct"/>
            <w:noWrap w:val="0"/>
            <w:vAlign w:val="top"/>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材料</w:t>
            </w:r>
          </w:p>
        </w:tc>
        <w:tc>
          <w:tcPr>
            <w:tcW w:w="2156" w:type="pct"/>
            <w:noWrap w:val="0"/>
            <w:vAlign w:val="top"/>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3"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企业不动产权证；或土地使用权证、房屋所有权证</w:t>
            </w:r>
          </w:p>
        </w:tc>
        <w:tc>
          <w:tcPr>
            <w:tcW w:w="2156" w:type="pct"/>
            <w:noWrap w:val="0"/>
            <w:vAlign w:val="center"/>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被调查人提供、管理机关查询核实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trPr>
        <w:tc>
          <w:tcPr>
            <w:tcW w:w="2843"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土地使用权出让合同、房屋买卖合同、房屋预售合同等</w:t>
            </w:r>
          </w:p>
        </w:tc>
        <w:tc>
          <w:tcPr>
            <w:tcW w:w="2156" w:type="pct"/>
            <w:noWrap w:val="0"/>
            <w:vAlign w:val="center"/>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3"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房产土地抵押合同、他项权利证书</w:t>
            </w:r>
          </w:p>
        </w:tc>
        <w:tc>
          <w:tcPr>
            <w:tcW w:w="2156" w:type="pct"/>
            <w:noWrap w:val="0"/>
            <w:vAlign w:val="center"/>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3"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房产土地权利以及权利限制登记</w:t>
            </w:r>
          </w:p>
        </w:tc>
        <w:tc>
          <w:tcPr>
            <w:tcW w:w="2156" w:type="pct"/>
            <w:noWrap w:val="0"/>
            <w:vAlign w:val="center"/>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房产局调档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3"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企业账目的固定资产、无形资产清单</w:t>
            </w:r>
          </w:p>
        </w:tc>
        <w:tc>
          <w:tcPr>
            <w:tcW w:w="2156" w:type="pct"/>
            <w:noWrap w:val="0"/>
            <w:vAlign w:val="center"/>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3"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房屋代持有协议、房屋预转让协议</w:t>
            </w:r>
          </w:p>
        </w:tc>
        <w:tc>
          <w:tcPr>
            <w:tcW w:w="2156" w:type="pct"/>
            <w:noWrap w:val="0"/>
            <w:vAlign w:val="center"/>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3"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房屋土地使用情况说明</w:t>
            </w:r>
          </w:p>
        </w:tc>
        <w:tc>
          <w:tcPr>
            <w:tcW w:w="2156" w:type="pct"/>
            <w:noWrap w:val="0"/>
            <w:vAlign w:val="center"/>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现场调查、被调查人陈述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3"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房屋土地产证瑕疵情况说明</w:t>
            </w:r>
          </w:p>
        </w:tc>
        <w:tc>
          <w:tcPr>
            <w:tcW w:w="2156" w:type="pct"/>
            <w:noWrap w:val="0"/>
            <w:vAlign w:val="center"/>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被调查人陈述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3"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房屋土地账实不符情况说明</w:t>
            </w:r>
          </w:p>
        </w:tc>
        <w:tc>
          <w:tcPr>
            <w:tcW w:w="2156" w:type="pct"/>
            <w:noWrap w:val="0"/>
            <w:vAlign w:val="center"/>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被调查人陈述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3"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房屋出租合同、租赁合同</w:t>
            </w:r>
          </w:p>
        </w:tc>
        <w:tc>
          <w:tcPr>
            <w:tcW w:w="2156" w:type="pct"/>
            <w:noWrap w:val="0"/>
            <w:vAlign w:val="center"/>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3"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房屋出租登记、租赁登记</w:t>
            </w:r>
          </w:p>
        </w:tc>
        <w:tc>
          <w:tcPr>
            <w:tcW w:w="2156" w:type="pct"/>
            <w:noWrap w:val="0"/>
            <w:vAlign w:val="center"/>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房产局调档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843"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租赁房屋房地产权证及房地产登记</w:t>
            </w:r>
          </w:p>
        </w:tc>
        <w:tc>
          <w:tcPr>
            <w:tcW w:w="2156" w:type="pct"/>
            <w:noWrap w:val="0"/>
            <w:vAlign w:val="center"/>
          </w:tcPr>
          <w:p>
            <w:pPr>
              <w:keepNext w:val="0"/>
              <w:keepLines w:val="0"/>
              <w:pageBreakBefore w:val="0"/>
              <w:widowControl w:val="0"/>
              <w:wordWrap/>
              <w:bidi w:val="0"/>
              <w:spacing w:after="0" w:line="500" w:lineRule="exact"/>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被调查人提供、房产局调档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3"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出租、租赁房屋实际使用情况说明</w:t>
            </w:r>
          </w:p>
        </w:tc>
        <w:tc>
          <w:tcPr>
            <w:tcW w:w="2156" w:type="pct"/>
            <w:noWrap w:val="0"/>
            <w:vAlign w:val="center"/>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现场调查、被调查人陈述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3"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车辆购置合同及发票</w:t>
            </w:r>
          </w:p>
        </w:tc>
        <w:tc>
          <w:tcPr>
            <w:tcW w:w="2156" w:type="pct"/>
            <w:noWrap w:val="0"/>
            <w:vAlign w:val="center"/>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3"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车辆清单及车辆行驶证</w:t>
            </w:r>
          </w:p>
        </w:tc>
        <w:tc>
          <w:tcPr>
            <w:tcW w:w="2156" w:type="pct"/>
            <w:noWrap w:val="0"/>
            <w:vAlign w:val="center"/>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3"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车辆登记情况</w:t>
            </w:r>
          </w:p>
        </w:tc>
        <w:tc>
          <w:tcPr>
            <w:tcW w:w="2156" w:type="pct"/>
            <w:noWrap w:val="0"/>
            <w:vAlign w:val="center"/>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车管所调档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3"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车辆使用情况说明</w:t>
            </w:r>
          </w:p>
        </w:tc>
        <w:tc>
          <w:tcPr>
            <w:tcW w:w="2156" w:type="pct"/>
            <w:noWrap w:val="0"/>
            <w:vAlign w:val="center"/>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被调查人陈述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3"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车辆抵押、预转让等事项的法律文件</w:t>
            </w:r>
          </w:p>
        </w:tc>
        <w:tc>
          <w:tcPr>
            <w:tcW w:w="2156" w:type="pct"/>
            <w:noWrap w:val="0"/>
            <w:vAlign w:val="center"/>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3"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车辆账实不符、私车公用、公车私用等情况说明</w:t>
            </w:r>
          </w:p>
        </w:tc>
        <w:tc>
          <w:tcPr>
            <w:tcW w:w="2156" w:type="pct"/>
            <w:noWrap w:val="0"/>
            <w:vAlign w:val="center"/>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被调查人陈述</w:t>
            </w:r>
          </w:p>
        </w:tc>
      </w:tr>
    </w:tbl>
    <w:p>
      <w:pPr>
        <w:keepNext w:val="0"/>
        <w:keepLines w:val="0"/>
        <w:pageBreakBefore w:val="0"/>
        <w:widowControl w:val="0"/>
        <w:kinsoku/>
        <w:wordWrap/>
        <w:overflowPunct/>
        <w:topLinePunct w:val="0"/>
        <w:autoSpaceDE/>
        <w:autoSpaceDN/>
        <w:bidi w:val="0"/>
        <w:adjustRightInd/>
        <w:snapToGrid/>
        <w:spacing w:line="500" w:lineRule="exact"/>
        <w:jc w:val="center"/>
        <w:textAlignment w:val="baseline"/>
        <w:outlineLvl w:val="0"/>
        <w:rPr>
          <w:rFonts w:hint="eastAsia" w:ascii="楷体" w:hAnsi="楷体" w:eastAsia="楷体" w:cs="楷体"/>
          <w:b/>
          <w:color w:val="000000"/>
          <w:sz w:val="28"/>
          <w:szCs w:val="28"/>
        </w:rPr>
      </w:pPr>
      <w:r>
        <w:rPr>
          <w:rFonts w:hint="eastAsia" w:ascii="仿宋" w:hAnsi="仿宋" w:eastAsia="仿宋" w:cs="仿宋"/>
          <w:color w:val="000000"/>
          <w:sz w:val="28"/>
          <w:szCs w:val="28"/>
        </w:rPr>
        <w:br w:type="page"/>
      </w:r>
      <w:bookmarkStart w:id="165" w:name="_Toc30111"/>
      <w:r>
        <w:rPr>
          <w:rFonts w:hint="eastAsia" w:ascii="楷体" w:hAnsi="楷体" w:eastAsia="楷体" w:cs="楷体"/>
          <w:b/>
          <w:color w:val="000000"/>
          <w:sz w:val="28"/>
          <w:szCs w:val="28"/>
        </w:rPr>
        <w:t>附表6：对知识产权和无形资产的调查所需调查材料</w:t>
      </w:r>
      <w:bookmarkEnd w:id="165"/>
    </w:p>
    <w:p>
      <w:pPr>
        <w:keepNext w:val="0"/>
        <w:keepLines w:val="0"/>
        <w:pageBreakBefore w:val="0"/>
        <w:widowControl w:val="0"/>
        <w:kinsoku/>
        <w:wordWrap/>
        <w:overflowPunct/>
        <w:topLinePunct w:val="0"/>
        <w:autoSpaceDE/>
        <w:autoSpaceDN/>
        <w:bidi w:val="0"/>
        <w:adjustRightInd/>
        <w:snapToGrid/>
        <w:spacing w:line="500" w:lineRule="exact"/>
        <w:jc w:val="center"/>
        <w:textAlignment w:val="baseline"/>
        <w:rPr>
          <w:rFonts w:hint="eastAsia" w:ascii="楷体" w:hAnsi="楷体" w:eastAsia="楷体" w:cs="楷体"/>
          <w:b/>
          <w:color w:val="000000"/>
          <w:sz w:val="28"/>
          <w:szCs w:val="28"/>
        </w:rPr>
      </w:pPr>
      <w:r>
        <w:rPr>
          <w:rFonts w:hint="eastAsia" w:ascii="楷体" w:hAnsi="楷体" w:eastAsia="楷体" w:cs="楷体"/>
          <w:b/>
          <w:color w:val="000000"/>
          <w:sz w:val="28"/>
          <w:szCs w:val="28"/>
        </w:rPr>
        <w:t>以及材料来源表</w:t>
      </w:r>
    </w:p>
    <w:tbl>
      <w:tblPr>
        <w:tblStyle w:val="1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60"/>
        <w:gridCol w:w="2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2" w:type="pct"/>
            <w:noWrap w:val="0"/>
            <w:vAlign w:val="top"/>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材料</w:t>
            </w:r>
          </w:p>
        </w:tc>
        <w:tc>
          <w:tcPr>
            <w:tcW w:w="1927" w:type="pct"/>
            <w:noWrap w:val="0"/>
            <w:vAlign w:val="top"/>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2"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商标权、版权、专利权证书以及申请文件等</w:t>
            </w:r>
          </w:p>
        </w:tc>
        <w:tc>
          <w:tcPr>
            <w:tcW w:w="1927" w:type="pct"/>
            <w:noWrap w:val="0"/>
            <w:vAlign w:val="top"/>
          </w:tcPr>
          <w:p>
            <w:pPr>
              <w:keepNext w:val="0"/>
              <w:keepLines w:val="0"/>
              <w:pageBreakBefore w:val="0"/>
              <w:widowControl w:val="0"/>
              <w:wordWrap/>
              <w:bidi w:val="0"/>
              <w:spacing w:after="0" w:line="500" w:lineRule="exact"/>
              <w:ind w:firstLine="522" w:firstLineChars="200"/>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p>
            <w:pPr>
              <w:keepNext w:val="0"/>
              <w:keepLines w:val="0"/>
              <w:pageBreakBefore w:val="0"/>
              <w:widowControl w:val="0"/>
              <w:wordWrap/>
              <w:bidi w:val="0"/>
              <w:spacing w:after="0" w:line="500" w:lineRule="exact"/>
              <w:ind w:firstLine="522" w:firstLineChars="200"/>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管理部门调档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2"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商标权、版权、专利权的质押、查封等法律文件</w:t>
            </w:r>
          </w:p>
        </w:tc>
        <w:tc>
          <w:tcPr>
            <w:tcW w:w="1927" w:type="pct"/>
            <w:noWrap w:val="0"/>
            <w:vAlign w:val="top"/>
          </w:tcPr>
          <w:p>
            <w:pPr>
              <w:keepNext w:val="0"/>
              <w:keepLines w:val="0"/>
              <w:pageBreakBefore w:val="0"/>
              <w:widowControl w:val="0"/>
              <w:wordWrap/>
              <w:bidi w:val="0"/>
              <w:spacing w:after="0" w:line="500" w:lineRule="exact"/>
              <w:ind w:firstLine="522" w:firstLineChars="200"/>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p>
            <w:pPr>
              <w:keepNext w:val="0"/>
              <w:keepLines w:val="0"/>
              <w:pageBreakBefore w:val="0"/>
              <w:widowControl w:val="0"/>
              <w:wordWrap/>
              <w:bidi w:val="0"/>
              <w:spacing w:after="0" w:line="500" w:lineRule="exact"/>
              <w:ind w:firstLine="522" w:firstLineChars="200"/>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管理部门调档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072"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商标权、版权、专利权等授权使用合同</w:t>
            </w:r>
          </w:p>
        </w:tc>
        <w:tc>
          <w:tcPr>
            <w:tcW w:w="1927" w:type="pct"/>
            <w:noWrap w:val="0"/>
            <w:vAlign w:val="top"/>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2"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非专利技术、特许经营权、行政许可权等其他无形资产的情况说明以及权属文件</w:t>
            </w:r>
          </w:p>
        </w:tc>
        <w:tc>
          <w:tcPr>
            <w:tcW w:w="1927" w:type="pct"/>
            <w:noWrap w:val="0"/>
            <w:vAlign w:val="center"/>
          </w:tcPr>
          <w:p>
            <w:pPr>
              <w:keepNext w:val="0"/>
              <w:keepLines w:val="0"/>
              <w:pageBreakBefore w:val="0"/>
              <w:widowControl w:val="0"/>
              <w:wordWrap/>
              <w:bidi w:val="0"/>
              <w:spacing w:after="0" w:line="500" w:lineRule="exact"/>
              <w:ind w:firstLine="522" w:firstLineChars="200"/>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p>
            <w:pPr>
              <w:keepNext w:val="0"/>
              <w:keepLines w:val="0"/>
              <w:pageBreakBefore w:val="0"/>
              <w:widowControl w:val="0"/>
              <w:wordWrap/>
              <w:bidi w:val="0"/>
              <w:spacing w:after="0" w:line="500" w:lineRule="exact"/>
              <w:ind w:firstLine="522" w:firstLineChars="200"/>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被调查人呢陈述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3072"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企业商业秘密保护制度以及运行情况</w:t>
            </w:r>
          </w:p>
        </w:tc>
        <w:tc>
          <w:tcPr>
            <w:tcW w:w="1927" w:type="pct"/>
            <w:noWrap w:val="0"/>
            <w:vAlign w:val="top"/>
          </w:tcPr>
          <w:p>
            <w:pPr>
              <w:keepNext w:val="0"/>
              <w:keepLines w:val="0"/>
              <w:pageBreakBefore w:val="0"/>
              <w:widowControl w:val="0"/>
              <w:wordWrap/>
              <w:bidi w:val="0"/>
              <w:spacing w:after="0" w:line="500" w:lineRule="exact"/>
              <w:ind w:firstLine="522" w:firstLineChars="200"/>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p>
            <w:pPr>
              <w:keepNext w:val="0"/>
              <w:keepLines w:val="0"/>
              <w:pageBreakBefore w:val="0"/>
              <w:widowControl w:val="0"/>
              <w:wordWrap/>
              <w:bidi w:val="0"/>
              <w:spacing w:after="0" w:line="500" w:lineRule="exact"/>
              <w:ind w:firstLine="522" w:firstLineChars="200"/>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现场调查</w:t>
            </w:r>
          </w:p>
        </w:tc>
      </w:tr>
    </w:tbl>
    <w:p>
      <w:pPr>
        <w:keepNext w:val="0"/>
        <w:keepLines w:val="0"/>
        <w:pageBreakBefore w:val="0"/>
        <w:widowControl w:val="0"/>
        <w:wordWrap/>
        <w:bidi w:val="0"/>
        <w:spacing w:after="0" w:line="500" w:lineRule="exact"/>
        <w:textAlignment w:val="baseline"/>
        <w:rPr>
          <w:rFonts w:hint="eastAsia" w:ascii="仿宋" w:hAnsi="仿宋" w:eastAsia="仿宋" w:cs="仿宋"/>
          <w:color w:val="000000"/>
          <w:sz w:val="28"/>
          <w:szCs w:val="28"/>
        </w:rPr>
      </w:pPr>
    </w:p>
    <w:p>
      <w:pPr>
        <w:keepNext w:val="0"/>
        <w:keepLines w:val="0"/>
        <w:pageBreakBefore w:val="0"/>
        <w:widowControl w:val="0"/>
        <w:wordWrap/>
        <w:bidi w:val="0"/>
        <w:spacing w:after="0" w:line="500" w:lineRule="exact"/>
        <w:textAlignment w:val="baseline"/>
        <w:rPr>
          <w:rFonts w:hint="eastAsia" w:ascii="仿宋" w:hAnsi="仿宋" w:eastAsia="仿宋" w:cs="仿宋"/>
          <w:color w:val="000000"/>
          <w:sz w:val="28"/>
          <w:szCs w:val="28"/>
        </w:rPr>
      </w:pPr>
    </w:p>
    <w:p>
      <w:pPr>
        <w:keepNext w:val="0"/>
        <w:keepLines w:val="0"/>
        <w:pageBreakBefore w:val="0"/>
        <w:widowControl w:val="0"/>
        <w:wordWrap/>
        <w:bidi w:val="0"/>
        <w:spacing w:after="227" w:afterLines="50" w:line="500" w:lineRule="exact"/>
        <w:jc w:val="center"/>
        <w:textAlignment w:val="baseline"/>
        <w:outlineLvl w:val="0"/>
        <w:rPr>
          <w:rFonts w:hint="eastAsia" w:ascii="楷体" w:hAnsi="楷体" w:eastAsia="楷体" w:cs="楷体"/>
          <w:b/>
          <w:color w:val="000000"/>
          <w:sz w:val="28"/>
          <w:szCs w:val="28"/>
        </w:rPr>
      </w:pPr>
      <w:r>
        <w:rPr>
          <w:rFonts w:hint="eastAsia" w:ascii="仿宋" w:hAnsi="仿宋" w:eastAsia="仿宋" w:cs="仿宋"/>
          <w:color w:val="000000"/>
          <w:sz w:val="28"/>
          <w:szCs w:val="28"/>
        </w:rPr>
        <w:br w:type="page"/>
      </w:r>
      <w:bookmarkStart w:id="166" w:name="_Toc17376"/>
      <w:r>
        <w:rPr>
          <w:rFonts w:hint="eastAsia" w:ascii="楷体" w:hAnsi="楷体" w:eastAsia="楷体" w:cs="楷体"/>
          <w:b/>
          <w:color w:val="000000"/>
          <w:sz w:val="28"/>
          <w:szCs w:val="28"/>
        </w:rPr>
        <w:t>附表7：对债务与担保的调查所需调查材料以及材料来源表</w:t>
      </w:r>
      <w:bookmarkEnd w:id="166"/>
    </w:p>
    <w:tbl>
      <w:tblPr>
        <w:tblStyle w:val="1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88"/>
        <w:gridCol w:w="2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2" w:type="pct"/>
            <w:noWrap w:val="0"/>
            <w:vAlign w:val="top"/>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材料</w:t>
            </w:r>
          </w:p>
        </w:tc>
        <w:tc>
          <w:tcPr>
            <w:tcW w:w="1777" w:type="pct"/>
            <w:noWrap w:val="0"/>
            <w:vAlign w:val="top"/>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2"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贷款合同、担保合同</w:t>
            </w:r>
          </w:p>
        </w:tc>
        <w:tc>
          <w:tcPr>
            <w:tcW w:w="1777" w:type="pct"/>
            <w:noWrap w:val="0"/>
            <w:vAlign w:val="top"/>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2"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企业基本信用信息报告</w:t>
            </w:r>
          </w:p>
        </w:tc>
        <w:tc>
          <w:tcPr>
            <w:tcW w:w="1777" w:type="pct"/>
            <w:noWrap w:val="0"/>
            <w:vAlign w:val="top"/>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银行调查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2" w:type="pct"/>
            <w:noWrap w:val="0"/>
            <w:vAlign w:val="center"/>
          </w:tcPr>
          <w:p>
            <w:pPr>
              <w:keepNext w:val="0"/>
              <w:keepLines w:val="0"/>
              <w:pageBreakBefore w:val="0"/>
              <w:widowControl w:val="0"/>
              <w:wordWrap/>
              <w:bidi w:val="0"/>
              <w:spacing w:after="0" w:line="500" w:lineRule="exact"/>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银行对账单</w:t>
            </w:r>
          </w:p>
        </w:tc>
        <w:tc>
          <w:tcPr>
            <w:tcW w:w="1777" w:type="pct"/>
            <w:noWrap w:val="0"/>
            <w:vAlign w:val="top"/>
          </w:tcPr>
          <w:p>
            <w:pPr>
              <w:keepNext w:val="0"/>
              <w:keepLines w:val="0"/>
              <w:pageBreakBefore w:val="0"/>
              <w:widowControl w:val="0"/>
              <w:wordWrap/>
              <w:bidi w:val="0"/>
              <w:spacing w:after="0" w:line="500" w:lineRule="exact"/>
              <w:ind w:firstLine="522" w:firstLineChars="200"/>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银行调查、会计师提供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2"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股东借款情况与借款合同</w:t>
            </w:r>
          </w:p>
        </w:tc>
        <w:tc>
          <w:tcPr>
            <w:tcW w:w="1777" w:type="pct"/>
            <w:noWrap w:val="0"/>
            <w:vAlign w:val="top"/>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被调查人提供、陈述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3222"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职工集资清单、决议、合同以及执行情况说明</w:t>
            </w:r>
          </w:p>
        </w:tc>
        <w:tc>
          <w:tcPr>
            <w:tcW w:w="1777" w:type="pct"/>
            <w:noWrap w:val="0"/>
            <w:vAlign w:val="center"/>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被调查人提供、陈述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2"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企业其他借款与对外担保合同</w:t>
            </w:r>
          </w:p>
        </w:tc>
        <w:tc>
          <w:tcPr>
            <w:tcW w:w="1777" w:type="pct"/>
            <w:noWrap w:val="0"/>
            <w:vAlign w:val="top"/>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2"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企业其他应收、应付明细表</w:t>
            </w:r>
          </w:p>
        </w:tc>
        <w:tc>
          <w:tcPr>
            <w:tcW w:w="1777" w:type="pct"/>
            <w:noWrap w:val="0"/>
            <w:vAlign w:val="top"/>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tc>
      </w:tr>
    </w:tbl>
    <w:p>
      <w:pPr>
        <w:keepNext w:val="0"/>
        <w:keepLines w:val="0"/>
        <w:pageBreakBefore w:val="0"/>
        <w:widowControl w:val="0"/>
        <w:wordWrap/>
        <w:bidi w:val="0"/>
        <w:spacing w:after="0" w:line="500" w:lineRule="exact"/>
        <w:textAlignment w:val="baseline"/>
        <w:rPr>
          <w:rFonts w:hint="eastAsia" w:ascii="仿宋" w:hAnsi="仿宋" w:eastAsia="仿宋" w:cs="仿宋"/>
          <w:color w:val="000000"/>
          <w:sz w:val="28"/>
          <w:szCs w:val="28"/>
        </w:rPr>
      </w:pPr>
    </w:p>
    <w:p>
      <w:pPr>
        <w:keepNext w:val="0"/>
        <w:keepLines w:val="0"/>
        <w:pageBreakBefore w:val="0"/>
        <w:widowControl w:val="0"/>
        <w:wordWrap/>
        <w:bidi w:val="0"/>
        <w:spacing w:after="0" w:line="500" w:lineRule="exact"/>
        <w:textAlignment w:val="baseline"/>
        <w:rPr>
          <w:rFonts w:hint="eastAsia" w:ascii="仿宋" w:hAnsi="仿宋" w:eastAsia="仿宋" w:cs="仿宋"/>
          <w:color w:val="000000"/>
          <w:sz w:val="28"/>
          <w:szCs w:val="28"/>
        </w:rPr>
      </w:pPr>
    </w:p>
    <w:p>
      <w:pPr>
        <w:keepNext w:val="0"/>
        <w:keepLines w:val="0"/>
        <w:pageBreakBefore w:val="0"/>
        <w:widowControl w:val="0"/>
        <w:wordWrap/>
        <w:bidi w:val="0"/>
        <w:spacing w:after="0" w:line="500" w:lineRule="exact"/>
        <w:textAlignment w:val="baseline"/>
        <w:rPr>
          <w:rFonts w:hint="eastAsia" w:ascii="仿宋" w:hAnsi="仿宋" w:eastAsia="仿宋" w:cs="仿宋"/>
          <w:color w:val="000000"/>
          <w:sz w:val="28"/>
          <w:szCs w:val="28"/>
        </w:rPr>
      </w:pPr>
    </w:p>
    <w:p>
      <w:pPr>
        <w:keepNext w:val="0"/>
        <w:keepLines w:val="0"/>
        <w:pageBreakBefore w:val="0"/>
        <w:widowControl w:val="0"/>
        <w:wordWrap/>
        <w:bidi w:val="0"/>
        <w:spacing w:after="227" w:afterLines="50" w:line="500" w:lineRule="exact"/>
        <w:jc w:val="center"/>
        <w:textAlignment w:val="baseline"/>
        <w:outlineLvl w:val="0"/>
        <w:rPr>
          <w:rFonts w:hint="eastAsia" w:ascii="楷体" w:hAnsi="楷体" w:eastAsia="楷体" w:cs="楷体"/>
          <w:b/>
          <w:color w:val="000000"/>
          <w:sz w:val="28"/>
          <w:szCs w:val="28"/>
        </w:rPr>
      </w:pPr>
      <w:r>
        <w:rPr>
          <w:rFonts w:hint="eastAsia" w:ascii="仿宋" w:hAnsi="仿宋" w:eastAsia="仿宋" w:cs="仿宋"/>
          <w:color w:val="000000"/>
          <w:sz w:val="28"/>
          <w:szCs w:val="28"/>
        </w:rPr>
        <w:br w:type="page"/>
      </w:r>
      <w:bookmarkStart w:id="167" w:name="_Toc9051"/>
      <w:r>
        <w:rPr>
          <w:rFonts w:hint="eastAsia" w:ascii="楷体" w:hAnsi="楷体" w:eastAsia="楷体" w:cs="楷体"/>
          <w:b/>
          <w:color w:val="000000"/>
          <w:sz w:val="28"/>
          <w:szCs w:val="28"/>
        </w:rPr>
        <w:t>附表8：对在建工程调查所需调查材料以及材料来源表</w:t>
      </w:r>
      <w:bookmarkEnd w:id="167"/>
    </w:p>
    <w:tbl>
      <w:tblPr>
        <w:tblStyle w:val="1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9"/>
        <w:gridCol w:w="2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0" w:type="pct"/>
            <w:noWrap w:val="0"/>
            <w:vAlign w:val="top"/>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材料</w:t>
            </w:r>
          </w:p>
        </w:tc>
        <w:tc>
          <w:tcPr>
            <w:tcW w:w="1539" w:type="pct"/>
            <w:noWrap w:val="0"/>
            <w:vAlign w:val="top"/>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0"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入园协议及类似与园区签订的开发协议</w:t>
            </w:r>
          </w:p>
        </w:tc>
        <w:tc>
          <w:tcPr>
            <w:tcW w:w="1539" w:type="pct"/>
            <w:noWrap w:val="0"/>
            <w:vAlign w:val="center"/>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0"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土地使用权出让合同及土地使用权证</w:t>
            </w:r>
          </w:p>
        </w:tc>
        <w:tc>
          <w:tcPr>
            <w:tcW w:w="1539" w:type="pct"/>
            <w:noWrap w:val="0"/>
            <w:vAlign w:val="center"/>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0"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建设规划要点批复及建设用地规划许可证</w:t>
            </w:r>
          </w:p>
        </w:tc>
        <w:tc>
          <w:tcPr>
            <w:tcW w:w="1539" w:type="pct"/>
            <w:noWrap w:val="0"/>
            <w:vAlign w:val="center"/>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0"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项目立项批复、项目环评批复</w:t>
            </w:r>
          </w:p>
        </w:tc>
        <w:tc>
          <w:tcPr>
            <w:tcW w:w="1539" w:type="pct"/>
            <w:noWrap w:val="0"/>
            <w:vAlign w:val="center"/>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0"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建筑工程规划许可证</w:t>
            </w:r>
          </w:p>
        </w:tc>
        <w:tc>
          <w:tcPr>
            <w:tcW w:w="1539" w:type="pct"/>
            <w:noWrap w:val="0"/>
            <w:vAlign w:val="center"/>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0"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勘察、设计、审价咨询、施工等招投标文件、合同及备案文件</w:t>
            </w:r>
          </w:p>
        </w:tc>
        <w:tc>
          <w:tcPr>
            <w:tcW w:w="1539" w:type="pct"/>
            <w:noWrap w:val="0"/>
            <w:vAlign w:val="center"/>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0"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招标代理合同</w:t>
            </w:r>
          </w:p>
        </w:tc>
        <w:tc>
          <w:tcPr>
            <w:tcW w:w="1539" w:type="pct"/>
            <w:noWrap w:val="0"/>
            <w:vAlign w:val="center"/>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0"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施工许可证</w:t>
            </w:r>
          </w:p>
        </w:tc>
        <w:tc>
          <w:tcPr>
            <w:tcW w:w="1539" w:type="pct"/>
            <w:noWrap w:val="0"/>
            <w:vAlign w:val="center"/>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0"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各专项验收报告及备案文件</w:t>
            </w:r>
          </w:p>
        </w:tc>
        <w:tc>
          <w:tcPr>
            <w:tcW w:w="1539" w:type="pct"/>
            <w:noWrap w:val="0"/>
            <w:vAlign w:val="center"/>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0"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建设项目融资文件</w:t>
            </w:r>
          </w:p>
        </w:tc>
        <w:tc>
          <w:tcPr>
            <w:tcW w:w="1539" w:type="pct"/>
            <w:noWrap w:val="0"/>
            <w:vAlign w:val="center"/>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0"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联合建设、联合开发合同及相关法律文件</w:t>
            </w:r>
          </w:p>
        </w:tc>
        <w:tc>
          <w:tcPr>
            <w:tcW w:w="1539" w:type="pct"/>
            <w:noWrap w:val="0"/>
            <w:vAlign w:val="center"/>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tc>
      </w:tr>
    </w:tbl>
    <w:p>
      <w:pPr>
        <w:keepNext w:val="0"/>
        <w:keepLines w:val="0"/>
        <w:pageBreakBefore w:val="0"/>
        <w:widowControl w:val="0"/>
        <w:wordWrap/>
        <w:bidi w:val="0"/>
        <w:spacing w:after="0" w:line="500" w:lineRule="exact"/>
        <w:ind w:firstLine="522" w:firstLineChars="200"/>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说明：本部分调查资料在可能的情况下尽量从建设管理部门（包括建委、规划局、房地管理局等）调取，无法调取的可要求由被调查人提供，但应将被调查人提供的文件在政务公开的网站上查询并进行相互印证。</w:t>
      </w:r>
    </w:p>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p>
    <w:p>
      <w:pPr>
        <w:keepNext w:val="0"/>
        <w:keepLines w:val="0"/>
        <w:pageBreakBefore w:val="0"/>
        <w:widowControl w:val="0"/>
        <w:wordWrap/>
        <w:bidi w:val="0"/>
        <w:spacing w:after="0" w:line="500" w:lineRule="exact"/>
        <w:textAlignment w:val="baseline"/>
        <w:rPr>
          <w:rFonts w:hint="eastAsia" w:ascii="仿宋" w:hAnsi="仿宋" w:eastAsia="仿宋" w:cs="仿宋"/>
          <w:color w:val="000000"/>
          <w:sz w:val="28"/>
          <w:szCs w:val="28"/>
        </w:rPr>
      </w:pPr>
    </w:p>
    <w:p>
      <w:pPr>
        <w:keepNext w:val="0"/>
        <w:keepLines w:val="0"/>
        <w:pageBreakBefore w:val="0"/>
        <w:widowControl w:val="0"/>
        <w:wordWrap/>
        <w:bidi w:val="0"/>
        <w:spacing w:after="227" w:afterLines="50" w:line="500" w:lineRule="exact"/>
        <w:jc w:val="center"/>
        <w:textAlignment w:val="baseline"/>
        <w:outlineLvl w:val="0"/>
        <w:rPr>
          <w:rFonts w:hint="eastAsia" w:ascii="楷体" w:hAnsi="楷体" w:eastAsia="楷体" w:cs="楷体"/>
          <w:b/>
          <w:color w:val="000000"/>
          <w:sz w:val="28"/>
          <w:szCs w:val="28"/>
        </w:rPr>
      </w:pPr>
      <w:r>
        <w:rPr>
          <w:rFonts w:hint="eastAsia" w:ascii="仿宋" w:hAnsi="仿宋" w:eastAsia="仿宋" w:cs="仿宋"/>
          <w:color w:val="000000"/>
          <w:sz w:val="28"/>
          <w:szCs w:val="28"/>
        </w:rPr>
        <w:br w:type="page"/>
      </w:r>
      <w:bookmarkStart w:id="168" w:name="_Toc22433"/>
      <w:r>
        <w:rPr>
          <w:rFonts w:hint="eastAsia" w:ascii="楷体" w:hAnsi="楷体" w:eastAsia="楷体" w:cs="楷体"/>
          <w:b/>
          <w:color w:val="000000"/>
          <w:sz w:val="28"/>
          <w:szCs w:val="28"/>
        </w:rPr>
        <w:t>附表9：对业务情况调查所需调查材料以及材料来源表</w:t>
      </w:r>
      <w:bookmarkEnd w:id="168"/>
    </w:p>
    <w:tbl>
      <w:tblPr>
        <w:tblStyle w:val="1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95"/>
        <w:gridCol w:w="2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2" w:type="pct"/>
            <w:noWrap w:val="0"/>
            <w:vAlign w:val="top"/>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材料</w:t>
            </w:r>
          </w:p>
        </w:tc>
        <w:tc>
          <w:tcPr>
            <w:tcW w:w="1377" w:type="pct"/>
            <w:noWrap w:val="0"/>
            <w:vAlign w:val="top"/>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2"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企业销售主要品种清单（包括供应商、业务员、年采购量）</w:t>
            </w:r>
          </w:p>
        </w:tc>
        <w:tc>
          <w:tcPr>
            <w:tcW w:w="1377" w:type="pct"/>
            <w:noWrap w:val="0"/>
            <w:vAlign w:val="center"/>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2"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企业各种不同类型主要供应商清单</w:t>
            </w:r>
          </w:p>
        </w:tc>
        <w:tc>
          <w:tcPr>
            <w:tcW w:w="1377" w:type="pct"/>
            <w:noWrap w:val="0"/>
            <w:vAlign w:val="center"/>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2"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企业主要供应商年度协议与单笔合同范本</w:t>
            </w:r>
          </w:p>
        </w:tc>
        <w:tc>
          <w:tcPr>
            <w:tcW w:w="1377" w:type="pct"/>
            <w:noWrap w:val="0"/>
            <w:vAlign w:val="center"/>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2"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企业与主要供应商之间单次采购各类单据一套</w:t>
            </w:r>
          </w:p>
        </w:tc>
        <w:tc>
          <w:tcPr>
            <w:tcW w:w="1377" w:type="pct"/>
            <w:noWrap w:val="0"/>
            <w:vAlign w:val="center"/>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2"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pacing w:val="-6"/>
                <w:sz w:val="28"/>
                <w:szCs w:val="28"/>
              </w:rPr>
              <w:t>企业与供应商之间的返利、推广等其他重要协议</w:t>
            </w:r>
          </w:p>
        </w:tc>
        <w:tc>
          <w:tcPr>
            <w:tcW w:w="1377" w:type="pct"/>
            <w:noWrap w:val="0"/>
            <w:vAlign w:val="center"/>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2"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企业主要应付账款清单</w:t>
            </w:r>
          </w:p>
        </w:tc>
        <w:tc>
          <w:tcPr>
            <w:tcW w:w="1377" w:type="pct"/>
            <w:noWrap w:val="0"/>
            <w:vAlign w:val="center"/>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2"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企业各种不同类型主要客户清单</w:t>
            </w:r>
          </w:p>
        </w:tc>
        <w:tc>
          <w:tcPr>
            <w:tcW w:w="1377" w:type="pct"/>
            <w:noWrap w:val="0"/>
            <w:vAlign w:val="center"/>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2"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企业主要客户年度协议与单笔合同范本</w:t>
            </w:r>
          </w:p>
        </w:tc>
        <w:tc>
          <w:tcPr>
            <w:tcW w:w="1377" w:type="pct"/>
            <w:noWrap w:val="0"/>
            <w:vAlign w:val="center"/>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2"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企业与主要客户之间单次销售各类单据一套</w:t>
            </w:r>
          </w:p>
        </w:tc>
        <w:tc>
          <w:tcPr>
            <w:tcW w:w="1377" w:type="pct"/>
            <w:noWrap w:val="0"/>
            <w:vAlign w:val="center"/>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2"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企业与客户之间的返利、推广等其他重要协议</w:t>
            </w:r>
          </w:p>
        </w:tc>
        <w:tc>
          <w:tcPr>
            <w:tcW w:w="1377" w:type="pct"/>
            <w:noWrap w:val="0"/>
            <w:vAlign w:val="center"/>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2"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企业主要应收账款清单</w:t>
            </w:r>
          </w:p>
        </w:tc>
        <w:tc>
          <w:tcPr>
            <w:tcW w:w="1377" w:type="pct"/>
            <w:noWrap w:val="0"/>
            <w:vAlign w:val="center"/>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2"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企业参与药品招标中标相关文件</w:t>
            </w:r>
          </w:p>
        </w:tc>
        <w:tc>
          <w:tcPr>
            <w:tcW w:w="1377" w:type="pct"/>
            <w:noWrap w:val="0"/>
            <w:vAlign w:val="center"/>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2" w:type="pct"/>
            <w:noWrap w:val="0"/>
            <w:vAlign w:val="top"/>
          </w:tcPr>
          <w:p>
            <w:pPr>
              <w:keepNext w:val="0"/>
              <w:keepLines w:val="0"/>
              <w:pageBreakBefore w:val="0"/>
              <w:widowControl w:val="0"/>
              <w:wordWrap/>
              <w:bidi w:val="0"/>
              <w:spacing w:after="0" w:line="50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物流服务合同</w:t>
            </w:r>
          </w:p>
        </w:tc>
        <w:tc>
          <w:tcPr>
            <w:tcW w:w="1377" w:type="pct"/>
            <w:noWrap w:val="0"/>
            <w:vAlign w:val="center"/>
          </w:tcPr>
          <w:p>
            <w:pPr>
              <w:keepNext w:val="0"/>
              <w:keepLines w:val="0"/>
              <w:pageBreakBefore w:val="0"/>
              <w:widowControl w:val="0"/>
              <w:wordWrap/>
              <w:bidi w:val="0"/>
              <w:spacing w:after="0" w:line="50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tc>
      </w:tr>
    </w:tbl>
    <w:p>
      <w:pPr>
        <w:keepNext w:val="0"/>
        <w:keepLines w:val="0"/>
        <w:pageBreakBefore w:val="0"/>
        <w:widowControl w:val="0"/>
        <w:wordWrap/>
        <w:bidi w:val="0"/>
        <w:spacing w:after="0" w:line="500" w:lineRule="exact"/>
        <w:ind w:firstLine="522" w:firstLineChars="200"/>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说明：以上“主要”一词的范围，应当根据被调查人的实际情况确定，一般为前10位。</w:t>
      </w:r>
    </w:p>
    <w:p>
      <w:pPr>
        <w:keepNext w:val="0"/>
        <w:keepLines w:val="0"/>
        <w:pageBreakBefore w:val="0"/>
        <w:widowControl w:val="0"/>
        <w:wordWrap/>
        <w:bidi w:val="0"/>
        <w:spacing w:after="227" w:afterLines="50" w:line="500" w:lineRule="exact"/>
        <w:jc w:val="center"/>
        <w:textAlignment w:val="baseline"/>
        <w:outlineLvl w:val="0"/>
        <w:rPr>
          <w:rFonts w:hint="eastAsia" w:ascii="楷体" w:hAnsi="楷体" w:eastAsia="楷体" w:cs="楷体"/>
          <w:b/>
          <w:color w:val="000000"/>
          <w:sz w:val="28"/>
          <w:szCs w:val="28"/>
        </w:rPr>
      </w:pPr>
      <w:r>
        <w:rPr>
          <w:rFonts w:hint="eastAsia" w:ascii="仿宋" w:hAnsi="仿宋" w:eastAsia="仿宋" w:cs="仿宋"/>
          <w:color w:val="000000"/>
          <w:sz w:val="28"/>
          <w:szCs w:val="28"/>
        </w:rPr>
        <w:br w:type="page"/>
      </w:r>
      <w:bookmarkStart w:id="169" w:name="_Toc28250"/>
      <w:r>
        <w:rPr>
          <w:rFonts w:hint="eastAsia" w:ascii="楷体" w:hAnsi="楷体" w:eastAsia="楷体" w:cs="楷体"/>
          <w:b/>
          <w:color w:val="000000"/>
          <w:sz w:val="28"/>
          <w:szCs w:val="28"/>
        </w:rPr>
        <w:t>附表10：对劳动用工情况调查所需调查材料以及材料来源表</w:t>
      </w:r>
      <w:bookmarkEnd w:id="169"/>
    </w:p>
    <w:tbl>
      <w:tblPr>
        <w:tblStyle w:val="1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34"/>
        <w:gridCol w:w="2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2" w:type="pct"/>
            <w:noWrap w:val="0"/>
            <w:vAlign w:val="top"/>
          </w:tcPr>
          <w:p>
            <w:pPr>
              <w:keepNext w:val="0"/>
              <w:keepLines w:val="0"/>
              <w:pageBreakBefore w:val="0"/>
              <w:widowControl w:val="0"/>
              <w:kinsoku/>
              <w:wordWrap/>
              <w:overflowPunct/>
              <w:topLinePunct w:val="0"/>
              <w:autoSpaceDE/>
              <w:autoSpaceDN/>
              <w:bidi w:val="0"/>
              <w:adjustRightInd/>
              <w:snapToGrid/>
              <w:spacing w:after="0" w:line="480" w:lineRule="exact"/>
              <w:jc w:val="center"/>
              <w:textAlignment w:val="baseline"/>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材料</w:t>
            </w:r>
          </w:p>
        </w:tc>
        <w:tc>
          <w:tcPr>
            <w:tcW w:w="1417" w:type="pct"/>
            <w:noWrap w:val="0"/>
            <w:vAlign w:val="top"/>
          </w:tcPr>
          <w:p>
            <w:pPr>
              <w:keepNext w:val="0"/>
              <w:keepLines w:val="0"/>
              <w:pageBreakBefore w:val="0"/>
              <w:widowControl w:val="0"/>
              <w:kinsoku/>
              <w:wordWrap/>
              <w:overflowPunct/>
              <w:topLinePunct w:val="0"/>
              <w:autoSpaceDE/>
              <w:autoSpaceDN/>
              <w:bidi w:val="0"/>
              <w:adjustRightInd/>
              <w:snapToGrid/>
              <w:spacing w:after="0" w:line="480" w:lineRule="exact"/>
              <w:jc w:val="center"/>
              <w:textAlignment w:val="baseline"/>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2" w:type="pct"/>
            <w:noWrap w:val="0"/>
            <w:vAlign w:val="top"/>
          </w:tcPr>
          <w:p>
            <w:pPr>
              <w:keepNext w:val="0"/>
              <w:keepLines w:val="0"/>
              <w:pageBreakBefore w:val="0"/>
              <w:widowControl w:val="0"/>
              <w:kinsoku/>
              <w:wordWrap/>
              <w:overflowPunct/>
              <w:topLinePunct w:val="0"/>
              <w:autoSpaceDE/>
              <w:autoSpaceDN/>
              <w:bidi w:val="0"/>
              <w:adjustRightInd/>
              <w:snapToGrid/>
              <w:spacing w:after="0" w:line="48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员工花名册（包括在职员工花名册和离退休人员花名册）</w:t>
            </w:r>
          </w:p>
        </w:tc>
        <w:tc>
          <w:tcPr>
            <w:tcW w:w="1417" w:type="pct"/>
            <w:noWrap w:val="0"/>
            <w:vAlign w:val="center"/>
          </w:tcPr>
          <w:p>
            <w:pPr>
              <w:keepNext w:val="0"/>
              <w:keepLines w:val="0"/>
              <w:pageBreakBefore w:val="0"/>
              <w:widowControl w:val="0"/>
              <w:kinsoku/>
              <w:wordWrap/>
              <w:overflowPunct/>
              <w:topLinePunct w:val="0"/>
              <w:autoSpaceDE/>
              <w:autoSpaceDN/>
              <w:bidi w:val="0"/>
              <w:adjustRightInd/>
              <w:snapToGrid/>
              <w:spacing w:after="0" w:line="48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2" w:type="pct"/>
            <w:noWrap w:val="0"/>
            <w:vAlign w:val="top"/>
          </w:tcPr>
          <w:p>
            <w:pPr>
              <w:keepNext w:val="0"/>
              <w:keepLines w:val="0"/>
              <w:pageBreakBefore w:val="0"/>
              <w:widowControl w:val="0"/>
              <w:kinsoku/>
              <w:wordWrap/>
              <w:overflowPunct/>
              <w:topLinePunct w:val="0"/>
              <w:autoSpaceDE/>
              <w:autoSpaceDN/>
              <w:bidi w:val="0"/>
              <w:adjustRightInd/>
              <w:snapToGrid/>
              <w:spacing w:after="0" w:line="48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使用中的各类《劳动合同》以及与此相关的与劳动者签订的其他法律文件</w:t>
            </w:r>
          </w:p>
        </w:tc>
        <w:tc>
          <w:tcPr>
            <w:tcW w:w="1417" w:type="pct"/>
            <w:noWrap w:val="0"/>
            <w:vAlign w:val="center"/>
          </w:tcPr>
          <w:p>
            <w:pPr>
              <w:keepNext w:val="0"/>
              <w:keepLines w:val="0"/>
              <w:pageBreakBefore w:val="0"/>
              <w:widowControl w:val="0"/>
              <w:kinsoku/>
              <w:wordWrap/>
              <w:overflowPunct/>
              <w:topLinePunct w:val="0"/>
              <w:autoSpaceDE/>
              <w:autoSpaceDN/>
              <w:bidi w:val="0"/>
              <w:adjustRightInd/>
              <w:snapToGrid/>
              <w:spacing w:after="0" w:line="48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2" w:type="pct"/>
            <w:noWrap w:val="0"/>
            <w:vAlign w:val="top"/>
          </w:tcPr>
          <w:p>
            <w:pPr>
              <w:keepNext w:val="0"/>
              <w:keepLines w:val="0"/>
              <w:pageBreakBefore w:val="0"/>
              <w:widowControl w:val="0"/>
              <w:kinsoku/>
              <w:wordWrap/>
              <w:overflowPunct/>
              <w:topLinePunct w:val="0"/>
              <w:autoSpaceDE/>
              <w:autoSpaceDN/>
              <w:bidi w:val="0"/>
              <w:adjustRightInd/>
              <w:snapToGrid/>
              <w:spacing w:after="0" w:line="48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随机抽取已签订的《劳动合同》</w:t>
            </w:r>
          </w:p>
        </w:tc>
        <w:tc>
          <w:tcPr>
            <w:tcW w:w="1417" w:type="pct"/>
            <w:noWrap w:val="0"/>
            <w:vAlign w:val="center"/>
          </w:tcPr>
          <w:p>
            <w:pPr>
              <w:keepNext w:val="0"/>
              <w:keepLines w:val="0"/>
              <w:pageBreakBefore w:val="0"/>
              <w:widowControl w:val="0"/>
              <w:kinsoku/>
              <w:wordWrap/>
              <w:overflowPunct/>
              <w:topLinePunct w:val="0"/>
              <w:autoSpaceDE/>
              <w:autoSpaceDN/>
              <w:bidi w:val="0"/>
              <w:adjustRightInd/>
              <w:snapToGrid/>
              <w:spacing w:after="0" w:line="48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2" w:type="pct"/>
            <w:noWrap w:val="0"/>
            <w:vAlign w:val="top"/>
          </w:tcPr>
          <w:p>
            <w:pPr>
              <w:keepNext w:val="0"/>
              <w:keepLines w:val="0"/>
              <w:pageBreakBefore w:val="0"/>
              <w:widowControl w:val="0"/>
              <w:kinsoku/>
              <w:wordWrap/>
              <w:overflowPunct/>
              <w:topLinePunct w:val="0"/>
              <w:autoSpaceDE/>
              <w:autoSpaceDN/>
              <w:bidi w:val="0"/>
              <w:adjustRightInd/>
              <w:snapToGrid/>
              <w:spacing w:after="0" w:line="48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已经全部签订劳动合同的情况说明</w:t>
            </w:r>
          </w:p>
        </w:tc>
        <w:tc>
          <w:tcPr>
            <w:tcW w:w="1417" w:type="pct"/>
            <w:noWrap w:val="0"/>
            <w:vAlign w:val="center"/>
          </w:tcPr>
          <w:p>
            <w:pPr>
              <w:keepNext w:val="0"/>
              <w:keepLines w:val="0"/>
              <w:pageBreakBefore w:val="0"/>
              <w:widowControl w:val="0"/>
              <w:kinsoku/>
              <w:wordWrap/>
              <w:overflowPunct/>
              <w:topLinePunct w:val="0"/>
              <w:autoSpaceDE/>
              <w:autoSpaceDN/>
              <w:bidi w:val="0"/>
              <w:adjustRightInd/>
              <w:snapToGrid/>
              <w:spacing w:after="0" w:line="48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被调查人陈述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2" w:type="pct"/>
            <w:noWrap w:val="0"/>
            <w:vAlign w:val="top"/>
          </w:tcPr>
          <w:p>
            <w:pPr>
              <w:keepNext w:val="0"/>
              <w:keepLines w:val="0"/>
              <w:pageBreakBefore w:val="0"/>
              <w:widowControl w:val="0"/>
              <w:kinsoku/>
              <w:wordWrap/>
              <w:overflowPunct/>
              <w:topLinePunct w:val="0"/>
              <w:autoSpaceDE/>
              <w:autoSpaceDN/>
              <w:bidi w:val="0"/>
              <w:adjustRightInd/>
              <w:snapToGrid/>
              <w:spacing w:after="0" w:line="48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使用派遣员工的情况说明</w:t>
            </w:r>
          </w:p>
        </w:tc>
        <w:tc>
          <w:tcPr>
            <w:tcW w:w="1417" w:type="pct"/>
            <w:noWrap w:val="0"/>
            <w:vAlign w:val="center"/>
          </w:tcPr>
          <w:p>
            <w:pPr>
              <w:keepNext w:val="0"/>
              <w:keepLines w:val="0"/>
              <w:pageBreakBefore w:val="0"/>
              <w:widowControl w:val="0"/>
              <w:kinsoku/>
              <w:wordWrap/>
              <w:overflowPunct/>
              <w:topLinePunct w:val="0"/>
              <w:autoSpaceDE/>
              <w:autoSpaceDN/>
              <w:bidi w:val="0"/>
              <w:adjustRightInd/>
              <w:snapToGrid/>
              <w:spacing w:after="0" w:line="48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被调查人陈述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2" w:type="pct"/>
            <w:noWrap w:val="0"/>
            <w:vAlign w:val="top"/>
          </w:tcPr>
          <w:p>
            <w:pPr>
              <w:keepNext w:val="0"/>
              <w:keepLines w:val="0"/>
              <w:pageBreakBefore w:val="0"/>
              <w:widowControl w:val="0"/>
              <w:kinsoku/>
              <w:wordWrap/>
              <w:overflowPunct/>
              <w:topLinePunct w:val="0"/>
              <w:autoSpaceDE/>
              <w:autoSpaceDN/>
              <w:bidi w:val="0"/>
              <w:adjustRightInd/>
              <w:snapToGrid/>
              <w:spacing w:after="0" w:line="48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劳务派遣合同、各劳务派遣人员的上岗合同，并提供劳务派遣人员的花名册</w:t>
            </w:r>
          </w:p>
        </w:tc>
        <w:tc>
          <w:tcPr>
            <w:tcW w:w="1417" w:type="pct"/>
            <w:noWrap w:val="0"/>
            <w:vAlign w:val="center"/>
          </w:tcPr>
          <w:p>
            <w:pPr>
              <w:keepNext w:val="0"/>
              <w:keepLines w:val="0"/>
              <w:pageBreakBefore w:val="0"/>
              <w:widowControl w:val="0"/>
              <w:kinsoku/>
              <w:wordWrap/>
              <w:overflowPunct/>
              <w:topLinePunct w:val="0"/>
              <w:autoSpaceDE/>
              <w:autoSpaceDN/>
              <w:bidi w:val="0"/>
              <w:adjustRightInd/>
              <w:snapToGrid/>
              <w:spacing w:after="0" w:line="48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2" w:type="pct"/>
            <w:noWrap w:val="0"/>
            <w:vAlign w:val="top"/>
          </w:tcPr>
          <w:p>
            <w:pPr>
              <w:keepNext w:val="0"/>
              <w:keepLines w:val="0"/>
              <w:pageBreakBefore w:val="0"/>
              <w:widowControl w:val="0"/>
              <w:kinsoku/>
              <w:wordWrap/>
              <w:overflowPunct/>
              <w:topLinePunct w:val="0"/>
              <w:autoSpaceDE/>
              <w:autoSpaceDN/>
              <w:bidi w:val="0"/>
              <w:adjustRightInd/>
              <w:snapToGrid/>
              <w:spacing w:after="0" w:line="48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缴纳社会保险费用的缴费清单</w:t>
            </w:r>
          </w:p>
        </w:tc>
        <w:tc>
          <w:tcPr>
            <w:tcW w:w="1417" w:type="pct"/>
            <w:noWrap w:val="0"/>
            <w:vAlign w:val="center"/>
          </w:tcPr>
          <w:p>
            <w:pPr>
              <w:keepNext w:val="0"/>
              <w:keepLines w:val="0"/>
              <w:pageBreakBefore w:val="0"/>
              <w:widowControl w:val="0"/>
              <w:kinsoku/>
              <w:wordWrap/>
              <w:overflowPunct/>
              <w:topLinePunct w:val="0"/>
              <w:autoSpaceDE/>
              <w:autoSpaceDN/>
              <w:bidi w:val="0"/>
              <w:adjustRightInd/>
              <w:snapToGrid/>
              <w:spacing w:after="0" w:line="48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社保局调档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2" w:type="pct"/>
            <w:noWrap w:val="0"/>
            <w:vAlign w:val="top"/>
          </w:tcPr>
          <w:p>
            <w:pPr>
              <w:keepNext w:val="0"/>
              <w:keepLines w:val="0"/>
              <w:pageBreakBefore w:val="0"/>
              <w:widowControl w:val="0"/>
              <w:kinsoku/>
              <w:wordWrap/>
              <w:overflowPunct/>
              <w:topLinePunct w:val="0"/>
              <w:autoSpaceDE/>
              <w:autoSpaceDN/>
              <w:bidi w:val="0"/>
              <w:adjustRightInd/>
              <w:snapToGrid/>
              <w:spacing w:after="0" w:line="48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社保费用缴纳的种类和基数</w:t>
            </w:r>
          </w:p>
        </w:tc>
        <w:tc>
          <w:tcPr>
            <w:tcW w:w="1417" w:type="pct"/>
            <w:noWrap w:val="0"/>
            <w:vAlign w:val="center"/>
          </w:tcPr>
          <w:p>
            <w:pPr>
              <w:keepNext w:val="0"/>
              <w:keepLines w:val="0"/>
              <w:pageBreakBefore w:val="0"/>
              <w:widowControl w:val="0"/>
              <w:kinsoku/>
              <w:wordWrap/>
              <w:overflowPunct/>
              <w:topLinePunct w:val="0"/>
              <w:autoSpaceDE/>
              <w:autoSpaceDN/>
              <w:bidi w:val="0"/>
              <w:adjustRightInd/>
              <w:snapToGrid/>
              <w:spacing w:after="0" w:line="48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社保局现场调查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2" w:type="pct"/>
            <w:noWrap w:val="0"/>
            <w:vAlign w:val="top"/>
          </w:tcPr>
          <w:p>
            <w:pPr>
              <w:keepNext w:val="0"/>
              <w:keepLines w:val="0"/>
              <w:pageBreakBefore w:val="0"/>
              <w:widowControl w:val="0"/>
              <w:kinsoku/>
              <w:wordWrap/>
              <w:overflowPunct/>
              <w:topLinePunct w:val="0"/>
              <w:autoSpaceDE/>
              <w:autoSpaceDN/>
              <w:bidi w:val="0"/>
              <w:adjustRightInd/>
              <w:snapToGrid/>
              <w:spacing w:after="0" w:line="48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目前缴纳社会保险费用的情况说明</w:t>
            </w:r>
          </w:p>
        </w:tc>
        <w:tc>
          <w:tcPr>
            <w:tcW w:w="1417" w:type="pct"/>
            <w:noWrap w:val="0"/>
            <w:vAlign w:val="center"/>
          </w:tcPr>
          <w:p>
            <w:pPr>
              <w:keepNext w:val="0"/>
              <w:keepLines w:val="0"/>
              <w:pageBreakBefore w:val="0"/>
              <w:widowControl w:val="0"/>
              <w:kinsoku/>
              <w:wordWrap/>
              <w:overflowPunct/>
              <w:topLinePunct w:val="0"/>
              <w:autoSpaceDE/>
              <w:autoSpaceDN/>
              <w:bidi w:val="0"/>
              <w:adjustRightInd/>
              <w:snapToGrid/>
              <w:spacing w:after="0" w:line="48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被调查人陈述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2" w:type="pct"/>
            <w:noWrap w:val="0"/>
            <w:vAlign w:val="top"/>
          </w:tcPr>
          <w:p>
            <w:pPr>
              <w:keepNext w:val="0"/>
              <w:keepLines w:val="0"/>
              <w:pageBreakBefore w:val="0"/>
              <w:widowControl w:val="0"/>
              <w:kinsoku/>
              <w:wordWrap/>
              <w:overflowPunct/>
              <w:topLinePunct w:val="0"/>
              <w:autoSpaceDE/>
              <w:autoSpaceDN/>
              <w:bidi w:val="0"/>
              <w:adjustRightInd/>
              <w:snapToGrid/>
              <w:spacing w:after="0" w:line="48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各类劳动用工管理制度</w:t>
            </w:r>
          </w:p>
        </w:tc>
        <w:tc>
          <w:tcPr>
            <w:tcW w:w="1417" w:type="pct"/>
            <w:noWrap w:val="0"/>
            <w:vAlign w:val="center"/>
          </w:tcPr>
          <w:p>
            <w:pPr>
              <w:keepNext w:val="0"/>
              <w:keepLines w:val="0"/>
              <w:pageBreakBefore w:val="0"/>
              <w:widowControl w:val="0"/>
              <w:kinsoku/>
              <w:wordWrap/>
              <w:overflowPunct/>
              <w:topLinePunct w:val="0"/>
              <w:autoSpaceDE/>
              <w:autoSpaceDN/>
              <w:bidi w:val="0"/>
              <w:adjustRightInd/>
              <w:snapToGrid/>
              <w:spacing w:after="0" w:line="48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2" w:type="pct"/>
            <w:noWrap w:val="0"/>
            <w:vAlign w:val="top"/>
          </w:tcPr>
          <w:p>
            <w:pPr>
              <w:keepNext w:val="0"/>
              <w:keepLines w:val="0"/>
              <w:pageBreakBefore w:val="0"/>
              <w:widowControl w:val="0"/>
              <w:kinsoku/>
              <w:wordWrap/>
              <w:overflowPunct/>
              <w:topLinePunct w:val="0"/>
              <w:autoSpaceDE/>
              <w:autoSpaceDN/>
              <w:bidi w:val="0"/>
              <w:adjustRightInd/>
              <w:snapToGrid/>
              <w:spacing w:after="0" w:line="48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抽取2-3例解除劳动合同事项，获取解除劳动合同过程中形成的所有书面资料文件</w:t>
            </w:r>
          </w:p>
        </w:tc>
        <w:tc>
          <w:tcPr>
            <w:tcW w:w="1417" w:type="pct"/>
            <w:noWrap w:val="0"/>
            <w:vAlign w:val="center"/>
          </w:tcPr>
          <w:p>
            <w:pPr>
              <w:keepNext w:val="0"/>
              <w:keepLines w:val="0"/>
              <w:pageBreakBefore w:val="0"/>
              <w:widowControl w:val="0"/>
              <w:kinsoku/>
              <w:wordWrap/>
              <w:overflowPunct/>
              <w:topLinePunct w:val="0"/>
              <w:autoSpaceDE/>
              <w:autoSpaceDN/>
              <w:bidi w:val="0"/>
              <w:adjustRightInd/>
              <w:snapToGrid/>
              <w:spacing w:after="0" w:line="48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2" w:type="pct"/>
            <w:noWrap w:val="0"/>
            <w:vAlign w:val="top"/>
          </w:tcPr>
          <w:p>
            <w:pPr>
              <w:keepNext w:val="0"/>
              <w:keepLines w:val="0"/>
              <w:pageBreakBefore w:val="0"/>
              <w:widowControl w:val="0"/>
              <w:kinsoku/>
              <w:wordWrap/>
              <w:overflowPunct/>
              <w:topLinePunct w:val="0"/>
              <w:autoSpaceDE/>
              <w:autoSpaceDN/>
              <w:bidi w:val="0"/>
              <w:adjustRightInd/>
              <w:snapToGrid/>
              <w:spacing w:after="0" w:line="48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与改制被安置人员签订的安置协议或其它法律文件</w:t>
            </w:r>
          </w:p>
        </w:tc>
        <w:tc>
          <w:tcPr>
            <w:tcW w:w="1417" w:type="pct"/>
            <w:noWrap w:val="0"/>
            <w:vAlign w:val="center"/>
          </w:tcPr>
          <w:p>
            <w:pPr>
              <w:keepNext w:val="0"/>
              <w:keepLines w:val="0"/>
              <w:pageBreakBefore w:val="0"/>
              <w:widowControl w:val="0"/>
              <w:kinsoku/>
              <w:wordWrap/>
              <w:overflowPunct/>
              <w:topLinePunct w:val="0"/>
              <w:autoSpaceDE/>
              <w:autoSpaceDN/>
              <w:bidi w:val="0"/>
              <w:adjustRightInd/>
              <w:snapToGrid/>
              <w:spacing w:after="0" w:line="48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2" w:type="pct"/>
            <w:noWrap w:val="0"/>
            <w:vAlign w:val="top"/>
          </w:tcPr>
          <w:p>
            <w:pPr>
              <w:keepNext w:val="0"/>
              <w:keepLines w:val="0"/>
              <w:pageBreakBefore w:val="0"/>
              <w:widowControl w:val="0"/>
              <w:kinsoku/>
              <w:wordWrap/>
              <w:overflowPunct/>
              <w:topLinePunct w:val="0"/>
              <w:autoSpaceDE/>
              <w:autoSpaceDN/>
              <w:bidi w:val="0"/>
              <w:adjustRightInd/>
              <w:snapToGrid/>
              <w:spacing w:after="0" w:line="480" w:lineRule="exact"/>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按照改制文件安置员工的情况说明</w:t>
            </w:r>
          </w:p>
        </w:tc>
        <w:tc>
          <w:tcPr>
            <w:tcW w:w="1417" w:type="pct"/>
            <w:noWrap w:val="0"/>
            <w:vAlign w:val="center"/>
          </w:tcPr>
          <w:p>
            <w:pPr>
              <w:keepNext w:val="0"/>
              <w:keepLines w:val="0"/>
              <w:pageBreakBefore w:val="0"/>
              <w:widowControl w:val="0"/>
              <w:kinsoku/>
              <w:wordWrap/>
              <w:overflowPunct/>
              <w:topLinePunct w:val="0"/>
              <w:autoSpaceDE/>
              <w:autoSpaceDN/>
              <w:bidi w:val="0"/>
              <w:adjustRightInd/>
              <w:snapToGrid/>
              <w:spacing w:after="0" w:line="480" w:lineRule="exact"/>
              <w:jc w:val="center"/>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被调查人陈述</w:t>
            </w:r>
          </w:p>
        </w:tc>
      </w:tr>
    </w:tbl>
    <w:p>
      <w:pPr>
        <w:keepNext w:val="0"/>
        <w:keepLines w:val="0"/>
        <w:pageBreakBefore w:val="0"/>
        <w:widowControl w:val="0"/>
        <w:wordWrap/>
        <w:bidi w:val="0"/>
        <w:spacing w:line="500" w:lineRule="exact"/>
        <w:ind w:firstLine="522" w:firstLineChars="200"/>
        <w:rPr>
          <w:rFonts w:ascii="仿宋_GB2312" w:eastAsia="仿宋_GB2312"/>
          <w:color w:val="000000"/>
          <w:sz w:val="28"/>
          <w:szCs w:val="28"/>
        </w:rPr>
      </w:pPr>
    </w:p>
    <w:p>
      <w:pPr>
        <w:keepNext w:val="0"/>
        <w:keepLines w:val="0"/>
        <w:pageBreakBefore w:val="0"/>
        <w:widowControl w:val="0"/>
        <w:wordWrap/>
        <w:bidi w:val="0"/>
        <w:spacing w:line="500" w:lineRule="exact"/>
        <w:ind w:firstLine="522" w:firstLineChars="200"/>
        <w:rPr>
          <w:rFonts w:hint="eastAsia" w:ascii="方正小标宋简体" w:hAnsi="方正小标宋简体" w:eastAsia="方正小标宋简体" w:cs="方正小标宋简体"/>
          <w:bCs/>
          <w:color w:val="000000"/>
          <w:spacing w:val="6"/>
          <w:sz w:val="48"/>
          <w:szCs w:val="48"/>
        </w:rPr>
      </w:pPr>
      <w:r>
        <w:rPr>
          <w:sz w:val="28"/>
        </w:rPr>
        <mc:AlternateContent>
          <mc:Choice Requires="wps">
            <w:drawing>
              <wp:anchor distT="0" distB="0" distL="114300" distR="114300" simplePos="0" relativeHeight="251732992" behindDoc="0" locked="0" layoutInCell="1" allowOverlap="1">
                <wp:simplePos x="0" y="0"/>
                <wp:positionH relativeFrom="column">
                  <wp:posOffset>-346710</wp:posOffset>
                </wp:positionH>
                <wp:positionV relativeFrom="paragraph">
                  <wp:posOffset>6127115</wp:posOffset>
                </wp:positionV>
                <wp:extent cx="1868805" cy="928370"/>
                <wp:effectExtent l="0" t="0" r="17145" b="5080"/>
                <wp:wrapNone/>
                <wp:docPr id="47" name="文本框 47"/>
                <wp:cNvGraphicFramePr/>
                <a:graphic xmlns:a="http://schemas.openxmlformats.org/drawingml/2006/main">
                  <a:graphicData uri="http://schemas.microsoft.com/office/word/2010/wordprocessingShape">
                    <wps:wsp>
                      <wps:cNvSpPr txBox="1"/>
                      <wps:spPr>
                        <a:xfrm>
                          <a:off x="0" y="0"/>
                          <a:ext cx="1868805" cy="928370"/>
                        </a:xfrm>
                        <a:prstGeom prst="rect">
                          <a:avLst/>
                        </a:prstGeom>
                        <a:solidFill>
                          <a:srgbClr val="FFFFFF"/>
                        </a:solidFill>
                        <a:ln>
                          <a:noFill/>
                        </a:ln>
                      </wps:spPr>
                      <wps:txbx>
                        <w:txbxContent>
                          <w:p/>
                        </w:txbxContent>
                      </wps:txbx>
                      <wps:bodyPr upright="1"/>
                    </wps:wsp>
                  </a:graphicData>
                </a:graphic>
              </wp:anchor>
            </w:drawing>
          </mc:Choice>
          <mc:Fallback>
            <w:pict>
              <v:shape id="_x0000_s1026" o:spid="_x0000_s1026" o:spt="202" type="#_x0000_t202" style="position:absolute;left:0pt;margin-left:-27.3pt;margin-top:482.45pt;height:73.1pt;width:147.15pt;z-index:251732992;mso-width-relative:page;mso-height-relative:page;" fillcolor="#FFFFFF" filled="t" stroked="f" coordsize="21600,21600" o:gfxdata="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a+/VDdgAAAAMAQAADwAAAAAAAAABACAAAAAiAAAAZHJzL2Rvd25y&#10;ZXYueG1sUEsBAhQAFAAAAAgAh07iQKd7OoXFAQAAeQMAAA4AAAAAAAAAAQAgAAAAJwEAAGRycy9l&#10;Mm9Eb2MueG1sUEsFBgAAAAAGAAYAWQEAAF4FAAAAAA==&#10;">
                <v:fill on="t" focussize="0,0"/>
                <v:stroke on="f"/>
                <v:imagedata o:title=""/>
                <o:lock v:ext="edit" aspectratio="f"/>
                <v:textbox>
                  <w:txbxContent>
                    <w:p/>
                  </w:txbxContent>
                </v:textbox>
              </v:shape>
            </w:pict>
          </mc:Fallback>
        </mc:AlternateContent>
      </w:r>
      <w:r>
        <w:rPr>
          <w:rFonts w:ascii="仿宋_GB2312" w:eastAsia="仿宋_GB2312"/>
          <w:color w:val="000000"/>
          <w:sz w:val="28"/>
          <w:szCs w:val="28"/>
        </w:rPr>
        <w:br w:type="page"/>
      </w:r>
      <w:r>
        <w:rPr>
          <w:rFonts w:ascii="仿宋_GB2312" w:eastAsia="仿宋_GB2312"/>
          <w:color w:val="000000"/>
          <w:sz w:val="28"/>
          <w:szCs w:val="28"/>
        </w:rPr>
        <mc:AlternateContent>
          <mc:Choice Requires="wps">
            <w:drawing>
              <wp:anchor distT="0" distB="0" distL="114300" distR="114300" simplePos="0" relativeHeight="251703296" behindDoc="0" locked="0" layoutInCell="1" allowOverlap="1">
                <wp:simplePos x="0" y="0"/>
                <wp:positionH relativeFrom="column">
                  <wp:posOffset>1270</wp:posOffset>
                </wp:positionH>
                <wp:positionV relativeFrom="paragraph">
                  <wp:posOffset>8252460</wp:posOffset>
                </wp:positionV>
                <wp:extent cx="1079500" cy="723900"/>
                <wp:effectExtent l="4445" t="4445" r="20955" b="14605"/>
                <wp:wrapNone/>
                <wp:docPr id="49" name="文本框 49"/>
                <wp:cNvGraphicFramePr/>
                <a:graphic xmlns:a="http://schemas.openxmlformats.org/drawingml/2006/main">
                  <a:graphicData uri="http://schemas.microsoft.com/office/word/2010/wordprocessingShape">
                    <wps:wsp>
                      <wps:cNvSpPr txBox="1"/>
                      <wps:spPr>
                        <a:xfrm>
                          <a:off x="0" y="0"/>
                          <a:ext cx="1079500" cy="723900"/>
                        </a:xfrm>
                        <a:prstGeom prst="rect">
                          <a:avLst/>
                        </a:prstGeom>
                        <a:solidFill>
                          <a:srgbClr val="FFFFFF"/>
                        </a:solidFill>
                        <a:ln w="9525" cap="flat" cmpd="sng">
                          <a:solidFill>
                            <a:srgbClr val="FFFFFF"/>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202" type="#_x0000_t202" style="position:absolute;left:0pt;margin-left:0.1pt;margin-top:649.8pt;height:57pt;width:85pt;z-index:251703296;mso-width-relative:page;mso-height-relative:page;" fillcolor="#FFFFFF" filled="t" stroked="t" coordsize="21600,21600" o:gfxdata="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5tTOY1wAAAAoBAAAPAAAAAAAAAAEAIAAAACIAAABk&#10;cnMvZG93bnJldi54bWxQSwECFAAUAAAACACHTuJAeeRC9QcCAAA4BAAADgAAAAAAAAABACAAAAAm&#10;AQAAZHJzL2Uyb0RvYy54bWxQSwUGAAAAAAYABgBZAQAAnwUAAAAA&#10;">
                <v:fill on="t" focussize="0,0"/>
                <v:stroke color="#FFFFFF" joinstyle="miter"/>
                <v:imagedata o:title=""/>
                <o:lock v:ext="edit" aspectratio="f"/>
                <v:textbox>
                  <w:txbxContent>
                    <w:p/>
                  </w:txbxContent>
                </v:textbox>
              </v:shape>
            </w:pict>
          </mc:Fallback>
        </mc:AlternateContent>
      </w:r>
      <w:r>
        <w:rPr>
          <w:sz w:val="48"/>
          <w:szCs w:val="21"/>
        </w:rPr>
        <mc:AlternateContent>
          <mc:Choice Requires="wps">
            <w:drawing>
              <wp:anchor distT="0" distB="0" distL="114300" distR="114300" simplePos="0" relativeHeight="251665408" behindDoc="0" locked="0" layoutInCell="1" allowOverlap="1">
                <wp:simplePos x="0" y="0"/>
                <wp:positionH relativeFrom="column">
                  <wp:posOffset>-340995</wp:posOffset>
                </wp:positionH>
                <wp:positionV relativeFrom="paragraph">
                  <wp:posOffset>5830570</wp:posOffset>
                </wp:positionV>
                <wp:extent cx="1488440" cy="738505"/>
                <wp:effectExtent l="5080" t="4445" r="11430" b="19050"/>
                <wp:wrapNone/>
                <wp:docPr id="50" name="矩形 50"/>
                <wp:cNvGraphicFramePr/>
                <a:graphic xmlns:a="http://schemas.openxmlformats.org/drawingml/2006/main">
                  <a:graphicData uri="http://schemas.microsoft.com/office/word/2010/wordprocessingShape">
                    <wps:wsp>
                      <wps:cNvSpPr/>
                      <wps:spPr>
                        <a:xfrm>
                          <a:off x="0" y="0"/>
                          <a:ext cx="1488440" cy="738505"/>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6.85pt;margin-top:459.1pt;height:58.15pt;width:117.2pt;z-index:251665408;mso-width-relative:page;mso-height-relative:page;" fillcolor="#FFFFFF" filled="t" stroked="t" coordsize="21600,21600" o:gfxdata="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9N/TbZAAAADAEAAA8AAAAAAAAAAQAgAAAAIgAAAGRycy9kb3ducmV2Lnht&#10;bFBLAQIUABQAAAAIAIdO4kBhXVAC+AEAACAEAAAOAAAAAAAAAAEAIAAAACgBAABkcnMvZTJvRG9j&#10;LnhtbFBLBQYAAAAABgAGAFkBAACSBQAAAAA=&#10;">
                <v:fill on="t" focussize="0,0"/>
                <v:stroke color="#FFFFFF" joinstyle="miter"/>
                <v:imagedata o:title=""/>
                <o:lock v:ext="edit" aspectratio="f"/>
              </v:rect>
            </w:pict>
          </mc:Fallback>
        </mc:AlternateContent>
      </w:r>
    </w:p>
    <w:p>
      <w:pPr>
        <w:keepNext w:val="0"/>
        <w:keepLines w:val="0"/>
        <w:pageBreakBefore w:val="0"/>
        <w:widowControl w:val="0"/>
        <w:wordWrap/>
        <w:bidi w:val="0"/>
        <w:spacing w:after="0" w:line="500" w:lineRule="exact"/>
        <w:jc w:val="center"/>
        <w:rPr>
          <w:rFonts w:hint="eastAsia" w:ascii="方正小标宋简体" w:hAnsi="方正小标宋简体" w:eastAsia="方正小标宋简体" w:cs="方正小标宋简体"/>
          <w:bCs/>
          <w:color w:val="000000"/>
          <w:spacing w:val="6"/>
          <w:sz w:val="48"/>
          <w:szCs w:val="48"/>
        </w:rPr>
      </w:pPr>
    </w:p>
    <w:p>
      <w:pPr>
        <w:keepNext w:val="0"/>
        <w:keepLines w:val="0"/>
        <w:pageBreakBefore w:val="0"/>
        <w:widowControl w:val="0"/>
        <w:wordWrap/>
        <w:bidi w:val="0"/>
        <w:spacing w:after="0" w:line="500" w:lineRule="exact"/>
        <w:jc w:val="center"/>
        <w:rPr>
          <w:rFonts w:hint="eastAsia" w:ascii="方正小标宋简体" w:hAnsi="方正小标宋简体" w:eastAsia="方正小标宋简体" w:cs="方正小标宋简体"/>
          <w:bCs/>
          <w:color w:val="000000"/>
          <w:spacing w:val="6"/>
          <w:sz w:val="48"/>
          <w:szCs w:val="48"/>
        </w:rPr>
      </w:pPr>
    </w:p>
    <w:p>
      <w:pPr>
        <w:keepNext w:val="0"/>
        <w:keepLines w:val="0"/>
        <w:pageBreakBefore w:val="0"/>
        <w:widowControl w:val="0"/>
        <w:wordWrap/>
        <w:bidi w:val="0"/>
        <w:spacing w:after="0" w:line="500" w:lineRule="exact"/>
        <w:jc w:val="center"/>
        <w:rPr>
          <w:rFonts w:hint="eastAsia" w:ascii="方正小标宋简体" w:hAnsi="方正小标宋简体" w:eastAsia="方正小标宋简体" w:cs="方正小标宋简体"/>
          <w:bCs/>
          <w:color w:val="000000"/>
          <w:spacing w:val="6"/>
          <w:sz w:val="48"/>
          <w:szCs w:val="48"/>
        </w:rPr>
      </w:pPr>
    </w:p>
    <w:p>
      <w:pPr>
        <w:keepNext w:val="0"/>
        <w:keepLines w:val="0"/>
        <w:pageBreakBefore w:val="0"/>
        <w:widowControl w:val="0"/>
        <w:wordWrap/>
        <w:bidi w:val="0"/>
        <w:spacing w:after="0" w:line="500" w:lineRule="exact"/>
        <w:jc w:val="center"/>
        <w:rPr>
          <w:rFonts w:hint="eastAsia" w:ascii="方正小标宋简体" w:hAnsi="方正小标宋简体" w:eastAsia="方正小标宋简体" w:cs="方正小标宋简体"/>
          <w:bCs/>
          <w:color w:val="000000"/>
          <w:spacing w:val="6"/>
          <w:sz w:val="48"/>
          <w:szCs w:val="48"/>
        </w:rPr>
      </w:pPr>
    </w:p>
    <w:p>
      <w:pPr>
        <w:keepNext w:val="0"/>
        <w:keepLines w:val="0"/>
        <w:pageBreakBefore w:val="0"/>
        <w:widowControl w:val="0"/>
        <w:wordWrap/>
        <w:bidi w:val="0"/>
        <w:spacing w:after="0" w:line="240" w:lineRule="auto"/>
        <w:jc w:val="center"/>
        <w:rPr>
          <w:rFonts w:hint="eastAsia" w:ascii="方正小标宋简体" w:hAnsi="方正小标宋简体" w:eastAsia="方正小标宋简体" w:cs="方正小标宋简体"/>
          <w:bCs/>
          <w:color w:val="000000"/>
          <w:spacing w:val="6"/>
          <w:sz w:val="48"/>
          <w:szCs w:val="48"/>
        </w:rPr>
      </w:pPr>
      <w:r>
        <w:rPr>
          <w:rFonts w:hint="eastAsia" w:ascii="方正小标宋简体" w:hAnsi="方正小标宋简体" w:eastAsia="方正小标宋简体" w:cs="方正小标宋简体"/>
          <w:bCs/>
          <w:color w:val="000000"/>
          <w:spacing w:val="6"/>
          <w:sz w:val="48"/>
          <w:szCs w:val="48"/>
        </w:rPr>
        <w:t>律师办理建设工程施工合同纠纷</w:t>
      </w:r>
    </w:p>
    <w:p>
      <w:pPr>
        <w:keepNext w:val="0"/>
        <w:keepLines w:val="0"/>
        <w:pageBreakBefore w:val="0"/>
        <w:widowControl w:val="0"/>
        <w:wordWrap/>
        <w:bidi w:val="0"/>
        <w:spacing w:after="0" w:line="240" w:lineRule="auto"/>
        <w:jc w:val="center"/>
        <w:rPr>
          <w:rFonts w:hint="eastAsia" w:ascii="方正小标宋简体" w:hAnsi="方正小标宋简体" w:eastAsia="方正小标宋简体" w:cs="方正小标宋简体"/>
          <w:bCs/>
          <w:color w:val="000000"/>
          <w:spacing w:val="6"/>
          <w:sz w:val="48"/>
          <w:szCs w:val="48"/>
        </w:rPr>
      </w:pPr>
      <w:r>
        <w:rPr>
          <w:rFonts w:hint="eastAsia" w:ascii="方正小标宋简体" w:hAnsi="方正小标宋简体" w:eastAsia="方正小标宋简体" w:cs="方正小标宋简体"/>
          <w:bCs/>
          <w:color w:val="000000"/>
          <w:spacing w:val="6"/>
          <w:sz w:val="48"/>
          <w:szCs w:val="48"/>
        </w:rPr>
        <w:t>案件诉讼业务操作指引</w:t>
      </w:r>
    </w:p>
    <w:p>
      <w:pPr>
        <w:keepNext w:val="0"/>
        <w:keepLines w:val="0"/>
        <w:pageBreakBefore w:val="0"/>
        <w:widowControl w:val="0"/>
        <w:wordWrap/>
        <w:bidi w:val="0"/>
        <w:spacing w:after="0" w:line="500" w:lineRule="exact"/>
        <w:jc w:val="center"/>
        <w:rPr>
          <w:rFonts w:ascii="方正小标宋简体" w:hAnsi="方正小标宋简体" w:eastAsia="方正小标宋简体" w:cs="方正小标宋简体"/>
          <w:bCs/>
          <w:color w:val="000000"/>
          <w:spacing w:val="6"/>
          <w:sz w:val="48"/>
          <w:szCs w:val="48"/>
        </w:rPr>
      </w:pPr>
      <w:r>
        <w:rPr>
          <w:rFonts w:hint="eastAsia" w:ascii="方正小标宋简体" w:hAnsi="方正小标宋简体" w:eastAsia="方正小标宋简体" w:cs="方正小标宋简体"/>
          <w:bCs/>
          <w:color w:val="000000"/>
          <w:spacing w:val="6"/>
          <w:sz w:val="48"/>
          <w:szCs w:val="48"/>
        </w:rPr>
        <w:br w:type="page"/>
      </w:r>
    </w:p>
    <w:p>
      <w:pPr>
        <w:keepNext w:val="0"/>
        <w:keepLines w:val="0"/>
        <w:pageBreakBefore w:val="0"/>
        <w:widowControl w:val="0"/>
        <w:wordWrap/>
        <w:bidi w:val="0"/>
        <w:spacing w:before="227" w:beforeLines="50" w:after="227" w:afterLines="50" w:line="500" w:lineRule="exact"/>
        <w:ind w:firstLine="522" w:firstLineChars="200"/>
        <w:rPr>
          <w:rFonts w:ascii="仿宋_GB2312" w:hAnsi="仿宋" w:eastAsia="仿宋_GB2312"/>
          <w:color w:val="000000"/>
          <w:sz w:val="28"/>
          <w:szCs w:val="28"/>
        </w:rPr>
      </w:pPr>
    </w:p>
    <w:p>
      <w:pPr>
        <w:keepNext w:val="0"/>
        <w:keepLines w:val="0"/>
        <w:pageBreakBefore w:val="0"/>
        <w:widowControl w:val="0"/>
        <w:wordWrap/>
        <w:bidi w:val="0"/>
        <w:spacing w:after="0" w:line="500" w:lineRule="exact"/>
        <w:jc w:val="center"/>
        <w:rPr>
          <w:rFonts w:hint="eastAsia" w:ascii="仿宋" w:hAnsi="仿宋" w:eastAsia="仿宋" w:cs="仿宋"/>
          <w:color w:val="000000"/>
          <w:sz w:val="28"/>
          <w:szCs w:val="28"/>
        </w:rPr>
      </w:pPr>
      <w:r>
        <w:rPr>
          <w:sz w:val="28"/>
        </w:rPr>
        <mc:AlternateContent>
          <mc:Choice Requires="wps">
            <w:drawing>
              <wp:anchor distT="0" distB="0" distL="114300" distR="114300" simplePos="0" relativeHeight="251734016" behindDoc="0" locked="0" layoutInCell="1" allowOverlap="1">
                <wp:simplePos x="0" y="0"/>
                <wp:positionH relativeFrom="column">
                  <wp:posOffset>-346710</wp:posOffset>
                </wp:positionH>
                <wp:positionV relativeFrom="paragraph">
                  <wp:posOffset>5520055</wp:posOffset>
                </wp:positionV>
                <wp:extent cx="1868805" cy="928370"/>
                <wp:effectExtent l="0" t="0" r="17145" b="5080"/>
                <wp:wrapNone/>
                <wp:docPr id="52" name="文本框 52"/>
                <wp:cNvGraphicFramePr/>
                <a:graphic xmlns:a="http://schemas.openxmlformats.org/drawingml/2006/main">
                  <a:graphicData uri="http://schemas.microsoft.com/office/word/2010/wordprocessingShape">
                    <wps:wsp>
                      <wps:cNvSpPr txBox="1"/>
                      <wps:spPr>
                        <a:xfrm>
                          <a:off x="0" y="0"/>
                          <a:ext cx="1868805" cy="928370"/>
                        </a:xfrm>
                        <a:prstGeom prst="rect">
                          <a:avLst/>
                        </a:prstGeom>
                        <a:solidFill>
                          <a:srgbClr val="FFFFFF"/>
                        </a:solidFill>
                        <a:ln>
                          <a:noFill/>
                        </a:ln>
                      </wps:spPr>
                      <wps:txbx>
                        <w:txbxContent>
                          <w:p/>
                        </w:txbxContent>
                      </wps:txbx>
                      <wps:bodyPr upright="1"/>
                    </wps:wsp>
                  </a:graphicData>
                </a:graphic>
              </wp:anchor>
            </w:drawing>
          </mc:Choice>
          <mc:Fallback>
            <w:pict>
              <v:shape id="_x0000_s1026" o:spid="_x0000_s1026" o:spt="202" type="#_x0000_t202" style="position:absolute;left:0pt;margin-left:-27.3pt;margin-top:434.65pt;height:73.1pt;width:147.15pt;z-index:251734016;mso-width-relative:page;mso-height-relative:page;" fillcolor="#FFFFFF" filled="t" stroked="f" coordsize="21600,21600" o:gfxdata="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Y5plNoAAAAMAQAADwAAAAAAAAABACAAAAAiAAAAZHJzL2Rvd25y&#10;ZXYueG1sUEsBAhQAFAAAAAgAh07iQL1TIHvDAQAAeQMAAA4AAAAAAAAAAQAgAAAAKQEAAGRycy9l&#10;Mm9Eb2MueG1sUEsFBgAAAAAGAAYAWQEAAF4FAAAAAA==&#10;">
                <v:fill on="t" focussize="0,0"/>
                <v:stroke on="f"/>
                <v:imagedata o:title=""/>
                <o:lock v:ext="edit" aspectratio="f"/>
                <v:textbox>
                  <w:txbxContent>
                    <w:p/>
                  </w:txbxContent>
                </v:textbox>
              </v:shape>
            </w:pict>
          </mc:Fallback>
        </mc:AlternateContent>
      </w:r>
      <w:r>
        <w:rPr>
          <w:sz w:val="48"/>
        </w:rPr>
        <mc:AlternateContent>
          <mc:Choice Requires="wps">
            <w:drawing>
              <wp:anchor distT="0" distB="0" distL="114300" distR="114300" simplePos="0" relativeHeight="251712512" behindDoc="0" locked="0" layoutInCell="1" allowOverlap="1">
                <wp:simplePos x="0" y="0"/>
                <wp:positionH relativeFrom="column">
                  <wp:posOffset>-546735</wp:posOffset>
                </wp:positionH>
                <wp:positionV relativeFrom="paragraph">
                  <wp:posOffset>7313930</wp:posOffset>
                </wp:positionV>
                <wp:extent cx="1793875" cy="968375"/>
                <wp:effectExtent l="0" t="0" r="15875" b="3175"/>
                <wp:wrapNone/>
                <wp:docPr id="53" name="文本框 53"/>
                <wp:cNvGraphicFramePr/>
                <a:graphic xmlns:a="http://schemas.openxmlformats.org/drawingml/2006/main">
                  <a:graphicData uri="http://schemas.microsoft.com/office/word/2010/wordprocessingShape">
                    <wps:wsp>
                      <wps:cNvSpPr txBox="1"/>
                      <wps:spPr>
                        <a:xfrm>
                          <a:off x="0" y="0"/>
                          <a:ext cx="1793875" cy="968375"/>
                        </a:xfrm>
                        <a:prstGeom prst="rect">
                          <a:avLst/>
                        </a:prstGeom>
                        <a:solidFill>
                          <a:srgbClr val="FFFFFF"/>
                        </a:solidFill>
                        <a:ln>
                          <a:noFill/>
                        </a:ln>
                      </wps:spPr>
                      <wps:txbx>
                        <w:txbxContent>
                          <w:p/>
                        </w:txbxContent>
                      </wps:txbx>
                      <wps:bodyPr upright="1"/>
                    </wps:wsp>
                  </a:graphicData>
                </a:graphic>
              </wp:anchor>
            </w:drawing>
          </mc:Choice>
          <mc:Fallback>
            <w:pict>
              <v:shape id="_x0000_s1026" o:spid="_x0000_s1026" o:spt="202" type="#_x0000_t202" style="position:absolute;left:0pt;margin-left:-43.05pt;margin-top:575.9pt;height:76.25pt;width:141.25pt;z-index:251712512;mso-width-relative:page;mso-height-relative:page;" fillcolor="#FFFFFF" filled="t" stroked="f" coordsize="21600,21600" o:gfxdata="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9th882gAAAA0BAAAPAAAAAAAAAAEAIAAAACIAAABkcnMvZG93bnJl&#10;di54bWxQSwECFAAUAAAACACHTuJAWYTlg8IBAAB5AwAADgAAAAAAAAABACAAAAApAQAAZHJzL2Uy&#10;b0RvYy54bWxQSwUGAAAAAAYABgBZAQAAXQUAAAAA&#10;">
                <v:fill on="t" focussize="0,0"/>
                <v:stroke on="f"/>
                <v:imagedata o:title=""/>
                <o:lock v:ext="edit" aspectratio="f"/>
                <v:textbox>
                  <w:txbxContent>
                    <w:p/>
                  </w:txbxContent>
                </v:textbox>
              </v:shape>
            </w:pict>
          </mc:Fallback>
        </mc:AlternateContent>
      </w:r>
      <w:r>
        <w:rPr>
          <w:sz w:val="48"/>
          <w:szCs w:val="21"/>
        </w:rPr>
        <mc:AlternateContent>
          <mc:Choice Requires="wps">
            <w:drawing>
              <wp:anchor distT="0" distB="0" distL="114300" distR="114300" simplePos="0" relativeHeight="251666432" behindDoc="0" locked="0" layoutInCell="1" allowOverlap="1">
                <wp:simplePos x="0" y="0"/>
                <wp:positionH relativeFrom="column">
                  <wp:posOffset>-340995</wp:posOffset>
                </wp:positionH>
                <wp:positionV relativeFrom="paragraph">
                  <wp:posOffset>7036435</wp:posOffset>
                </wp:positionV>
                <wp:extent cx="1488440" cy="738505"/>
                <wp:effectExtent l="0" t="0" r="16510" b="4445"/>
                <wp:wrapNone/>
                <wp:docPr id="56" name="矩形 56"/>
                <wp:cNvGraphicFramePr/>
                <a:graphic xmlns:a="http://schemas.openxmlformats.org/drawingml/2006/main">
                  <a:graphicData uri="http://schemas.microsoft.com/office/word/2010/wordprocessingShape">
                    <wps:wsp>
                      <wps:cNvSpPr/>
                      <wps:spPr>
                        <a:xfrm>
                          <a:off x="0" y="0"/>
                          <a:ext cx="1488440" cy="73850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26.85pt;margin-top:554.05pt;height:58.15pt;width:117.2pt;z-index:251666432;mso-width-relative:page;mso-height-relative:page;" fillcolor="#FFFFFF" filled="t" stroked="f" coordsize="21600,21600" o:gfxdata="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6P9Y/aAAAADQEAAA8AAAAAAAAAAQAgAAAAIgAAAGRycy9kb3ducmV2LnhtbFBLAQIUABQAAAAI&#10;AIdO4kBbWfxNsgEAAGEDAAAOAAAAAAAAAAEAIAAAACkBAABkcnMvZTJvRG9jLnhtbFBLBQYAAAAA&#10;BgAGAFkBAABNBQAAAAA=&#10;">
                <v:fill on="t" focussize="0,0"/>
                <v:stroke on="f"/>
                <v:imagedata o:title=""/>
                <o:lock v:ext="edit" aspectratio="f"/>
              </v:rect>
            </w:pict>
          </mc:Fallback>
        </mc:AlternateContent>
      </w:r>
      <w:r>
        <w:rPr>
          <w:rFonts w:hint="eastAsia" w:ascii="仿宋" w:hAnsi="仿宋" w:eastAsia="仿宋" w:cs="仿宋"/>
          <w:color w:val="000000"/>
          <w:sz w:val="28"/>
          <w:szCs w:val="28"/>
        </w:rPr>
        <w:br w:type="page"/>
      </w:r>
      <w:r>
        <w:rPr>
          <w:rFonts w:hint="eastAsia" w:ascii="方正小标宋简体" w:hAnsi="方正小标宋简体" w:eastAsia="方正小标宋简体" w:cs="方正小标宋简体"/>
          <w:bCs/>
          <w:color w:val="000000"/>
          <w:spacing w:val="6"/>
          <w:sz w:val="40"/>
          <w:szCs w:val="40"/>
        </w:rPr>
        <w:t>目   录</w:t>
      </w:r>
    </w:p>
    <w:p>
      <w:pPr>
        <w:keepNext w:val="0"/>
        <w:keepLines w:val="0"/>
        <w:pageBreakBefore w:val="0"/>
        <w:widowControl w:val="0"/>
        <w:wordWrap/>
        <w:bidi w:val="0"/>
        <w:spacing w:after="0" w:line="500" w:lineRule="exact"/>
        <w:ind w:firstLine="522" w:firstLineChars="200"/>
        <w:jc w:val="both"/>
        <w:rPr>
          <w:rFonts w:hint="eastAsia" w:ascii="仿宋" w:hAnsi="仿宋" w:eastAsia="仿宋" w:cs="仿宋"/>
          <w:color w:val="000000"/>
          <w:sz w:val="28"/>
          <w:szCs w:val="28"/>
        </w:rPr>
      </w:pPr>
    </w:p>
    <w:p>
      <w:pPr>
        <w:keepNext w:val="0"/>
        <w:keepLines w:val="0"/>
        <w:pageBreakBefore w:val="0"/>
        <w:widowControl w:val="0"/>
        <w:wordWrap/>
        <w:bidi w:val="0"/>
        <w:spacing w:after="0" w:line="500" w:lineRule="exact"/>
        <w:ind w:left="0" w:leftChars="0" w:firstLine="0" w:firstLineChars="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第一章 总则</w:t>
      </w:r>
    </w:p>
    <w:p>
      <w:pPr>
        <w:keepNext w:val="0"/>
        <w:keepLines w:val="0"/>
        <w:pageBreakBefore w:val="0"/>
        <w:widowControl w:val="0"/>
        <w:wordWrap/>
        <w:bidi w:val="0"/>
        <w:spacing w:after="0" w:line="500" w:lineRule="exact"/>
        <w:ind w:left="0" w:leftChars="0" w:firstLine="0" w:firstLineChars="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第二章 律师办理建设工程施工合同纠纷案件诉讼业务流程指引</w:t>
      </w:r>
    </w:p>
    <w:p>
      <w:pPr>
        <w:keepNext w:val="0"/>
        <w:keepLines w:val="0"/>
        <w:pageBreakBefore w:val="0"/>
        <w:widowControl w:val="0"/>
        <w:wordWrap/>
        <w:bidi w:val="0"/>
        <w:spacing w:after="0" w:line="500" w:lineRule="exact"/>
        <w:ind w:left="0" w:leftChars="0" w:firstLine="0" w:firstLineChars="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rPr>
        <w:t>第一节 律师办理</w:t>
      </w:r>
      <w:r>
        <w:rPr>
          <w:rFonts w:hint="eastAsia" w:ascii="仿宋_GB2312" w:hAnsi="仿宋" w:eastAsia="仿宋_GB2312" w:cs="仿宋"/>
          <w:color w:val="000000"/>
          <w:sz w:val="28"/>
          <w:szCs w:val="28"/>
        </w:rPr>
        <w:t>建设工程施工合同纠纷案件</w:t>
      </w:r>
      <w:r>
        <w:rPr>
          <w:rFonts w:hint="eastAsia" w:ascii="仿宋_GB2312" w:hAnsi="仿宋" w:eastAsia="仿宋_GB2312" w:cs="仿宋"/>
          <w:color w:val="000000"/>
          <w:sz w:val="28"/>
          <w:szCs w:val="28"/>
          <w:lang w:val="zh-CN"/>
        </w:rPr>
        <w:t>诉讼业务一般性流程指引</w:t>
      </w:r>
    </w:p>
    <w:p>
      <w:pPr>
        <w:keepNext w:val="0"/>
        <w:keepLines w:val="0"/>
        <w:pageBreakBefore w:val="0"/>
        <w:widowControl w:val="0"/>
        <w:wordWrap/>
        <w:bidi w:val="0"/>
        <w:spacing w:after="0" w:line="500" w:lineRule="exact"/>
        <w:ind w:left="0" w:leftChars="0" w:firstLine="0" w:firstLineChars="0"/>
        <w:jc w:val="both"/>
        <w:rPr>
          <w:rFonts w:hint="eastAsia" w:ascii="仿宋_GB2312" w:hAnsi="仿宋" w:eastAsia="仿宋_GB2312" w:cs="仿宋"/>
          <w:color w:val="000000"/>
          <w:sz w:val="28"/>
          <w:szCs w:val="28"/>
          <w:lang w:val="zh-CN"/>
        </w:rPr>
      </w:pPr>
      <w:r>
        <w:rPr>
          <w:rFonts w:hint="eastAsia" w:ascii="仿宋_GB2312" w:hAnsi="仿宋" w:eastAsia="仿宋_GB2312" w:cs="仿宋"/>
          <w:color w:val="000000"/>
          <w:sz w:val="28"/>
          <w:szCs w:val="28"/>
          <w:lang w:val="zh-CN"/>
        </w:rPr>
        <w:t>第二节 律师代理</w:t>
      </w:r>
      <w:r>
        <w:rPr>
          <w:rFonts w:hint="eastAsia" w:ascii="仿宋_GB2312" w:hAnsi="仿宋" w:eastAsia="仿宋_GB2312" w:cs="仿宋"/>
          <w:color w:val="000000"/>
          <w:sz w:val="28"/>
          <w:szCs w:val="28"/>
        </w:rPr>
        <w:t>建设工程施工合同纠纷案件</w:t>
      </w:r>
      <w:r>
        <w:rPr>
          <w:rFonts w:hint="eastAsia" w:ascii="仿宋_GB2312" w:hAnsi="仿宋" w:eastAsia="仿宋_GB2312" w:cs="仿宋"/>
          <w:color w:val="000000"/>
          <w:sz w:val="28"/>
          <w:szCs w:val="28"/>
          <w:lang w:val="zh-CN"/>
        </w:rPr>
        <w:t>诉讼</w:t>
      </w:r>
      <w:r>
        <w:rPr>
          <w:rFonts w:hint="eastAsia" w:ascii="仿宋_GB2312" w:hAnsi="仿宋" w:eastAsia="仿宋_GB2312" w:cs="仿宋"/>
          <w:color w:val="000000"/>
          <w:sz w:val="28"/>
          <w:szCs w:val="28"/>
        </w:rPr>
        <w:t>案件</w:t>
      </w:r>
      <w:r>
        <w:rPr>
          <w:rFonts w:hint="eastAsia" w:ascii="仿宋_GB2312" w:hAnsi="仿宋" w:eastAsia="仿宋_GB2312" w:cs="仿宋"/>
          <w:color w:val="000000"/>
          <w:sz w:val="28"/>
          <w:szCs w:val="28"/>
          <w:lang w:val="zh-CN"/>
        </w:rPr>
        <w:t>原告的业务流程指引</w:t>
      </w:r>
    </w:p>
    <w:p>
      <w:pPr>
        <w:keepNext w:val="0"/>
        <w:keepLines w:val="0"/>
        <w:pageBreakBefore w:val="0"/>
        <w:widowControl w:val="0"/>
        <w:wordWrap/>
        <w:bidi w:val="0"/>
        <w:spacing w:after="0" w:line="500" w:lineRule="exact"/>
        <w:ind w:left="0" w:leftChars="0" w:firstLine="0" w:firstLineChars="0"/>
        <w:jc w:val="both"/>
        <w:rPr>
          <w:rFonts w:hint="eastAsia" w:ascii="仿宋_GB2312" w:hAnsi="仿宋" w:eastAsia="仿宋_GB2312" w:cs="仿宋"/>
          <w:color w:val="000000"/>
          <w:sz w:val="28"/>
          <w:szCs w:val="28"/>
          <w:lang w:val="zh-CN"/>
        </w:rPr>
      </w:pPr>
      <w:r>
        <w:rPr>
          <w:rFonts w:hint="eastAsia" w:ascii="仿宋_GB2312" w:hAnsi="仿宋" w:eastAsia="仿宋_GB2312" w:cs="仿宋"/>
          <w:color w:val="000000"/>
          <w:sz w:val="28"/>
          <w:szCs w:val="28"/>
          <w:shd w:val="clear" w:color="auto" w:fill="FFFFFF"/>
        </w:rPr>
        <w:t xml:space="preserve">第三节 </w:t>
      </w:r>
      <w:r>
        <w:rPr>
          <w:rFonts w:hint="eastAsia" w:ascii="仿宋_GB2312" w:hAnsi="仿宋" w:eastAsia="仿宋_GB2312" w:cs="仿宋"/>
          <w:color w:val="000000"/>
          <w:sz w:val="28"/>
          <w:szCs w:val="28"/>
          <w:lang w:val="zh-CN"/>
        </w:rPr>
        <w:t>律师代理</w:t>
      </w:r>
      <w:r>
        <w:rPr>
          <w:rFonts w:hint="eastAsia" w:ascii="仿宋_GB2312" w:hAnsi="仿宋" w:eastAsia="仿宋_GB2312" w:cs="仿宋"/>
          <w:color w:val="000000"/>
          <w:sz w:val="28"/>
          <w:szCs w:val="28"/>
        </w:rPr>
        <w:t>建设工程施工合同纠纷案件</w:t>
      </w:r>
      <w:r>
        <w:rPr>
          <w:rFonts w:hint="eastAsia" w:ascii="仿宋_GB2312" w:hAnsi="仿宋" w:eastAsia="仿宋_GB2312" w:cs="仿宋"/>
          <w:color w:val="000000"/>
          <w:sz w:val="28"/>
          <w:szCs w:val="28"/>
          <w:lang w:val="zh-CN"/>
        </w:rPr>
        <w:t>诉讼被告的业务流程指引</w:t>
      </w:r>
    </w:p>
    <w:p>
      <w:pPr>
        <w:keepNext w:val="0"/>
        <w:keepLines w:val="0"/>
        <w:pageBreakBefore w:val="0"/>
        <w:widowControl w:val="0"/>
        <w:wordWrap/>
        <w:bidi w:val="0"/>
        <w:spacing w:after="0" w:line="500" w:lineRule="exact"/>
        <w:ind w:left="0" w:leftChars="0" w:firstLine="0" w:firstLineChars="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第三章 律师办理建设工程施工合同纠纷案件诉讼业务实务指引</w:t>
      </w:r>
    </w:p>
    <w:p>
      <w:pPr>
        <w:keepNext w:val="0"/>
        <w:keepLines w:val="0"/>
        <w:pageBreakBefore w:val="0"/>
        <w:widowControl w:val="0"/>
        <w:wordWrap/>
        <w:bidi w:val="0"/>
        <w:spacing w:after="0" w:line="500" w:lineRule="exact"/>
        <w:ind w:left="0" w:leftChars="0" w:firstLine="0" w:firstLineChars="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第四章 附则</w:t>
      </w:r>
    </w:p>
    <w:p>
      <w:pPr>
        <w:keepNext w:val="0"/>
        <w:keepLines w:val="0"/>
        <w:pageBreakBefore w:val="0"/>
        <w:widowControl w:val="0"/>
        <w:wordWrap/>
        <w:bidi w:val="0"/>
        <w:spacing w:after="0" w:line="500" w:lineRule="exact"/>
        <w:ind w:left="0" w:leftChars="0" w:firstLine="0" w:firstLineChars="0"/>
        <w:jc w:val="both"/>
        <w:rPr>
          <w:rFonts w:hint="eastAsia" w:ascii="仿宋" w:hAnsi="仿宋" w:eastAsia="仿宋" w:cs="仿宋"/>
          <w:b/>
          <w:color w:val="000000"/>
          <w:sz w:val="28"/>
          <w:szCs w:val="28"/>
        </w:rPr>
      </w:pPr>
    </w:p>
    <w:p>
      <w:pPr>
        <w:keepNext w:val="0"/>
        <w:keepLines w:val="0"/>
        <w:pageBreakBefore w:val="0"/>
        <w:widowControl w:val="0"/>
        <w:wordWrap/>
        <w:bidi w:val="0"/>
        <w:spacing w:after="0" w:line="500" w:lineRule="exact"/>
        <w:jc w:val="center"/>
        <w:rPr>
          <w:rFonts w:ascii="方正小标宋简体" w:hAnsi="方正小标宋简体" w:eastAsia="方正小标宋简体" w:cs="方正小标宋简体"/>
          <w:bCs/>
          <w:color w:val="000000"/>
          <w:spacing w:val="6"/>
          <w:sz w:val="40"/>
          <w:szCs w:val="40"/>
        </w:rPr>
      </w:pPr>
      <w:r>
        <w:rPr>
          <w:rFonts w:ascii="方正小标宋简体" w:hAnsi="方正小标宋简体" w:eastAsia="方正小标宋简体" w:cs="方正小标宋简体"/>
          <w:bCs/>
          <w:color w:val="000000"/>
          <w:spacing w:val="6"/>
          <w:sz w:val="40"/>
          <w:szCs w:val="40"/>
        </w:rPr>
        <w:br w:type="page"/>
      </w:r>
      <w:r>
        <w:rPr>
          <w:rFonts w:hint="eastAsia" w:ascii="方正小标宋简体" w:hAnsi="方正小标宋简体" w:eastAsia="方正小标宋简体" w:cs="方正小标宋简体"/>
          <w:bCs/>
          <w:color w:val="000000"/>
          <w:spacing w:val="6"/>
          <w:sz w:val="40"/>
          <w:szCs w:val="40"/>
        </w:rPr>
        <mc:AlternateContent>
          <mc:Choice Requires="wps">
            <w:drawing>
              <wp:anchor distT="0" distB="0" distL="114300" distR="114300" simplePos="0" relativeHeight="251714560" behindDoc="0" locked="0" layoutInCell="1" allowOverlap="1">
                <wp:simplePos x="0" y="0"/>
                <wp:positionH relativeFrom="column">
                  <wp:posOffset>-245110</wp:posOffset>
                </wp:positionH>
                <wp:positionV relativeFrom="paragraph">
                  <wp:posOffset>8286115</wp:posOffset>
                </wp:positionV>
                <wp:extent cx="1079500" cy="579120"/>
                <wp:effectExtent l="4445" t="4445" r="20955" b="6985"/>
                <wp:wrapNone/>
                <wp:docPr id="91" name="文本框 91"/>
                <wp:cNvGraphicFramePr/>
                <a:graphic xmlns:a="http://schemas.openxmlformats.org/drawingml/2006/main">
                  <a:graphicData uri="http://schemas.microsoft.com/office/word/2010/wordprocessingShape">
                    <wps:wsp>
                      <wps:cNvSpPr txBox="1"/>
                      <wps:spPr>
                        <a:xfrm>
                          <a:off x="0" y="0"/>
                          <a:ext cx="1079500" cy="579120"/>
                        </a:xfrm>
                        <a:prstGeom prst="rect">
                          <a:avLst/>
                        </a:prstGeom>
                        <a:solidFill>
                          <a:srgbClr val="FFFFFF"/>
                        </a:solidFill>
                        <a:ln w="9525" cap="flat" cmpd="sng">
                          <a:solidFill>
                            <a:srgbClr val="FFFFFF"/>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202" type="#_x0000_t202" style="position:absolute;left:0pt;margin-left:-19.3pt;margin-top:652.45pt;height:45.6pt;width:85pt;z-index:251714560;mso-width-relative:page;mso-height-relative:page;" fillcolor="#FFFFFF" filled="t" stroked="t" coordsize="21600,21600" o:gfxdata="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OkPXtoAAAANAQAADwAAAAAAAAABACAAAAAi&#10;AAAAZHJzL2Rvd25yZXYueG1sUEsBAhQAFAAAAAgAh07iQG5kMzIIAgAAOAQAAA4AAAAAAAAAAQAg&#10;AAAAKQEAAGRycy9lMm9Eb2MueG1sUEsFBgAAAAAGAAYAWQEAAKMFAAAAAA==&#10;">
                <v:fill on="t" focussize="0,0"/>
                <v:stroke color="#FFFFFF" joinstyle="miter"/>
                <v:imagedata o:title=""/>
                <o:lock v:ext="edit" aspectratio="f"/>
                <v:textbox>
                  <w:txbxContent>
                    <w:p/>
                  </w:txbxContent>
                </v:textbox>
              </v:shape>
            </w:pict>
          </mc:Fallback>
        </mc:AlternateContent>
      </w:r>
      <w:r>
        <w:rPr>
          <w:rFonts w:hint="eastAsia" w:ascii="方正小标宋简体" w:hAnsi="方正小标宋简体" w:eastAsia="方正小标宋简体" w:cs="方正小标宋简体"/>
          <w:bCs/>
          <w:color w:val="000000"/>
          <w:spacing w:val="6"/>
          <w:sz w:val="40"/>
          <w:szCs w:val="40"/>
        </w:rPr>
        <w:t>律师办理建设工程施工合同纠纷案件</w:t>
      </w:r>
    </w:p>
    <w:p>
      <w:pPr>
        <w:keepNext w:val="0"/>
        <w:keepLines w:val="0"/>
        <w:pageBreakBefore w:val="0"/>
        <w:widowControl w:val="0"/>
        <w:wordWrap/>
        <w:bidi w:val="0"/>
        <w:spacing w:after="0" w:line="500" w:lineRule="exact"/>
        <w:jc w:val="center"/>
        <w:rPr>
          <w:rFonts w:ascii="方正小标宋简体" w:hAnsi="方正小标宋简体" w:eastAsia="方正小标宋简体" w:cs="方正小标宋简体"/>
          <w:bCs/>
          <w:color w:val="000000"/>
          <w:spacing w:val="6"/>
          <w:sz w:val="40"/>
          <w:szCs w:val="40"/>
        </w:rPr>
      </w:pPr>
      <w:r>
        <w:rPr>
          <w:rFonts w:hint="eastAsia" w:ascii="方正小标宋简体" w:hAnsi="方正小标宋简体" w:eastAsia="方正小标宋简体" w:cs="方正小标宋简体"/>
          <w:bCs/>
          <w:color w:val="000000"/>
          <w:spacing w:val="6"/>
          <w:sz w:val="40"/>
          <w:szCs w:val="40"/>
        </w:rPr>
        <w:t>诉讼业务操作指引</w:t>
      </w:r>
    </w:p>
    <w:p>
      <w:pPr>
        <w:keepNext w:val="0"/>
        <w:keepLines w:val="0"/>
        <w:pageBreakBefore w:val="0"/>
        <w:widowControl w:val="0"/>
        <w:wordWrap/>
        <w:bidi w:val="0"/>
        <w:spacing w:after="0" w:line="500" w:lineRule="exact"/>
        <w:ind w:firstLine="522" w:firstLineChars="200"/>
        <w:jc w:val="both"/>
        <w:rPr>
          <w:rFonts w:hint="eastAsia" w:ascii="仿宋" w:hAnsi="仿宋" w:eastAsia="仿宋" w:cs="仿宋"/>
          <w:b/>
          <w:color w:val="000000"/>
          <w:sz w:val="28"/>
          <w:szCs w:val="28"/>
        </w:rPr>
      </w:pPr>
    </w:p>
    <w:p>
      <w:pPr>
        <w:keepNext w:val="0"/>
        <w:keepLines w:val="0"/>
        <w:pageBreakBefore w:val="0"/>
        <w:widowControl w:val="0"/>
        <w:wordWrap/>
        <w:bidi w:val="0"/>
        <w:spacing w:after="0" w:line="500" w:lineRule="exact"/>
        <w:jc w:val="center"/>
        <w:rPr>
          <w:rFonts w:hint="eastAsia" w:ascii="黑体" w:hAnsi="黑体" w:eastAsia="黑体" w:cs="黑体"/>
          <w:bCs/>
          <w:color w:val="000000"/>
          <w:sz w:val="28"/>
          <w:szCs w:val="28"/>
        </w:rPr>
      </w:pPr>
      <w:r>
        <w:rPr>
          <w:rFonts w:hint="eastAsia" w:ascii="黑体" w:hAnsi="黑体" w:eastAsia="黑体" w:cs="黑体"/>
          <w:bCs/>
          <w:color w:val="000000"/>
          <w:sz w:val="28"/>
          <w:szCs w:val="28"/>
        </w:rPr>
        <w:t>第一章  总则</w:t>
      </w:r>
    </w:p>
    <w:p>
      <w:pPr>
        <w:pStyle w:val="8"/>
        <w:keepNext w:val="0"/>
        <w:keepLines w:val="0"/>
        <w:pageBreakBefore w:val="0"/>
        <w:widowControl w:val="0"/>
        <w:wordWrap/>
        <w:bidi w:val="0"/>
        <w:spacing w:line="500" w:lineRule="exact"/>
        <w:ind w:firstLine="522" w:firstLineChars="200"/>
        <w:rPr>
          <w:rFonts w:hint="eastAsia" w:ascii="仿宋_GB2312" w:hAnsi="仿宋" w:eastAsia="仿宋_GB2312" w:cs="仿宋"/>
          <w:color w:val="000000"/>
          <w:kern w:val="0"/>
          <w:sz w:val="28"/>
          <w:szCs w:val="28"/>
          <w:lang w:val="zh-CN"/>
        </w:rPr>
      </w:pPr>
      <w:r>
        <w:rPr>
          <w:rFonts w:hint="eastAsia" w:ascii="仿宋_GB2312" w:hAnsi="仿宋" w:eastAsia="仿宋_GB2312" w:cs="仿宋"/>
          <w:b/>
          <w:bCs/>
          <w:color w:val="000000"/>
          <w:sz w:val="28"/>
          <w:szCs w:val="28"/>
        </w:rPr>
        <w:t>第一条</w:t>
      </w:r>
      <w:r>
        <w:rPr>
          <w:rFonts w:hint="eastAsia" w:ascii="仿宋_GB2312" w:hAnsi="仿宋" w:eastAsia="仿宋_GB2312" w:cs="仿宋"/>
          <w:color w:val="000000"/>
          <w:sz w:val="28"/>
          <w:szCs w:val="28"/>
        </w:rPr>
        <w:t xml:space="preserve">  </w:t>
      </w:r>
      <w:r>
        <w:rPr>
          <w:rFonts w:hint="eastAsia" w:ascii="仿宋_GB2312" w:hAnsi="仿宋" w:eastAsia="仿宋_GB2312" w:cs="仿宋"/>
          <w:color w:val="000000"/>
          <w:kern w:val="0"/>
          <w:sz w:val="28"/>
          <w:szCs w:val="28"/>
          <w:lang w:val="zh-CN"/>
        </w:rPr>
        <w:t>宗旨</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lang w:val="zh-CN"/>
        </w:rPr>
      </w:pPr>
      <w:r>
        <w:rPr>
          <w:rFonts w:hint="eastAsia" w:ascii="仿宋_GB2312" w:hAnsi="仿宋" w:eastAsia="仿宋_GB2312" w:cs="仿宋"/>
          <w:color w:val="000000"/>
          <w:sz w:val="28"/>
          <w:szCs w:val="28"/>
          <w:lang w:val="zh-CN"/>
        </w:rPr>
        <w:t>为指导律师承接、办理</w:t>
      </w:r>
      <w:r>
        <w:rPr>
          <w:rFonts w:hint="eastAsia" w:ascii="仿宋_GB2312" w:hAnsi="仿宋" w:eastAsia="仿宋_GB2312" w:cs="仿宋"/>
          <w:color w:val="000000"/>
          <w:sz w:val="28"/>
          <w:szCs w:val="28"/>
        </w:rPr>
        <w:t>建设工程施工合同纠纷案件诉讼业务</w:t>
      </w:r>
      <w:r>
        <w:rPr>
          <w:rFonts w:hint="eastAsia" w:ascii="仿宋_GB2312" w:hAnsi="仿宋" w:eastAsia="仿宋_GB2312" w:cs="仿宋"/>
          <w:color w:val="000000"/>
          <w:sz w:val="28"/>
          <w:szCs w:val="28"/>
          <w:lang w:val="zh-CN"/>
        </w:rPr>
        <w:t>，规范律师执业行为，保障律师依法履行职责，维护当事人合法权益，依据《中华人民共和国民法典》（以下简称《民法典》）、《中华人民共和国建筑法》（以下简称《建筑法》）、</w:t>
      </w:r>
      <w:r>
        <w:rPr>
          <w:rFonts w:hint="eastAsia" w:ascii="仿宋_GB2312" w:hAnsi="仿宋" w:eastAsia="仿宋_GB2312" w:cs="仿宋"/>
          <w:color w:val="000000"/>
          <w:sz w:val="28"/>
          <w:szCs w:val="28"/>
        </w:rPr>
        <w:t>《中华人民共和国</w:t>
      </w: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"http://www.66law.cn/tiaoli/43.aspx" \t "_blank" \o "招标投标法" </w:instrText>
      </w:r>
      <w:r>
        <w:rPr>
          <w:rFonts w:hint="eastAsia" w:ascii="仿宋_GB2312" w:hAnsi="仿宋" w:eastAsia="仿宋_GB2312" w:cs="仿宋"/>
          <w:color w:val="000000"/>
          <w:sz w:val="28"/>
          <w:szCs w:val="28"/>
        </w:rPr>
        <w:fldChar w:fldCharType="separate"/>
      </w:r>
      <w:r>
        <w:rPr>
          <w:rStyle w:val="20"/>
          <w:rFonts w:hint="eastAsia" w:ascii="仿宋_GB2312" w:hAnsi="仿宋" w:eastAsia="仿宋_GB2312" w:cs="仿宋"/>
          <w:color w:val="000000"/>
          <w:sz w:val="28"/>
          <w:szCs w:val="28"/>
          <w:u w:val="none"/>
        </w:rPr>
        <w:t>招标投标法</w:t>
      </w:r>
      <w:r>
        <w:rPr>
          <w:rStyle w:val="20"/>
          <w:rFonts w:hint="eastAsia" w:ascii="仿宋_GB2312" w:hAnsi="仿宋" w:eastAsia="仿宋_GB2312" w:cs="仿宋"/>
          <w:color w:val="000000"/>
          <w:sz w:val="28"/>
          <w:szCs w:val="28"/>
          <w:u w:val="none"/>
        </w:rPr>
        <w:fldChar w:fldCharType="end"/>
      </w:r>
      <w:r>
        <w:rPr>
          <w:rFonts w:hint="eastAsia" w:ascii="仿宋_GB2312" w:hAnsi="仿宋" w:eastAsia="仿宋_GB2312" w:cs="仿宋"/>
          <w:color w:val="000000"/>
          <w:sz w:val="28"/>
          <w:szCs w:val="28"/>
        </w:rPr>
        <w:t>》</w:t>
      </w:r>
      <w:r>
        <w:rPr>
          <w:rFonts w:hint="eastAsia" w:ascii="仿宋_GB2312" w:hAnsi="仿宋" w:eastAsia="仿宋_GB2312" w:cs="仿宋"/>
          <w:color w:val="000000"/>
          <w:sz w:val="28"/>
          <w:szCs w:val="28"/>
          <w:lang w:val="zh-CN"/>
        </w:rPr>
        <w:t>（以下简称《招投标法》）、《中华人民共和国律师法》（以下简称《律师法》）、《中华人民共和国民事诉讼法》（以下简称《民事诉讼法》）等法律、法规、规章和最高人民法院相关司法解释的规定，结合律师办理</w:t>
      </w:r>
      <w:r>
        <w:rPr>
          <w:rFonts w:hint="eastAsia" w:ascii="仿宋_GB2312" w:hAnsi="仿宋" w:eastAsia="仿宋_GB2312" w:cs="仿宋"/>
          <w:color w:val="000000"/>
          <w:sz w:val="28"/>
          <w:szCs w:val="28"/>
        </w:rPr>
        <w:t>建设工程施工合同纠纷</w:t>
      </w:r>
      <w:r>
        <w:rPr>
          <w:rFonts w:hint="eastAsia" w:ascii="仿宋_GB2312" w:hAnsi="仿宋" w:eastAsia="仿宋_GB2312" w:cs="仿宋"/>
          <w:color w:val="000000"/>
          <w:sz w:val="28"/>
          <w:szCs w:val="28"/>
          <w:lang w:val="zh-CN"/>
        </w:rPr>
        <w:t>诉讼业务的实务，制定本指引。</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bCs/>
          <w:color w:val="000000"/>
          <w:kern w:val="2"/>
          <w:sz w:val="28"/>
          <w:szCs w:val="28"/>
          <w:lang w:val="zh-CN"/>
        </w:rPr>
        <w:t xml:space="preserve">第二条 </w:t>
      </w:r>
      <w:r>
        <w:rPr>
          <w:rFonts w:hint="eastAsia" w:ascii="仿宋_GB2312" w:hAnsi="仿宋" w:eastAsia="仿宋_GB2312" w:cs="仿宋"/>
          <w:b/>
          <w:bCs/>
          <w:color w:val="000000"/>
          <w:kern w:val="2"/>
          <w:sz w:val="28"/>
          <w:szCs w:val="28"/>
        </w:rPr>
        <w:t xml:space="preserve"> </w:t>
      </w:r>
      <w:r>
        <w:rPr>
          <w:rFonts w:hint="eastAsia" w:ascii="仿宋_GB2312" w:hAnsi="仿宋" w:eastAsia="仿宋_GB2312" w:cs="仿宋"/>
          <w:color w:val="000000"/>
          <w:sz w:val="28"/>
          <w:szCs w:val="28"/>
        </w:rPr>
        <w:t>概念界定</w:t>
      </w:r>
    </w:p>
    <w:p>
      <w:pPr>
        <w:keepNext w:val="0"/>
        <w:keepLines w:val="0"/>
        <w:pageBreakBefore w:val="0"/>
        <w:widowControl w:val="0"/>
        <w:numPr>
          <w:ilvl w:val="0"/>
          <w:numId w:val="114"/>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rPr>
        <w:t>本指引所称的“</w:t>
      </w:r>
      <w:r>
        <w:rPr>
          <w:rFonts w:hint="eastAsia" w:ascii="仿宋_GB2312" w:hAnsi="仿宋" w:eastAsia="仿宋_GB2312" w:cs="仿宋"/>
          <w:color w:val="000000"/>
          <w:sz w:val="28"/>
          <w:szCs w:val="28"/>
        </w:rPr>
        <w:t>建设工程施工合同纠纷诉讼</w:t>
      </w:r>
      <w:r>
        <w:rPr>
          <w:rFonts w:hint="eastAsia" w:ascii="仿宋_GB2312" w:hAnsi="仿宋" w:eastAsia="仿宋_GB2312" w:cs="仿宋"/>
          <w:color w:val="000000"/>
          <w:sz w:val="28"/>
          <w:szCs w:val="28"/>
          <w:lang w:val="zh-CN"/>
        </w:rPr>
        <w:t>”</w:t>
      </w:r>
      <w:r>
        <w:rPr>
          <w:rFonts w:hint="eastAsia" w:ascii="仿宋_GB2312" w:hAnsi="仿宋" w:eastAsia="仿宋_GB2312" w:cs="仿宋"/>
          <w:color w:val="000000"/>
          <w:sz w:val="28"/>
          <w:szCs w:val="28"/>
        </w:rPr>
        <w:t>是指，建设单位（发包人）将建设工程发包给施工单位（承包人），发包人与承包人就合同订立、合同效力、合同履行等发生纠纷，而依据《民法典》等相关法律法规通过民事诉讼程序解决争议的活动。</w:t>
      </w:r>
    </w:p>
    <w:p>
      <w:pPr>
        <w:keepNext w:val="0"/>
        <w:keepLines w:val="0"/>
        <w:pageBreakBefore w:val="0"/>
        <w:widowControl w:val="0"/>
        <w:numPr>
          <w:ilvl w:val="0"/>
          <w:numId w:val="114"/>
        </w:numPr>
        <w:wordWrap/>
        <w:bidi w:val="0"/>
        <w:spacing w:after="0" w:line="500" w:lineRule="exact"/>
        <w:ind w:firstLine="522" w:firstLineChars="200"/>
        <w:jc w:val="both"/>
        <w:rPr>
          <w:rFonts w:hint="eastAsia" w:ascii="仿宋_GB2312" w:hAnsi="仿宋" w:eastAsia="仿宋_GB2312" w:cs="仿宋"/>
          <w:color w:val="000000"/>
          <w:sz w:val="28"/>
          <w:szCs w:val="28"/>
          <w:lang w:val="zh-CN"/>
        </w:rPr>
      </w:pPr>
      <w:r>
        <w:rPr>
          <w:rFonts w:hint="eastAsia" w:ascii="仿宋_GB2312" w:hAnsi="仿宋" w:eastAsia="仿宋_GB2312" w:cs="仿宋"/>
          <w:color w:val="000000"/>
          <w:sz w:val="28"/>
          <w:szCs w:val="28"/>
          <w:lang w:val="zh-CN"/>
        </w:rPr>
        <w:t>本指引所称的“</w:t>
      </w:r>
      <w:r>
        <w:rPr>
          <w:rFonts w:hint="eastAsia" w:ascii="仿宋_GB2312" w:hAnsi="仿宋" w:eastAsia="仿宋_GB2312" w:cs="仿宋"/>
          <w:color w:val="000000"/>
          <w:sz w:val="28"/>
          <w:szCs w:val="28"/>
        </w:rPr>
        <w:t>建设工程施工合同纠纷诉讼</w:t>
      </w:r>
      <w:r>
        <w:rPr>
          <w:rFonts w:hint="eastAsia" w:ascii="仿宋_GB2312" w:hAnsi="仿宋" w:eastAsia="仿宋_GB2312" w:cs="仿宋"/>
          <w:color w:val="000000"/>
          <w:sz w:val="28"/>
          <w:szCs w:val="28"/>
          <w:lang w:val="zh-CN"/>
        </w:rPr>
        <w:t>”亦包含实际施工人与承包方、发包方所发生的诉讼。</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lang w:val="zh-CN"/>
        </w:rPr>
      </w:pPr>
      <w:r>
        <w:rPr>
          <w:rFonts w:hint="eastAsia" w:ascii="仿宋_GB2312" w:hAnsi="仿宋" w:eastAsia="仿宋_GB2312" w:cs="仿宋"/>
          <w:b/>
          <w:bCs/>
          <w:color w:val="000000"/>
          <w:kern w:val="2"/>
          <w:sz w:val="28"/>
          <w:szCs w:val="28"/>
          <w:lang w:val="zh-CN"/>
        </w:rPr>
        <w:t>第三条</w:t>
      </w:r>
      <w:r>
        <w:rPr>
          <w:rFonts w:hint="eastAsia" w:ascii="仿宋_GB2312" w:hAnsi="仿宋" w:eastAsia="仿宋_GB2312" w:cs="仿宋"/>
          <w:color w:val="000000"/>
          <w:sz w:val="28"/>
          <w:szCs w:val="28"/>
          <w:lang w:val="zh-CN"/>
        </w:rPr>
        <w:t xml:space="preserve"> </w:t>
      </w:r>
      <w:r>
        <w:rPr>
          <w:rFonts w:hint="eastAsia" w:ascii="仿宋_GB2312" w:hAnsi="仿宋" w:eastAsia="仿宋_GB2312" w:cs="仿宋"/>
          <w:color w:val="000000"/>
          <w:sz w:val="28"/>
          <w:szCs w:val="28"/>
        </w:rPr>
        <w:t xml:space="preserve"> </w:t>
      </w:r>
      <w:r>
        <w:rPr>
          <w:rFonts w:hint="eastAsia" w:ascii="仿宋_GB2312" w:hAnsi="仿宋" w:eastAsia="仿宋_GB2312" w:cs="仿宋"/>
          <w:color w:val="000000"/>
          <w:sz w:val="28"/>
          <w:szCs w:val="28"/>
          <w:lang w:val="zh-CN"/>
        </w:rPr>
        <w:t>业务范围</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lang w:val="zh-CN"/>
        </w:rPr>
      </w:pPr>
      <w:r>
        <w:rPr>
          <w:rFonts w:hint="eastAsia" w:ascii="仿宋_GB2312" w:hAnsi="仿宋" w:eastAsia="仿宋_GB2312" w:cs="仿宋"/>
          <w:color w:val="000000"/>
          <w:sz w:val="28"/>
          <w:szCs w:val="28"/>
          <w:lang w:val="zh-CN"/>
        </w:rPr>
        <w:t>律师办理</w:t>
      </w:r>
      <w:r>
        <w:rPr>
          <w:rFonts w:hint="eastAsia" w:ascii="仿宋_GB2312" w:hAnsi="仿宋" w:eastAsia="仿宋_GB2312" w:cs="仿宋"/>
          <w:color w:val="000000"/>
          <w:sz w:val="28"/>
          <w:szCs w:val="28"/>
        </w:rPr>
        <w:t>建设工程施工合同纠纷诉讼</w:t>
      </w:r>
      <w:r>
        <w:rPr>
          <w:rFonts w:hint="eastAsia" w:ascii="仿宋_GB2312" w:hAnsi="仿宋" w:eastAsia="仿宋_GB2312" w:cs="仿宋"/>
          <w:color w:val="000000"/>
          <w:sz w:val="28"/>
          <w:szCs w:val="28"/>
          <w:lang w:val="zh-CN"/>
        </w:rPr>
        <w:t>业务的范围，包括但不限于：根据当事人的委托，提供相关法律咨询意见、在法律许可的范围内调查取证、起草诉讼文书和相关法律事务的其他文书、参加调解活动、代理参与纠纷涉及的一审、二审、再审及执行程序。</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lang w:val="zh-CN"/>
        </w:rPr>
      </w:pPr>
      <w:r>
        <w:rPr>
          <w:rFonts w:hint="eastAsia" w:ascii="仿宋_GB2312" w:hAnsi="仿宋" w:eastAsia="仿宋_GB2312" w:cs="仿宋"/>
          <w:b/>
          <w:bCs/>
          <w:color w:val="000000"/>
          <w:kern w:val="2"/>
          <w:sz w:val="28"/>
          <w:szCs w:val="28"/>
          <w:lang w:val="zh-CN"/>
        </w:rPr>
        <w:t>第四条</w:t>
      </w:r>
      <w:r>
        <w:rPr>
          <w:rFonts w:hint="eastAsia" w:ascii="仿宋_GB2312" w:hAnsi="仿宋" w:eastAsia="仿宋_GB2312" w:cs="仿宋"/>
          <w:color w:val="000000"/>
          <w:sz w:val="28"/>
          <w:szCs w:val="28"/>
          <w:lang w:val="zh-CN"/>
        </w:rPr>
        <w:t xml:space="preserve"> </w:t>
      </w:r>
      <w:r>
        <w:rPr>
          <w:rFonts w:hint="eastAsia" w:ascii="仿宋_GB2312" w:hAnsi="仿宋" w:eastAsia="仿宋_GB2312" w:cs="仿宋"/>
          <w:color w:val="000000"/>
          <w:sz w:val="28"/>
          <w:szCs w:val="28"/>
        </w:rPr>
        <w:t xml:space="preserve"> </w:t>
      </w:r>
      <w:r>
        <w:rPr>
          <w:rFonts w:hint="eastAsia" w:ascii="仿宋_GB2312" w:hAnsi="仿宋" w:eastAsia="仿宋_GB2312" w:cs="仿宋"/>
          <w:color w:val="000000"/>
          <w:sz w:val="28"/>
          <w:szCs w:val="28"/>
          <w:lang w:val="zh-CN"/>
        </w:rPr>
        <w:t>注意事项</w:t>
      </w:r>
    </w:p>
    <w:p>
      <w:pPr>
        <w:keepNext w:val="0"/>
        <w:keepLines w:val="0"/>
        <w:pageBreakBefore w:val="0"/>
        <w:widowControl w:val="0"/>
        <w:numPr>
          <w:ilvl w:val="0"/>
          <w:numId w:val="115"/>
        </w:numPr>
        <w:wordWrap/>
        <w:bidi w:val="0"/>
        <w:spacing w:after="0" w:line="500" w:lineRule="exact"/>
        <w:ind w:firstLine="522" w:firstLineChars="200"/>
        <w:jc w:val="both"/>
        <w:rPr>
          <w:rFonts w:hint="eastAsia" w:ascii="仿宋_GB2312" w:hAnsi="仿宋" w:eastAsia="仿宋_GB2312" w:cs="仿宋"/>
          <w:color w:val="000000"/>
          <w:sz w:val="28"/>
          <w:szCs w:val="28"/>
          <w:lang w:val="zh-CN"/>
        </w:rPr>
      </w:pPr>
      <w:r>
        <w:rPr>
          <w:rFonts w:hint="eastAsia" w:ascii="仿宋_GB2312" w:hAnsi="仿宋" w:eastAsia="仿宋_GB2312" w:cs="仿宋"/>
          <w:color w:val="000000"/>
          <w:sz w:val="28"/>
          <w:szCs w:val="28"/>
          <w:lang w:val="zh-CN"/>
        </w:rPr>
        <w:t>本指引</w:t>
      </w:r>
      <w:r>
        <w:rPr>
          <w:rFonts w:hint="eastAsia" w:ascii="仿宋_GB2312" w:hAnsi="仿宋" w:eastAsia="仿宋_GB2312" w:cs="仿宋"/>
          <w:color w:val="000000"/>
          <w:sz w:val="28"/>
          <w:szCs w:val="28"/>
        </w:rPr>
        <w:t>内容为</w:t>
      </w:r>
      <w:r>
        <w:rPr>
          <w:rFonts w:hint="eastAsia" w:ascii="仿宋_GB2312" w:hAnsi="仿宋" w:eastAsia="仿宋_GB2312" w:cs="仿宋"/>
          <w:color w:val="000000"/>
          <w:sz w:val="28"/>
          <w:szCs w:val="28"/>
          <w:lang w:val="zh-CN"/>
        </w:rPr>
        <w:t>律师</w:t>
      </w:r>
      <w:r>
        <w:rPr>
          <w:rFonts w:hint="eastAsia" w:ascii="仿宋_GB2312" w:hAnsi="仿宋" w:eastAsia="仿宋_GB2312" w:cs="仿宋"/>
          <w:color w:val="000000"/>
          <w:sz w:val="28"/>
          <w:szCs w:val="28"/>
        </w:rPr>
        <w:t>在</w:t>
      </w:r>
      <w:r>
        <w:rPr>
          <w:rFonts w:hint="eastAsia" w:ascii="仿宋_GB2312" w:hAnsi="仿宋" w:eastAsia="仿宋_GB2312" w:cs="仿宋"/>
          <w:color w:val="000000"/>
          <w:sz w:val="28"/>
          <w:szCs w:val="28"/>
          <w:lang w:val="zh-CN"/>
        </w:rPr>
        <w:t>办理</w:t>
      </w:r>
      <w:r>
        <w:rPr>
          <w:rFonts w:hint="eastAsia" w:ascii="仿宋_GB2312" w:hAnsi="仿宋" w:eastAsia="仿宋_GB2312" w:cs="仿宋"/>
          <w:color w:val="000000"/>
          <w:sz w:val="28"/>
          <w:szCs w:val="28"/>
        </w:rPr>
        <w:t>建设工程施工合同纠纷</w:t>
      </w:r>
      <w:r>
        <w:rPr>
          <w:rFonts w:hint="eastAsia" w:ascii="仿宋_GB2312" w:hAnsi="仿宋" w:eastAsia="仿宋_GB2312" w:cs="仿宋"/>
          <w:color w:val="000000"/>
          <w:sz w:val="28"/>
          <w:szCs w:val="28"/>
          <w:lang w:val="zh-CN"/>
        </w:rPr>
        <w:t>诉讼业务</w:t>
      </w:r>
      <w:r>
        <w:rPr>
          <w:rFonts w:hint="eastAsia" w:ascii="仿宋_GB2312" w:hAnsi="仿宋" w:eastAsia="仿宋_GB2312" w:cs="仿宋"/>
          <w:color w:val="000000"/>
          <w:sz w:val="28"/>
          <w:szCs w:val="28"/>
        </w:rPr>
        <w:t>时应关注</w:t>
      </w:r>
      <w:r>
        <w:rPr>
          <w:rFonts w:hint="eastAsia" w:ascii="仿宋_GB2312" w:hAnsi="仿宋" w:eastAsia="仿宋_GB2312" w:cs="仿宋"/>
          <w:color w:val="000000"/>
          <w:sz w:val="28"/>
          <w:szCs w:val="28"/>
          <w:lang w:val="zh-CN"/>
        </w:rPr>
        <w:t>的</w:t>
      </w:r>
      <w:r>
        <w:rPr>
          <w:rFonts w:hint="eastAsia" w:ascii="仿宋_GB2312" w:hAnsi="仿宋" w:eastAsia="仿宋_GB2312" w:cs="仿宋"/>
          <w:color w:val="000000"/>
          <w:sz w:val="28"/>
          <w:szCs w:val="28"/>
        </w:rPr>
        <w:t>流程及相关事项</w:t>
      </w:r>
      <w:r>
        <w:rPr>
          <w:rFonts w:hint="eastAsia" w:ascii="仿宋_GB2312" w:hAnsi="仿宋" w:eastAsia="仿宋_GB2312" w:cs="仿宋"/>
          <w:color w:val="000000"/>
          <w:sz w:val="28"/>
          <w:szCs w:val="28"/>
          <w:lang w:val="zh-CN"/>
        </w:rPr>
        <w:t>，仅供</w:t>
      </w:r>
      <w:r>
        <w:rPr>
          <w:rFonts w:hint="eastAsia" w:ascii="仿宋_GB2312" w:hAnsi="仿宋" w:eastAsia="仿宋_GB2312" w:cs="仿宋"/>
          <w:color w:val="000000"/>
          <w:sz w:val="28"/>
          <w:szCs w:val="28"/>
        </w:rPr>
        <w:t>律师承办具体法律事务时</w:t>
      </w:r>
      <w:r>
        <w:rPr>
          <w:rFonts w:hint="eastAsia" w:ascii="仿宋_GB2312" w:hAnsi="仿宋" w:eastAsia="仿宋_GB2312" w:cs="仿宋"/>
          <w:color w:val="000000"/>
          <w:sz w:val="28"/>
          <w:szCs w:val="28"/>
          <w:lang w:val="zh-CN"/>
        </w:rPr>
        <w:t>参考。</w:t>
      </w:r>
    </w:p>
    <w:p>
      <w:pPr>
        <w:keepNext w:val="0"/>
        <w:keepLines w:val="0"/>
        <w:pageBreakBefore w:val="0"/>
        <w:widowControl w:val="0"/>
        <w:numPr>
          <w:ilvl w:val="0"/>
          <w:numId w:val="115"/>
        </w:numPr>
        <w:wordWrap/>
        <w:bidi w:val="0"/>
        <w:spacing w:after="0" w:line="500" w:lineRule="exact"/>
        <w:ind w:firstLine="522" w:firstLineChars="200"/>
        <w:jc w:val="both"/>
        <w:rPr>
          <w:rFonts w:hint="eastAsia" w:ascii="仿宋_GB2312" w:hAnsi="仿宋" w:eastAsia="仿宋_GB2312" w:cs="仿宋"/>
          <w:color w:val="000000"/>
          <w:sz w:val="28"/>
          <w:szCs w:val="28"/>
          <w:lang w:val="zh-CN"/>
        </w:rPr>
      </w:pPr>
      <w:r>
        <w:rPr>
          <w:rFonts w:hint="eastAsia" w:ascii="仿宋_GB2312" w:hAnsi="仿宋" w:eastAsia="仿宋_GB2312" w:cs="仿宋"/>
          <w:color w:val="000000"/>
          <w:sz w:val="28"/>
          <w:szCs w:val="28"/>
          <w:lang w:val="zh-CN"/>
        </w:rPr>
        <w:t>律师在办理</w:t>
      </w:r>
      <w:r>
        <w:rPr>
          <w:rFonts w:hint="eastAsia" w:ascii="仿宋_GB2312" w:hAnsi="仿宋" w:eastAsia="仿宋_GB2312" w:cs="仿宋"/>
          <w:color w:val="000000"/>
          <w:sz w:val="28"/>
          <w:szCs w:val="28"/>
        </w:rPr>
        <w:t>建设工程施工合同纠纷</w:t>
      </w:r>
      <w:r>
        <w:rPr>
          <w:rFonts w:hint="eastAsia" w:ascii="仿宋_GB2312" w:hAnsi="仿宋" w:eastAsia="仿宋_GB2312" w:cs="仿宋"/>
          <w:color w:val="000000"/>
          <w:sz w:val="28"/>
          <w:szCs w:val="28"/>
          <w:lang w:val="zh-CN"/>
        </w:rPr>
        <w:t>诉讼业务时，应当遵守宪法和法律，恪守律师职业道德和执业纪律，在委托人的授权范围内，积极维护委托人的合法权益。</w:t>
      </w:r>
    </w:p>
    <w:p>
      <w:pPr>
        <w:keepNext w:val="0"/>
        <w:keepLines w:val="0"/>
        <w:pageBreakBefore w:val="0"/>
        <w:widowControl w:val="0"/>
        <w:numPr>
          <w:ilvl w:val="0"/>
          <w:numId w:val="115"/>
        </w:numPr>
        <w:wordWrap/>
        <w:bidi w:val="0"/>
        <w:spacing w:after="0" w:line="500" w:lineRule="exact"/>
        <w:ind w:firstLine="522" w:firstLineChars="200"/>
        <w:jc w:val="both"/>
        <w:rPr>
          <w:rFonts w:hint="eastAsia" w:ascii="仿宋_GB2312" w:hAnsi="仿宋" w:eastAsia="仿宋_GB2312" w:cs="仿宋"/>
          <w:color w:val="000000"/>
          <w:sz w:val="28"/>
          <w:szCs w:val="28"/>
          <w:lang w:val="zh-CN"/>
        </w:rPr>
      </w:pPr>
      <w:r>
        <w:rPr>
          <w:rFonts w:hint="eastAsia" w:ascii="仿宋_GB2312" w:hAnsi="仿宋" w:eastAsia="仿宋_GB2312" w:cs="仿宋"/>
          <w:color w:val="000000"/>
          <w:sz w:val="28"/>
          <w:szCs w:val="28"/>
        </w:rPr>
        <w:t>律师事务所在接受委托人委托前，应当就委托事项进行利益冲突检索。在确认不存在利益冲突的前提下，律师事务所才能正式接受委托人的委托，签订委托代理合同。</w:t>
      </w:r>
    </w:p>
    <w:p>
      <w:pPr>
        <w:keepNext w:val="0"/>
        <w:keepLines w:val="0"/>
        <w:pageBreakBefore w:val="0"/>
        <w:widowControl w:val="0"/>
        <w:numPr>
          <w:ilvl w:val="0"/>
          <w:numId w:val="115"/>
        </w:numPr>
        <w:wordWrap/>
        <w:bidi w:val="0"/>
        <w:spacing w:after="0" w:line="500" w:lineRule="exact"/>
        <w:ind w:firstLine="522" w:firstLineChars="200"/>
        <w:jc w:val="both"/>
        <w:rPr>
          <w:rFonts w:hint="eastAsia" w:ascii="仿宋_GB2312" w:hAnsi="仿宋" w:eastAsia="仿宋_GB2312" w:cs="仿宋"/>
          <w:color w:val="000000"/>
          <w:sz w:val="28"/>
          <w:szCs w:val="28"/>
          <w:lang w:val="zh-CN"/>
        </w:rPr>
      </w:pPr>
      <w:r>
        <w:rPr>
          <w:rFonts w:hint="eastAsia" w:ascii="仿宋_GB2312" w:hAnsi="仿宋" w:eastAsia="仿宋_GB2312" w:cs="仿宋"/>
          <w:color w:val="000000"/>
          <w:sz w:val="28"/>
          <w:szCs w:val="28"/>
          <w:lang w:val="zh-CN"/>
        </w:rPr>
        <w:t>律师承接</w:t>
      </w:r>
      <w:r>
        <w:rPr>
          <w:rFonts w:hint="eastAsia" w:ascii="仿宋_GB2312" w:hAnsi="仿宋" w:eastAsia="仿宋_GB2312" w:cs="仿宋"/>
          <w:color w:val="000000"/>
          <w:sz w:val="28"/>
          <w:szCs w:val="28"/>
        </w:rPr>
        <w:t>建设工程施工合同纠纷</w:t>
      </w:r>
      <w:r>
        <w:rPr>
          <w:rFonts w:hint="eastAsia" w:ascii="仿宋_GB2312" w:hAnsi="仿宋" w:eastAsia="仿宋_GB2312" w:cs="仿宋"/>
          <w:color w:val="000000"/>
          <w:sz w:val="28"/>
          <w:szCs w:val="28"/>
          <w:lang w:val="zh-CN"/>
        </w:rPr>
        <w:t>诉讼业务时，应当以律师事务所的名义与委托人订立书面的法律服务合同，明确约定委托范围、承办律师、律师费标准和收取方式、违约责任等双方的权利和义务。</w:t>
      </w:r>
    </w:p>
    <w:p>
      <w:pPr>
        <w:keepNext w:val="0"/>
        <w:keepLines w:val="0"/>
        <w:pageBreakBefore w:val="0"/>
        <w:widowControl w:val="0"/>
        <w:numPr>
          <w:ilvl w:val="0"/>
          <w:numId w:val="115"/>
        </w:numPr>
        <w:wordWrap/>
        <w:bidi w:val="0"/>
        <w:spacing w:after="0" w:line="500" w:lineRule="exact"/>
        <w:ind w:firstLine="522" w:firstLineChars="200"/>
        <w:jc w:val="both"/>
        <w:rPr>
          <w:rFonts w:hint="eastAsia" w:ascii="仿宋_GB2312" w:hAnsi="仿宋" w:eastAsia="仿宋_GB2312" w:cs="仿宋"/>
          <w:color w:val="000000"/>
          <w:sz w:val="28"/>
          <w:szCs w:val="28"/>
          <w:lang w:val="zh-CN"/>
        </w:rPr>
      </w:pPr>
      <w:r>
        <w:rPr>
          <w:rFonts w:hint="eastAsia" w:ascii="仿宋_GB2312" w:hAnsi="仿宋" w:eastAsia="仿宋_GB2312" w:cs="仿宋"/>
          <w:color w:val="000000"/>
          <w:sz w:val="28"/>
          <w:szCs w:val="28"/>
          <w:lang w:val="zh-CN"/>
        </w:rPr>
        <w:t>律师承接</w:t>
      </w:r>
      <w:r>
        <w:rPr>
          <w:rFonts w:hint="eastAsia" w:ascii="仿宋_GB2312" w:hAnsi="仿宋" w:eastAsia="仿宋_GB2312" w:cs="仿宋"/>
          <w:color w:val="000000"/>
          <w:sz w:val="28"/>
          <w:szCs w:val="28"/>
        </w:rPr>
        <w:t>建设工程施工合同纠纷</w:t>
      </w:r>
      <w:r>
        <w:rPr>
          <w:rFonts w:hint="eastAsia" w:ascii="仿宋_GB2312" w:hAnsi="仿宋" w:eastAsia="仿宋_GB2312" w:cs="仿宋"/>
          <w:color w:val="000000"/>
          <w:sz w:val="28"/>
          <w:szCs w:val="28"/>
          <w:lang w:val="zh-CN"/>
        </w:rPr>
        <w:t>诉讼业务时，建议以律师事务所的名义向委托人出具诉讼风险告知书。</w:t>
      </w:r>
    </w:p>
    <w:p>
      <w:pPr>
        <w:keepNext w:val="0"/>
        <w:keepLines w:val="0"/>
        <w:pageBreakBefore w:val="0"/>
        <w:widowControl w:val="0"/>
        <w:numPr>
          <w:ilvl w:val="0"/>
          <w:numId w:val="115"/>
        </w:numPr>
        <w:wordWrap/>
        <w:bidi w:val="0"/>
        <w:spacing w:after="0" w:line="500" w:lineRule="exact"/>
        <w:ind w:firstLine="522" w:firstLineChars="200"/>
        <w:jc w:val="both"/>
        <w:rPr>
          <w:rFonts w:hint="eastAsia" w:ascii="仿宋_GB2312" w:hAnsi="仿宋" w:eastAsia="仿宋_GB2312" w:cs="仿宋"/>
          <w:color w:val="000000"/>
          <w:sz w:val="28"/>
          <w:szCs w:val="28"/>
          <w:lang w:val="zh-CN"/>
        </w:rPr>
      </w:pPr>
      <w:r>
        <w:rPr>
          <w:rFonts w:hint="eastAsia" w:ascii="仿宋_GB2312" w:hAnsi="仿宋" w:eastAsia="仿宋_GB2312" w:cs="仿宋"/>
          <w:color w:val="000000"/>
          <w:sz w:val="28"/>
          <w:szCs w:val="28"/>
          <w:lang w:val="zh-CN"/>
        </w:rPr>
        <w:t>律师办理</w:t>
      </w:r>
      <w:r>
        <w:rPr>
          <w:rFonts w:hint="eastAsia" w:ascii="仿宋_GB2312" w:hAnsi="仿宋" w:eastAsia="仿宋_GB2312" w:cs="仿宋"/>
          <w:color w:val="000000"/>
          <w:sz w:val="28"/>
          <w:szCs w:val="28"/>
        </w:rPr>
        <w:t>建设工程施工合同纠纷</w:t>
      </w:r>
      <w:r>
        <w:rPr>
          <w:rFonts w:hint="eastAsia" w:ascii="仿宋_GB2312" w:hAnsi="仿宋" w:eastAsia="仿宋_GB2312" w:cs="仿宋"/>
          <w:color w:val="000000"/>
          <w:sz w:val="28"/>
          <w:szCs w:val="28"/>
          <w:lang w:val="zh-CN"/>
        </w:rPr>
        <w:t>诉讼完毕后，应当及时将案件资料归档。</w:t>
      </w:r>
    </w:p>
    <w:p>
      <w:pPr>
        <w:keepNext w:val="0"/>
        <w:keepLines w:val="0"/>
        <w:pageBreakBefore w:val="0"/>
        <w:widowControl w:val="0"/>
        <w:kinsoku/>
        <w:wordWrap/>
        <w:overflowPunct/>
        <w:topLinePunct w:val="0"/>
        <w:autoSpaceDE/>
        <w:autoSpaceDN/>
        <w:bidi w:val="0"/>
        <w:adjustRightInd/>
        <w:snapToGrid/>
        <w:spacing w:after="138" w:afterLines="30" w:line="500" w:lineRule="exact"/>
        <w:jc w:val="center"/>
        <w:textAlignment w:val="auto"/>
        <w:rPr>
          <w:rFonts w:hint="eastAsia" w:ascii="黑体" w:hAnsi="黑体" w:eastAsia="黑体" w:cs="黑体"/>
          <w:bCs/>
          <w:color w:val="000000"/>
          <w:sz w:val="28"/>
          <w:szCs w:val="28"/>
          <w:lang w:val="zh-CN"/>
        </w:rPr>
      </w:pPr>
    </w:p>
    <w:p>
      <w:pPr>
        <w:keepNext w:val="0"/>
        <w:keepLines w:val="0"/>
        <w:pageBreakBefore w:val="0"/>
        <w:widowControl w:val="0"/>
        <w:kinsoku/>
        <w:wordWrap/>
        <w:overflowPunct/>
        <w:topLinePunct w:val="0"/>
        <w:autoSpaceDE/>
        <w:autoSpaceDN/>
        <w:bidi w:val="0"/>
        <w:adjustRightInd/>
        <w:snapToGrid/>
        <w:spacing w:after="138" w:afterLines="30" w:line="500" w:lineRule="exact"/>
        <w:jc w:val="center"/>
        <w:textAlignment w:val="auto"/>
        <w:rPr>
          <w:rFonts w:hint="eastAsia" w:ascii="黑体" w:hAnsi="黑体" w:eastAsia="黑体" w:cs="黑体"/>
          <w:bCs/>
          <w:color w:val="000000"/>
          <w:sz w:val="28"/>
          <w:szCs w:val="28"/>
        </w:rPr>
      </w:pPr>
      <w:r>
        <w:rPr>
          <w:rFonts w:hint="eastAsia" w:ascii="黑体" w:hAnsi="黑体" w:eastAsia="黑体" w:cs="黑体"/>
          <w:bCs/>
          <w:color w:val="000000"/>
          <w:sz w:val="28"/>
          <w:szCs w:val="28"/>
          <w:lang w:val="zh-CN"/>
        </w:rPr>
        <w:t>第二章</w:t>
      </w:r>
      <w:r>
        <w:rPr>
          <w:rFonts w:hint="eastAsia" w:ascii="黑体" w:hAnsi="黑体" w:eastAsia="黑体" w:cs="黑体"/>
          <w:bCs/>
          <w:color w:val="000000"/>
          <w:sz w:val="28"/>
          <w:szCs w:val="28"/>
        </w:rPr>
        <w:t xml:space="preserve"> 律师办理建设工程施工合同纠纷案件诉讼业务流程指引</w:t>
      </w:r>
    </w:p>
    <w:p>
      <w:pPr>
        <w:keepNext w:val="0"/>
        <w:keepLines w:val="0"/>
        <w:pageBreakBefore w:val="0"/>
        <w:widowControl w:val="0"/>
        <w:wordWrap/>
        <w:bidi w:val="0"/>
        <w:spacing w:after="0" w:line="500" w:lineRule="exact"/>
        <w:jc w:val="center"/>
        <w:rPr>
          <w:rFonts w:hint="eastAsia" w:ascii="楷体" w:hAnsi="楷体" w:eastAsia="楷体" w:cs="楷体"/>
          <w:b/>
          <w:bCs/>
          <w:color w:val="000000"/>
          <w:sz w:val="28"/>
          <w:szCs w:val="28"/>
          <w:lang w:val="zh-CN"/>
        </w:rPr>
      </w:pPr>
      <w:r>
        <w:rPr>
          <w:rFonts w:hint="eastAsia" w:ascii="楷体" w:hAnsi="楷体" w:eastAsia="楷体" w:cs="楷体"/>
          <w:b/>
          <w:bCs/>
          <w:color w:val="000000"/>
          <w:sz w:val="28"/>
          <w:szCs w:val="28"/>
          <w:lang w:val="zh-CN"/>
        </w:rPr>
        <w:t>第一节 律师办理</w:t>
      </w:r>
      <w:r>
        <w:rPr>
          <w:rFonts w:hint="eastAsia" w:ascii="楷体" w:hAnsi="楷体" w:eastAsia="楷体" w:cs="楷体"/>
          <w:b/>
          <w:bCs/>
          <w:color w:val="000000"/>
          <w:sz w:val="28"/>
          <w:szCs w:val="28"/>
        </w:rPr>
        <w:t>建设工程施工合同纠纷案件</w:t>
      </w:r>
      <w:r>
        <w:rPr>
          <w:rFonts w:hint="eastAsia" w:ascii="楷体" w:hAnsi="楷体" w:eastAsia="楷体" w:cs="楷体"/>
          <w:b/>
          <w:bCs/>
          <w:color w:val="000000"/>
          <w:sz w:val="28"/>
          <w:szCs w:val="28"/>
          <w:lang w:val="zh-CN"/>
        </w:rPr>
        <w:t>诉讼业务</w:t>
      </w:r>
    </w:p>
    <w:p>
      <w:pPr>
        <w:keepNext w:val="0"/>
        <w:keepLines w:val="0"/>
        <w:pageBreakBefore w:val="0"/>
        <w:widowControl w:val="0"/>
        <w:wordWrap/>
        <w:bidi w:val="0"/>
        <w:spacing w:after="0" w:line="500" w:lineRule="exact"/>
        <w:jc w:val="center"/>
        <w:rPr>
          <w:rFonts w:hint="eastAsia" w:ascii="楷体" w:hAnsi="楷体" w:eastAsia="楷体" w:cs="楷体"/>
          <w:b/>
          <w:bCs/>
          <w:color w:val="000000"/>
          <w:sz w:val="28"/>
          <w:szCs w:val="28"/>
        </w:rPr>
      </w:pPr>
      <w:r>
        <w:rPr>
          <w:rFonts w:hint="eastAsia" w:ascii="楷体" w:hAnsi="楷体" w:eastAsia="楷体" w:cs="楷体"/>
          <w:b/>
          <w:bCs/>
          <w:color w:val="000000"/>
          <w:sz w:val="28"/>
          <w:szCs w:val="28"/>
          <w:lang w:val="zh-CN"/>
        </w:rPr>
        <w:t>一般性流程指引</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第五条</w:t>
      </w:r>
      <w:r>
        <w:rPr>
          <w:rFonts w:hint="eastAsia" w:ascii="仿宋_GB2312" w:hAnsi="仿宋" w:eastAsia="仿宋_GB2312" w:cs="仿宋"/>
          <w:color w:val="000000"/>
          <w:sz w:val="28"/>
          <w:szCs w:val="28"/>
        </w:rPr>
        <w:t xml:space="preserve">  基本要求</w:t>
      </w:r>
    </w:p>
    <w:p>
      <w:pPr>
        <w:keepNext w:val="0"/>
        <w:keepLines w:val="0"/>
        <w:pageBreakBefore w:val="0"/>
        <w:widowControl w:val="0"/>
        <w:numPr>
          <w:ilvl w:val="0"/>
          <w:numId w:val="116"/>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律师应当全面调查、了解案件事实，向当事人收集提起诉讼所需的相关证据，包括但不限于：当事人及相关人员对案件事实的陈述、建设工程施工合同、补充协议、招投标文件、会议纪要、付款凭证、发票、验收记录、签证文件、发包人与承包人、监理单位的往来函件、施工日志等。</w:t>
      </w:r>
    </w:p>
    <w:p>
      <w:pPr>
        <w:keepNext w:val="0"/>
        <w:keepLines w:val="0"/>
        <w:pageBreakBefore w:val="0"/>
        <w:widowControl w:val="0"/>
        <w:numPr>
          <w:ilvl w:val="0"/>
          <w:numId w:val="116"/>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律师应根据法律规定，向第三方收集证据，确因客观原因无法收集证据的，在规定的时间内及时向人民法院申请调查取证或申请律师调查令。</w:t>
      </w:r>
    </w:p>
    <w:p>
      <w:pPr>
        <w:keepNext w:val="0"/>
        <w:keepLines w:val="0"/>
        <w:pageBreakBefore w:val="0"/>
        <w:widowControl w:val="0"/>
        <w:numPr>
          <w:ilvl w:val="0"/>
          <w:numId w:val="116"/>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律师对于当事人提供的证据，需核对原件，但建议由当事人自己保管原件。</w:t>
      </w:r>
    </w:p>
    <w:p>
      <w:pPr>
        <w:keepNext w:val="0"/>
        <w:keepLines w:val="0"/>
        <w:pageBreakBefore w:val="0"/>
        <w:widowControl w:val="0"/>
        <w:numPr>
          <w:ilvl w:val="0"/>
          <w:numId w:val="116"/>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如果相关证据可能灭失或以后难以取得，律师应建议当事人在开庭审理前按照民事诉讼法以及证据规则的规定向人民法院申请证据保全。</w:t>
      </w:r>
    </w:p>
    <w:p>
      <w:pPr>
        <w:keepNext w:val="0"/>
        <w:keepLines w:val="0"/>
        <w:pageBreakBefore w:val="0"/>
        <w:widowControl w:val="0"/>
        <w:numPr>
          <w:ilvl w:val="0"/>
          <w:numId w:val="116"/>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律师应当了解可能争议的问题包括但不限于：工程价款是否足额支付、工程质量是否合格、工期是否延误、索赔、反索赔等，并根据争议问题，合理组织证据。</w:t>
      </w:r>
    </w:p>
    <w:p>
      <w:pPr>
        <w:pStyle w:val="8"/>
        <w:keepNext w:val="0"/>
        <w:keepLines w:val="0"/>
        <w:pageBreakBefore w:val="0"/>
        <w:widowControl w:val="0"/>
        <w:wordWrap/>
        <w:bidi w:val="0"/>
        <w:spacing w:line="500" w:lineRule="exact"/>
        <w:ind w:firstLine="522" w:firstLineChars="200"/>
        <w:rPr>
          <w:rFonts w:hint="eastAsia" w:ascii="仿宋_GB2312" w:hAnsi="仿宋" w:eastAsia="仿宋_GB2312" w:cs="仿宋"/>
          <w:color w:val="000000"/>
          <w:kern w:val="0"/>
          <w:sz w:val="28"/>
          <w:szCs w:val="28"/>
          <w:lang w:val="zh-CN"/>
        </w:rPr>
      </w:pPr>
      <w:r>
        <w:rPr>
          <w:rFonts w:hint="eastAsia" w:ascii="仿宋_GB2312" w:hAnsi="仿宋" w:eastAsia="仿宋_GB2312" w:cs="仿宋"/>
          <w:b/>
          <w:bCs/>
          <w:color w:val="000000"/>
          <w:kern w:val="0"/>
          <w:sz w:val="28"/>
          <w:szCs w:val="28"/>
        </w:rPr>
        <w:t xml:space="preserve">第六条  </w:t>
      </w:r>
      <w:r>
        <w:rPr>
          <w:rFonts w:hint="eastAsia" w:ascii="仿宋_GB2312" w:hAnsi="仿宋" w:eastAsia="仿宋_GB2312" w:cs="仿宋"/>
          <w:color w:val="000000"/>
          <w:kern w:val="0"/>
          <w:sz w:val="28"/>
          <w:szCs w:val="28"/>
          <w:lang w:val="zh-CN"/>
        </w:rPr>
        <w:t>法律检索</w:t>
      </w:r>
    </w:p>
    <w:p>
      <w:pPr>
        <w:keepNext w:val="0"/>
        <w:keepLines w:val="0"/>
        <w:pageBreakBefore w:val="0"/>
        <w:widowControl w:val="0"/>
        <w:numPr>
          <w:ilvl w:val="0"/>
          <w:numId w:val="117"/>
        </w:numPr>
        <w:wordWrap/>
        <w:bidi w:val="0"/>
        <w:spacing w:after="0" w:line="500" w:lineRule="exact"/>
        <w:ind w:firstLine="522" w:firstLineChars="200"/>
        <w:jc w:val="both"/>
        <w:rPr>
          <w:rFonts w:hint="eastAsia" w:ascii="仿宋_GB2312" w:hAnsi="仿宋" w:eastAsia="仿宋_GB2312" w:cs="仿宋"/>
          <w:color w:val="000000"/>
          <w:sz w:val="28"/>
          <w:szCs w:val="28"/>
          <w:lang w:val="zh-CN"/>
        </w:rPr>
      </w:pPr>
      <w:r>
        <w:rPr>
          <w:rFonts w:hint="eastAsia" w:ascii="仿宋_GB2312" w:hAnsi="仿宋" w:eastAsia="仿宋_GB2312" w:cs="仿宋"/>
          <w:color w:val="000000"/>
          <w:sz w:val="28"/>
          <w:szCs w:val="28"/>
          <w:lang w:val="zh-CN"/>
        </w:rPr>
        <w:t>律师在了解争议问题和相关事实后，应当围绕争议的法律问题，进行法律检索，确定处理争议可能适用的法律。律师办理</w:t>
      </w:r>
      <w:r>
        <w:rPr>
          <w:rFonts w:hint="eastAsia" w:ascii="仿宋_GB2312" w:hAnsi="仿宋" w:eastAsia="仿宋_GB2312" w:cs="仿宋"/>
          <w:color w:val="000000"/>
          <w:sz w:val="28"/>
          <w:szCs w:val="28"/>
        </w:rPr>
        <w:t>建设工程施工合同纠纷</w:t>
      </w:r>
      <w:r>
        <w:rPr>
          <w:rFonts w:hint="eastAsia" w:ascii="仿宋_GB2312" w:hAnsi="仿宋" w:eastAsia="仿宋_GB2312" w:cs="仿宋"/>
          <w:color w:val="000000"/>
          <w:sz w:val="28"/>
          <w:szCs w:val="28"/>
          <w:lang w:val="zh-CN"/>
        </w:rPr>
        <w:t>诉讼业务主要依据的法律包括但不限于：《民法典》、《建筑法》、《招投标法》、《民事诉讼法》、《最高人民法院</w:t>
      </w:r>
      <w:r>
        <w:rPr>
          <w:rStyle w:val="18"/>
          <w:rFonts w:hint="eastAsia" w:ascii="仿宋_GB2312" w:hAnsi="仿宋" w:eastAsia="仿宋_GB2312" w:cs="仿宋"/>
          <w:b w:val="0"/>
          <w:color w:val="000000"/>
          <w:sz w:val="28"/>
          <w:szCs w:val="28"/>
        </w:rPr>
        <w:t>关于审理</w:t>
      </w: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"http://www.66law.cn/gongchengjianzhu/" \t "_blank" \o "建设工程" </w:instrText>
      </w:r>
      <w:r>
        <w:rPr>
          <w:rFonts w:hint="eastAsia" w:ascii="仿宋_GB2312" w:hAnsi="仿宋" w:eastAsia="仿宋_GB2312" w:cs="仿宋"/>
          <w:color w:val="000000"/>
          <w:sz w:val="28"/>
          <w:szCs w:val="28"/>
        </w:rPr>
        <w:fldChar w:fldCharType="separate"/>
      </w:r>
      <w:r>
        <w:rPr>
          <w:rStyle w:val="20"/>
          <w:rFonts w:hint="eastAsia" w:ascii="仿宋_GB2312" w:hAnsi="仿宋" w:eastAsia="仿宋_GB2312" w:cs="仿宋"/>
          <w:bCs/>
          <w:color w:val="000000"/>
          <w:sz w:val="28"/>
          <w:szCs w:val="28"/>
          <w:u w:val="none"/>
        </w:rPr>
        <w:t>建设工程</w:t>
      </w:r>
      <w:r>
        <w:rPr>
          <w:rStyle w:val="20"/>
          <w:rFonts w:hint="eastAsia" w:ascii="仿宋_GB2312" w:hAnsi="仿宋" w:eastAsia="仿宋_GB2312" w:cs="仿宋"/>
          <w:bCs/>
          <w:color w:val="000000"/>
          <w:sz w:val="28"/>
          <w:szCs w:val="28"/>
          <w:u w:val="none"/>
        </w:rPr>
        <w:fldChar w:fldCharType="end"/>
      </w: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"http://www.66law.cn/special/sght/" \t "_blank" \o "施工合同" </w:instrText>
      </w:r>
      <w:r>
        <w:rPr>
          <w:rFonts w:hint="eastAsia" w:ascii="仿宋_GB2312" w:hAnsi="仿宋" w:eastAsia="仿宋_GB2312" w:cs="仿宋"/>
          <w:color w:val="000000"/>
          <w:sz w:val="28"/>
          <w:szCs w:val="28"/>
        </w:rPr>
        <w:fldChar w:fldCharType="separate"/>
      </w:r>
      <w:r>
        <w:rPr>
          <w:rStyle w:val="20"/>
          <w:rFonts w:hint="eastAsia" w:ascii="仿宋_GB2312" w:hAnsi="仿宋" w:eastAsia="仿宋_GB2312" w:cs="仿宋"/>
          <w:bCs/>
          <w:color w:val="000000"/>
          <w:sz w:val="28"/>
          <w:szCs w:val="28"/>
          <w:u w:val="none"/>
        </w:rPr>
        <w:t>施工合同</w:t>
      </w:r>
      <w:r>
        <w:rPr>
          <w:rStyle w:val="20"/>
          <w:rFonts w:hint="eastAsia" w:ascii="仿宋_GB2312" w:hAnsi="仿宋" w:eastAsia="仿宋_GB2312" w:cs="仿宋"/>
          <w:bCs/>
          <w:color w:val="000000"/>
          <w:sz w:val="28"/>
          <w:szCs w:val="28"/>
          <w:u w:val="none"/>
        </w:rPr>
        <w:fldChar w:fldCharType="end"/>
      </w:r>
      <w:r>
        <w:rPr>
          <w:rStyle w:val="18"/>
          <w:rFonts w:hint="eastAsia" w:ascii="仿宋_GB2312" w:hAnsi="仿宋" w:eastAsia="仿宋_GB2312" w:cs="仿宋"/>
          <w:b w:val="0"/>
          <w:color w:val="000000"/>
          <w:sz w:val="28"/>
          <w:szCs w:val="28"/>
        </w:rPr>
        <w:t>纠纷案件适用法律问题的解释（一）</w:t>
      </w:r>
      <w:r>
        <w:rPr>
          <w:rFonts w:hint="eastAsia" w:ascii="仿宋_GB2312" w:hAnsi="仿宋" w:eastAsia="仿宋_GB2312" w:cs="仿宋"/>
          <w:color w:val="000000"/>
          <w:sz w:val="28"/>
          <w:szCs w:val="28"/>
          <w:lang w:val="zh-CN"/>
        </w:rPr>
        <w:t>》（以下简称《施工合同纠纷司法解释》）、</w:t>
      </w:r>
      <w:r>
        <w:rPr>
          <w:rFonts w:hint="eastAsia" w:ascii="仿宋_GB2312" w:hAnsi="仿宋" w:eastAsia="仿宋_GB2312" w:cs="仿宋"/>
          <w:color w:val="000000"/>
          <w:sz w:val="28"/>
          <w:szCs w:val="28"/>
        </w:rPr>
        <w:t>《最高人民法院关于适用〈中华人民共和国民事诉讼法〉若干问题的意见》（以下简称《民诉法司法解释》）等。</w:t>
      </w:r>
    </w:p>
    <w:p>
      <w:pPr>
        <w:keepNext w:val="0"/>
        <w:keepLines w:val="0"/>
        <w:pageBreakBefore w:val="0"/>
        <w:widowControl w:val="0"/>
        <w:numPr>
          <w:ilvl w:val="0"/>
          <w:numId w:val="117"/>
        </w:numPr>
        <w:wordWrap/>
        <w:bidi w:val="0"/>
        <w:spacing w:after="0" w:line="500" w:lineRule="exact"/>
        <w:ind w:firstLine="522" w:firstLineChars="200"/>
        <w:jc w:val="both"/>
        <w:rPr>
          <w:rFonts w:hint="eastAsia" w:ascii="仿宋_GB2312" w:hAnsi="仿宋" w:eastAsia="仿宋_GB2312" w:cs="仿宋"/>
          <w:color w:val="000000"/>
          <w:sz w:val="28"/>
          <w:szCs w:val="28"/>
          <w:lang w:val="zh-CN"/>
        </w:rPr>
      </w:pPr>
      <w:r>
        <w:rPr>
          <w:rFonts w:hint="eastAsia" w:ascii="仿宋_GB2312" w:hAnsi="仿宋" w:eastAsia="仿宋_GB2312" w:cs="仿宋"/>
          <w:color w:val="000000"/>
          <w:sz w:val="28"/>
          <w:szCs w:val="28"/>
          <w:lang w:val="zh-CN"/>
        </w:rPr>
        <w:t>律师进行法律检索，检索范围包括但不限于法律、行政法规、行政规章、规范性文件、地方性法规、司法解释、最高人民法院公报、最高人民法院个案批复、最高人民法院会议纪要、最高人民法院及各地法院案例和地方法院的业务指导意见。律师应当了解上述检索结果的适用范围，提炼裁判规则。</w:t>
      </w:r>
    </w:p>
    <w:p>
      <w:pPr>
        <w:keepNext w:val="0"/>
        <w:keepLines w:val="0"/>
        <w:pageBreakBefore w:val="0"/>
        <w:widowControl w:val="0"/>
        <w:numPr>
          <w:ilvl w:val="0"/>
          <w:numId w:val="117"/>
        </w:numPr>
        <w:wordWrap/>
        <w:bidi w:val="0"/>
        <w:spacing w:after="0" w:line="500" w:lineRule="exact"/>
        <w:ind w:firstLine="522" w:firstLineChars="200"/>
        <w:jc w:val="both"/>
        <w:rPr>
          <w:rFonts w:hint="eastAsia" w:ascii="仿宋_GB2312" w:hAnsi="仿宋" w:eastAsia="仿宋_GB2312" w:cs="仿宋"/>
          <w:color w:val="000000"/>
          <w:sz w:val="28"/>
          <w:szCs w:val="28"/>
          <w:lang w:val="zh-CN"/>
        </w:rPr>
      </w:pPr>
      <w:r>
        <w:rPr>
          <w:rFonts w:hint="eastAsia" w:ascii="仿宋_GB2312" w:hAnsi="仿宋" w:eastAsia="仿宋_GB2312" w:cs="仿宋"/>
          <w:color w:val="000000"/>
          <w:sz w:val="28"/>
          <w:szCs w:val="28"/>
          <w:lang w:val="zh-CN"/>
        </w:rPr>
        <w:t>如果对争议问题的法律适用存在较大争议，或法律依据不明确时，律师应注意搜集、整理相关理论文章的相关观点，从法理上寻找依据。</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lang w:val="zh-CN"/>
        </w:rPr>
      </w:pPr>
      <w:r>
        <w:rPr>
          <w:rFonts w:hint="eastAsia" w:ascii="仿宋_GB2312" w:hAnsi="仿宋" w:eastAsia="仿宋_GB2312" w:cs="仿宋"/>
          <w:b/>
          <w:bCs/>
          <w:color w:val="000000"/>
          <w:sz w:val="28"/>
          <w:szCs w:val="28"/>
          <w:lang w:val="zh-CN"/>
        </w:rPr>
        <w:t>第七条</w:t>
      </w:r>
      <w:r>
        <w:rPr>
          <w:rFonts w:hint="eastAsia" w:ascii="仿宋_GB2312" w:hAnsi="仿宋" w:eastAsia="仿宋_GB2312" w:cs="仿宋"/>
          <w:color w:val="000000"/>
          <w:sz w:val="28"/>
          <w:szCs w:val="28"/>
          <w:lang w:val="zh-CN"/>
        </w:rPr>
        <w:t xml:space="preserve"> </w:t>
      </w:r>
      <w:r>
        <w:rPr>
          <w:rFonts w:hint="eastAsia" w:ascii="仿宋_GB2312" w:hAnsi="仿宋" w:eastAsia="仿宋_GB2312" w:cs="仿宋"/>
          <w:color w:val="000000"/>
          <w:sz w:val="28"/>
          <w:szCs w:val="28"/>
        </w:rPr>
        <w:t xml:space="preserve"> </w:t>
      </w:r>
      <w:r>
        <w:rPr>
          <w:rFonts w:hint="eastAsia" w:ascii="仿宋_GB2312" w:hAnsi="仿宋" w:eastAsia="仿宋_GB2312" w:cs="仿宋"/>
          <w:color w:val="000000"/>
          <w:sz w:val="28"/>
          <w:szCs w:val="28"/>
          <w:lang w:val="zh-CN"/>
        </w:rPr>
        <w:t>制订诉讼方案</w:t>
      </w:r>
    </w:p>
    <w:p>
      <w:pPr>
        <w:keepNext w:val="0"/>
        <w:keepLines w:val="0"/>
        <w:pageBreakBefore w:val="0"/>
        <w:widowControl w:val="0"/>
        <w:numPr>
          <w:ilvl w:val="0"/>
          <w:numId w:val="118"/>
        </w:numPr>
        <w:wordWrap/>
        <w:bidi w:val="0"/>
        <w:spacing w:after="0" w:line="500" w:lineRule="exact"/>
        <w:ind w:firstLine="522" w:firstLineChars="200"/>
        <w:jc w:val="both"/>
        <w:rPr>
          <w:rFonts w:hint="eastAsia" w:ascii="仿宋_GB2312" w:hAnsi="仿宋" w:eastAsia="仿宋_GB2312" w:cs="仿宋"/>
          <w:color w:val="000000"/>
          <w:sz w:val="28"/>
          <w:szCs w:val="28"/>
          <w:lang w:val="zh-CN"/>
        </w:rPr>
      </w:pPr>
      <w:r>
        <w:rPr>
          <w:rFonts w:hint="eastAsia" w:ascii="仿宋_GB2312" w:hAnsi="仿宋" w:eastAsia="仿宋_GB2312" w:cs="仿宋"/>
          <w:color w:val="000000"/>
          <w:sz w:val="28"/>
          <w:szCs w:val="28"/>
          <w:lang w:val="zh-CN"/>
        </w:rPr>
        <w:t>律师在了解争议问题和案件相关事实后，应当根据法律检索结果，围绕争议焦点进行法律分析、提出法律分析意见，供当事人考虑。</w:t>
      </w:r>
    </w:p>
    <w:p>
      <w:pPr>
        <w:keepNext w:val="0"/>
        <w:keepLines w:val="0"/>
        <w:pageBreakBefore w:val="0"/>
        <w:widowControl w:val="0"/>
        <w:numPr>
          <w:ilvl w:val="0"/>
          <w:numId w:val="118"/>
        </w:numPr>
        <w:wordWrap/>
        <w:bidi w:val="0"/>
        <w:spacing w:after="0" w:line="500" w:lineRule="exact"/>
        <w:ind w:firstLine="522" w:firstLineChars="200"/>
        <w:jc w:val="both"/>
        <w:rPr>
          <w:rFonts w:hint="eastAsia" w:ascii="仿宋_GB2312" w:hAnsi="仿宋" w:eastAsia="仿宋_GB2312" w:cs="仿宋"/>
          <w:color w:val="000000"/>
          <w:sz w:val="28"/>
          <w:szCs w:val="28"/>
          <w:lang w:val="zh-CN"/>
        </w:rPr>
      </w:pPr>
      <w:r>
        <w:rPr>
          <w:rFonts w:hint="eastAsia" w:ascii="仿宋_GB2312" w:hAnsi="仿宋" w:eastAsia="仿宋_GB2312" w:cs="仿宋"/>
          <w:color w:val="000000"/>
          <w:sz w:val="28"/>
          <w:szCs w:val="28"/>
          <w:lang w:val="zh-CN"/>
        </w:rPr>
        <w:t>律师应当围绕委托人的诉讼期望值，在法律范围内合理预测，以实现当事人合理的诉讼期望值为目的，协助当事人制订总体诉讼策略和具体诉讼方案。</w:t>
      </w:r>
    </w:p>
    <w:p>
      <w:pPr>
        <w:keepNext w:val="0"/>
        <w:keepLines w:val="0"/>
        <w:pageBreakBefore w:val="0"/>
        <w:widowControl w:val="0"/>
        <w:wordWrap/>
        <w:bidi w:val="0"/>
        <w:spacing w:after="0" w:line="500" w:lineRule="exact"/>
        <w:jc w:val="center"/>
        <w:rPr>
          <w:rFonts w:hint="eastAsia" w:ascii="楷体" w:hAnsi="楷体" w:eastAsia="楷体" w:cs="楷体"/>
          <w:b/>
          <w:bCs/>
          <w:color w:val="000000"/>
          <w:sz w:val="28"/>
          <w:szCs w:val="28"/>
          <w:lang w:val="zh-CN"/>
        </w:rPr>
      </w:pPr>
      <w:r>
        <w:rPr>
          <w:rFonts w:hint="eastAsia" w:ascii="楷体" w:hAnsi="楷体" w:eastAsia="楷体" w:cs="楷体"/>
          <w:b/>
          <w:bCs/>
          <w:color w:val="000000"/>
          <w:sz w:val="28"/>
          <w:szCs w:val="28"/>
          <w:lang w:val="zh-CN"/>
        </w:rPr>
        <w:t>第二节 律师代理</w:t>
      </w:r>
      <w:r>
        <w:rPr>
          <w:rFonts w:hint="eastAsia" w:ascii="楷体" w:hAnsi="楷体" w:eastAsia="楷体" w:cs="楷体"/>
          <w:b/>
          <w:bCs/>
          <w:color w:val="000000"/>
          <w:sz w:val="28"/>
          <w:szCs w:val="28"/>
        </w:rPr>
        <w:t>建设工程施工合同纠纷案件</w:t>
      </w:r>
      <w:r>
        <w:rPr>
          <w:rFonts w:hint="eastAsia" w:ascii="楷体" w:hAnsi="楷体" w:eastAsia="楷体" w:cs="楷体"/>
          <w:b/>
          <w:bCs/>
          <w:color w:val="000000"/>
          <w:sz w:val="28"/>
          <w:szCs w:val="28"/>
          <w:lang w:val="zh-CN"/>
        </w:rPr>
        <w:t>诉讼原告的</w:t>
      </w:r>
    </w:p>
    <w:p>
      <w:pPr>
        <w:keepNext w:val="0"/>
        <w:keepLines w:val="0"/>
        <w:pageBreakBefore w:val="0"/>
        <w:widowControl w:val="0"/>
        <w:wordWrap/>
        <w:bidi w:val="0"/>
        <w:spacing w:after="0" w:line="500" w:lineRule="exact"/>
        <w:jc w:val="center"/>
        <w:rPr>
          <w:rFonts w:hint="eastAsia" w:ascii="楷体" w:hAnsi="楷体" w:eastAsia="楷体" w:cs="楷体"/>
          <w:b/>
          <w:bCs/>
          <w:color w:val="000000"/>
          <w:sz w:val="28"/>
          <w:szCs w:val="28"/>
          <w:lang w:val="zh-CN"/>
        </w:rPr>
      </w:pPr>
      <w:r>
        <w:rPr>
          <w:rFonts w:hint="eastAsia" w:ascii="楷体" w:hAnsi="楷体" w:eastAsia="楷体" w:cs="楷体"/>
          <w:b/>
          <w:bCs/>
          <w:color w:val="000000"/>
          <w:sz w:val="28"/>
          <w:szCs w:val="28"/>
          <w:lang w:val="zh-CN"/>
        </w:rPr>
        <w:t>业务流程指引</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lang w:val="zh-CN"/>
        </w:rPr>
        <w:t>第八条</w:t>
      </w:r>
      <w:r>
        <w:rPr>
          <w:rFonts w:hint="eastAsia" w:ascii="仿宋_GB2312" w:hAnsi="仿宋" w:eastAsia="仿宋_GB2312" w:cs="仿宋"/>
          <w:color w:val="000000"/>
          <w:sz w:val="28"/>
          <w:szCs w:val="28"/>
        </w:rPr>
        <w:t xml:space="preserve">  诉讼主体</w:t>
      </w:r>
    </w:p>
    <w:p>
      <w:pPr>
        <w:keepNext w:val="0"/>
        <w:keepLines w:val="0"/>
        <w:pageBreakBefore w:val="0"/>
        <w:widowControl w:val="0"/>
        <w:numPr>
          <w:ilvl w:val="0"/>
          <w:numId w:val="119"/>
        </w:numPr>
        <w:wordWrap/>
        <w:bidi w:val="0"/>
        <w:spacing w:after="0" w:line="500" w:lineRule="exact"/>
        <w:ind w:firstLine="522" w:firstLineChars="200"/>
        <w:jc w:val="both"/>
        <w:rPr>
          <w:rFonts w:hint="eastAsia" w:ascii="仿宋_GB2312" w:hAnsi="仿宋" w:eastAsia="仿宋_GB2312" w:cs="仿宋"/>
          <w:color w:val="000000"/>
          <w:sz w:val="28"/>
          <w:szCs w:val="28"/>
          <w:lang w:val="zh-CN"/>
        </w:rPr>
      </w:pPr>
      <w:r>
        <w:rPr>
          <w:rFonts w:hint="eastAsia" w:ascii="仿宋_GB2312" w:hAnsi="仿宋" w:eastAsia="仿宋_GB2312" w:cs="仿宋"/>
          <w:color w:val="000000"/>
          <w:sz w:val="28"/>
          <w:szCs w:val="28"/>
          <w:lang w:val="zh-CN"/>
        </w:rPr>
        <w:t>确定适格的原告</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lang w:val="zh-CN"/>
        </w:rPr>
      </w:pPr>
      <w:r>
        <w:rPr>
          <w:rFonts w:hint="eastAsia" w:ascii="仿宋_GB2312" w:hAnsi="仿宋" w:eastAsia="仿宋_GB2312" w:cs="仿宋"/>
          <w:color w:val="000000"/>
          <w:sz w:val="28"/>
          <w:szCs w:val="28"/>
          <w:lang w:val="zh-CN"/>
        </w:rPr>
        <w:t>由于建设工程施工合同的复杂性，利益主体不仅包括发包人、承包人、还包括分包人、实际施工人，律师应当确认委托人在争议的建设工程合同中的主体地位，合理确定适格的原告。</w:t>
      </w:r>
    </w:p>
    <w:p>
      <w:pPr>
        <w:keepNext w:val="0"/>
        <w:keepLines w:val="0"/>
        <w:pageBreakBefore w:val="0"/>
        <w:widowControl w:val="0"/>
        <w:numPr>
          <w:ilvl w:val="0"/>
          <w:numId w:val="119"/>
        </w:numPr>
        <w:wordWrap/>
        <w:bidi w:val="0"/>
        <w:spacing w:after="0" w:line="500" w:lineRule="exact"/>
        <w:ind w:firstLine="522" w:firstLineChars="200"/>
        <w:jc w:val="both"/>
        <w:rPr>
          <w:rFonts w:hint="eastAsia" w:ascii="仿宋_GB2312" w:hAnsi="仿宋" w:eastAsia="仿宋_GB2312" w:cs="仿宋"/>
          <w:color w:val="000000"/>
          <w:sz w:val="28"/>
          <w:szCs w:val="28"/>
          <w:lang w:val="zh-CN"/>
        </w:rPr>
      </w:pPr>
      <w:r>
        <w:rPr>
          <w:rFonts w:hint="eastAsia" w:ascii="仿宋_GB2312" w:hAnsi="仿宋" w:eastAsia="仿宋_GB2312" w:cs="仿宋"/>
          <w:color w:val="000000"/>
          <w:sz w:val="28"/>
          <w:szCs w:val="28"/>
          <w:lang w:val="zh-CN"/>
        </w:rPr>
        <w:t>确定适格的被告</w:t>
      </w:r>
    </w:p>
    <w:p>
      <w:pPr>
        <w:pStyle w:val="14"/>
        <w:keepNext w:val="0"/>
        <w:keepLines w:val="0"/>
        <w:pageBreakBefore w:val="0"/>
        <w:widowControl w:val="0"/>
        <w:numPr>
          <w:ilvl w:val="0"/>
          <w:numId w:val="120"/>
        </w:numPr>
        <w:shd w:val="clear" w:color="auto" w:fill="FFFFFF"/>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rPr>
        <w:t>一般情形，合同纠纷只能确定合同相对方作为案件被告。但《施工合同纠纷司法解释》</w:t>
      </w:r>
      <w:r>
        <w:rPr>
          <w:rStyle w:val="18"/>
          <w:rFonts w:hint="eastAsia" w:ascii="仿宋_GB2312" w:hAnsi="仿宋" w:eastAsia="仿宋_GB2312" w:cs="仿宋"/>
          <w:b w:val="0"/>
          <w:color w:val="000000"/>
          <w:sz w:val="28"/>
          <w:szCs w:val="28"/>
          <w:shd w:val="clear" w:color="auto" w:fill="FFFFFF"/>
        </w:rPr>
        <w:t>第十五条规定，“</w:t>
      </w:r>
      <w:r>
        <w:rPr>
          <w:rFonts w:hint="eastAsia" w:ascii="仿宋_GB2312" w:hAnsi="仿宋" w:eastAsia="仿宋_GB2312" w:cs="仿宋"/>
          <w:color w:val="000000"/>
          <w:sz w:val="28"/>
          <w:szCs w:val="28"/>
          <w:shd w:val="clear" w:color="auto" w:fill="FFFFFF"/>
        </w:rPr>
        <w:t>因建设工程质量发生争议的，发包人可以以总承包人、分包人和实际施工人为共同被告提起诉讼</w:t>
      </w:r>
      <w:r>
        <w:rPr>
          <w:rStyle w:val="18"/>
          <w:rFonts w:hint="eastAsia" w:ascii="仿宋_GB2312" w:hAnsi="仿宋" w:eastAsia="仿宋_GB2312" w:cs="仿宋"/>
          <w:b w:val="0"/>
          <w:color w:val="000000"/>
          <w:sz w:val="28"/>
          <w:szCs w:val="28"/>
          <w:shd w:val="clear" w:color="auto" w:fill="FFFFFF"/>
        </w:rPr>
        <w:t>”</w:t>
      </w:r>
      <w:r>
        <w:rPr>
          <w:rFonts w:hint="eastAsia" w:ascii="仿宋_GB2312" w:hAnsi="仿宋" w:eastAsia="仿宋_GB2312" w:cs="仿宋"/>
          <w:color w:val="000000"/>
          <w:sz w:val="28"/>
          <w:szCs w:val="28"/>
        </w:rPr>
        <w:t>；</w:t>
      </w:r>
      <w:r>
        <w:rPr>
          <w:rFonts w:hint="eastAsia" w:ascii="仿宋_GB2312" w:hAnsi="仿宋" w:eastAsia="仿宋_GB2312" w:cs="仿宋"/>
          <w:bCs/>
          <w:color w:val="000000"/>
          <w:sz w:val="28"/>
          <w:szCs w:val="28"/>
        </w:rPr>
        <w:t>第四十三条</w:t>
      </w:r>
      <w:r>
        <w:rPr>
          <w:rFonts w:hint="eastAsia" w:ascii="仿宋_GB2312" w:hAnsi="仿宋" w:eastAsia="仿宋_GB2312" w:cs="仿宋"/>
          <w:color w:val="000000"/>
          <w:sz w:val="28"/>
          <w:szCs w:val="28"/>
        </w:rPr>
        <w:t>规定，“实际施工人以转包人、违法分包人为被告起诉的，人民法院应当依法受理。实际施工人以发包人为被告主张权利的，人民法院应当追加转包人或者违法分包人为本案第三人，在查明发包人欠付转包人或者违法分包人建设工程价款的数额后，判决发包人在欠付建设工程价款范围内对实际施工人承担责任”；</w:t>
      </w:r>
      <w:r>
        <w:rPr>
          <w:rStyle w:val="18"/>
          <w:rFonts w:hint="eastAsia" w:ascii="仿宋_GB2312" w:hAnsi="仿宋" w:eastAsia="仿宋_GB2312" w:cs="仿宋"/>
          <w:b w:val="0"/>
          <w:color w:val="000000"/>
          <w:sz w:val="28"/>
          <w:szCs w:val="28"/>
          <w:shd w:val="clear" w:color="auto" w:fill="FFFFFF"/>
        </w:rPr>
        <w:t>第四十四条</w:t>
      </w:r>
      <w:r>
        <w:rPr>
          <w:rFonts w:hint="eastAsia" w:ascii="仿宋_GB2312" w:hAnsi="仿宋" w:eastAsia="仿宋_GB2312" w:cs="仿宋"/>
          <w:color w:val="000000"/>
          <w:sz w:val="28"/>
          <w:szCs w:val="28"/>
          <w:shd w:val="clear" w:color="auto" w:fill="FFFFFF"/>
        </w:rPr>
        <w:t>规定，“实际施工人依据民法典第五百三十五条规定，以转包人或者违法分包人怠于向发包人行使到期债权或者与该债权有关的从权利，影响其到期债权实现，提起代位权诉讼的，人民法院应予支持”。</w:t>
      </w:r>
      <w:r>
        <w:rPr>
          <w:rFonts w:hint="eastAsia" w:ascii="仿宋_GB2312" w:hAnsi="仿宋" w:eastAsia="仿宋_GB2312" w:cs="仿宋"/>
          <w:color w:val="000000"/>
          <w:sz w:val="28"/>
          <w:szCs w:val="28"/>
        </w:rPr>
        <w:t>律师应当依据案件的具体情况，合理确定适格的被告。</w:t>
      </w:r>
    </w:p>
    <w:p>
      <w:pPr>
        <w:pStyle w:val="14"/>
        <w:keepNext w:val="0"/>
        <w:keepLines w:val="0"/>
        <w:pageBreakBefore w:val="0"/>
        <w:widowControl w:val="0"/>
        <w:numPr>
          <w:ilvl w:val="0"/>
          <w:numId w:val="120"/>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被告应当具备《民事诉讼法》及《民诉法司法解释》规定情形的诉讼主体资格。</w:t>
      </w:r>
    </w:p>
    <w:p>
      <w:pPr>
        <w:pStyle w:val="14"/>
        <w:keepNext w:val="0"/>
        <w:keepLines w:val="0"/>
        <w:pageBreakBefore w:val="0"/>
        <w:widowControl w:val="0"/>
        <w:numPr>
          <w:ilvl w:val="0"/>
          <w:numId w:val="120"/>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被告的名称、住址、法定代表人或负责人等信息应准确无误，不应依赖当事人提供的信息，应在全国企业信用信息公示系统或民政部门、机关事业单位登记部门进行查询，核实被告的基础信息。</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 xml:space="preserve">第九条  </w:t>
      </w:r>
      <w:r>
        <w:rPr>
          <w:rFonts w:hint="eastAsia" w:ascii="仿宋_GB2312" w:hAnsi="仿宋" w:eastAsia="仿宋_GB2312" w:cs="仿宋"/>
          <w:color w:val="000000"/>
          <w:sz w:val="28"/>
          <w:szCs w:val="28"/>
        </w:rPr>
        <w:t>管辖</w:t>
      </w:r>
    </w:p>
    <w:p>
      <w:pPr>
        <w:pStyle w:val="14"/>
        <w:keepNext w:val="0"/>
        <w:keepLines w:val="0"/>
        <w:pageBreakBefore w:val="0"/>
        <w:widowControl w:val="0"/>
        <w:numPr>
          <w:ilvl w:val="0"/>
          <w:numId w:val="121"/>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地域管辖</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根据《民诉法司法解释》第二十八条之规定，建设工程施工合同纠纷按照不动产纠纷确定管辖，根据《民事诉讼法》第三十三条之规定，因不动产纠纷提起的诉讼，由不动产所在地人民法院专属管辖，故除约定仲裁有效的情形外，地域管辖只能是在建设工程所在地人民法院专属管辖。</w:t>
      </w:r>
    </w:p>
    <w:p>
      <w:pPr>
        <w:pStyle w:val="14"/>
        <w:keepNext w:val="0"/>
        <w:keepLines w:val="0"/>
        <w:pageBreakBefore w:val="0"/>
        <w:widowControl w:val="0"/>
        <w:numPr>
          <w:ilvl w:val="0"/>
          <w:numId w:val="121"/>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级别管辖</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2021年9月17日，最高人民法院下发了《关于调整中级人民法院管辖第一审民事案件标准的通知》（法发[2021]27号），进一步调整了一审民事案件的级别管辖标准，自2021年10月1日起施行。按照新的《通知》规定，普通一审民商事案件，双方当事人均在或均不在本省的，当地中级法院管辖诉讼标的额在5亿以上；普通一审民商事案件，其中一方不在本省的，当地中院管辖诉讼标的额为1亿以上；知产、海商、涉外涉港澳台案件不适用该《通知》规定，仍应适用各地具体规定。</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 xml:space="preserve">第十条 </w:t>
      </w:r>
      <w:r>
        <w:rPr>
          <w:rFonts w:hint="eastAsia" w:ascii="仿宋_GB2312" w:hAnsi="仿宋" w:eastAsia="仿宋_GB2312" w:cs="仿宋"/>
          <w:color w:val="000000"/>
          <w:sz w:val="28"/>
          <w:szCs w:val="28"/>
        </w:rPr>
        <w:t xml:space="preserve"> 诉讼请求</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律师应当根据当事人确定的诉讼方案，依据事实与法律，合理提出诉讼请求，供当事人决策。</w:t>
      </w:r>
      <w:r>
        <w:rPr>
          <w:rFonts w:hint="eastAsia" w:ascii="仿宋_GB2312" w:hAnsi="仿宋" w:eastAsia="仿宋_GB2312" w:cs="仿宋"/>
          <w:color w:val="000000"/>
          <w:sz w:val="28"/>
          <w:szCs w:val="28"/>
          <w:lang w:val="zh-CN"/>
        </w:rPr>
        <w:t>建设工程施工合同纠纷诉讼请求</w:t>
      </w:r>
      <w:r>
        <w:rPr>
          <w:rFonts w:hint="eastAsia" w:ascii="仿宋_GB2312" w:hAnsi="仿宋" w:eastAsia="仿宋_GB2312" w:cs="仿宋"/>
          <w:color w:val="000000"/>
          <w:sz w:val="28"/>
          <w:szCs w:val="28"/>
        </w:rPr>
        <w:t>通常包括但不限于：请求人民法院确认合同无效；请求人民法院判令解除合同；请求人民法院判令发包人支付工程款及利息；请求人民法院判令发包人返还垫资款及利息；请求人民法院判令承包人承担修复费用；请求人民法院判令发包人（承包人）承担违约赔偿责任（违约金）等。</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第十一条</w:t>
      </w:r>
      <w:r>
        <w:rPr>
          <w:rFonts w:hint="eastAsia" w:ascii="仿宋_GB2312" w:hAnsi="仿宋" w:eastAsia="仿宋_GB2312" w:cs="仿宋"/>
          <w:color w:val="000000"/>
          <w:sz w:val="28"/>
          <w:szCs w:val="28"/>
        </w:rPr>
        <w:t xml:space="preserve">  诉讼保全</w:t>
      </w:r>
    </w:p>
    <w:p>
      <w:pPr>
        <w:pStyle w:val="8"/>
        <w:keepNext w:val="0"/>
        <w:keepLines w:val="0"/>
        <w:pageBreakBefore w:val="0"/>
        <w:widowControl w:val="0"/>
        <w:numPr>
          <w:ilvl w:val="0"/>
          <w:numId w:val="122"/>
        </w:numPr>
        <w:wordWrap/>
        <w:bidi w:val="0"/>
        <w:spacing w:line="500" w:lineRule="exact"/>
        <w:ind w:firstLine="522" w:firstLineChars="200"/>
        <w:rPr>
          <w:rFonts w:hint="eastAsia" w:ascii="仿宋_GB2312" w:hAnsi="仿宋" w:eastAsia="仿宋_GB2312" w:cs="仿宋"/>
          <w:color w:val="000000"/>
          <w:kern w:val="0"/>
          <w:sz w:val="28"/>
          <w:szCs w:val="28"/>
          <w:lang w:val="zh-CN"/>
        </w:rPr>
      </w:pPr>
      <w:r>
        <w:rPr>
          <w:rFonts w:hint="eastAsia" w:ascii="仿宋_GB2312" w:hAnsi="仿宋" w:eastAsia="仿宋_GB2312" w:cs="仿宋"/>
          <w:color w:val="000000"/>
          <w:kern w:val="0"/>
          <w:sz w:val="28"/>
          <w:szCs w:val="28"/>
          <w:lang w:val="zh-CN"/>
        </w:rPr>
        <w:t>为防止被告转移财产，避免法院裁判后无法执行，有必要采取财产保全措施的，律师应提示当事人采取诉前保全或诉讼保全措施。</w:t>
      </w:r>
    </w:p>
    <w:p>
      <w:pPr>
        <w:keepNext w:val="0"/>
        <w:keepLines w:val="0"/>
        <w:pageBreakBefore w:val="0"/>
        <w:widowControl w:val="0"/>
        <w:numPr>
          <w:ilvl w:val="0"/>
          <w:numId w:val="122"/>
        </w:numPr>
        <w:wordWrap/>
        <w:bidi w:val="0"/>
        <w:spacing w:after="0" w:line="500" w:lineRule="exact"/>
        <w:ind w:firstLine="522" w:firstLineChars="200"/>
        <w:jc w:val="both"/>
        <w:rPr>
          <w:rFonts w:hint="eastAsia" w:ascii="仿宋_GB2312" w:hAnsi="仿宋" w:eastAsia="仿宋_GB2312" w:cs="仿宋"/>
          <w:color w:val="000000"/>
          <w:sz w:val="28"/>
          <w:szCs w:val="28"/>
          <w:lang w:val="zh-CN"/>
        </w:rPr>
      </w:pPr>
      <w:r>
        <w:rPr>
          <w:rFonts w:hint="eastAsia" w:ascii="仿宋_GB2312" w:hAnsi="仿宋" w:eastAsia="仿宋_GB2312" w:cs="仿宋"/>
          <w:color w:val="000000"/>
          <w:sz w:val="28"/>
          <w:szCs w:val="28"/>
          <w:lang w:val="zh-CN"/>
        </w:rPr>
        <w:t>申请法院采取保全措施要及时，防止被告恶意转移财产，申请采取保全措施前，律师应根据法院要求，提示当事人准备适当的担保。</w:t>
      </w:r>
    </w:p>
    <w:p>
      <w:pPr>
        <w:keepNext w:val="0"/>
        <w:keepLines w:val="0"/>
        <w:pageBreakBefore w:val="0"/>
        <w:widowControl w:val="0"/>
        <w:numPr>
          <w:ilvl w:val="0"/>
          <w:numId w:val="122"/>
        </w:numPr>
        <w:wordWrap/>
        <w:bidi w:val="0"/>
        <w:spacing w:after="0" w:line="500" w:lineRule="exact"/>
        <w:ind w:firstLine="522" w:firstLineChars="200"/>
        <w:jc w:val="both"/>
        <w:rPr>
          <w:rFonts w:hint="eastAsia" w:ascii="仿宋_GB2312" w:hAnsi="仿宋" w:eastAsia="仿宋_GB2312" w:cs="仿宋"/>
          <w:color w:val="000000"/>
          <w:sz w:val="28"/>
          <w:szCs w:val="28"/>
          <w:lang w:val="zh-CN"/>
        </w:rPr>
      </w:pPr>
      <w:r>
        <w:rPr>
          <w:rFonts w:hint="eastAsia" w:ascii="仿宋_GB2312" w:hAnsi="仿宋" w:eastAsia="仿宋_GB2312" w:cs="仿宋"/>
          <w:color w:val="000000"/>
          <w:sz w:val="28"/>
          <w:szCs w:val="28"/>
          <w:lang w:val="zh-CN"/>
        </w:rPr>
        <w:t>律师在建议当事人申请财产保全时，应本着审慎原则，避免因保全错误给被当事人造成损失，并充分向当事人提示风险。</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lang w:val="zh-CN"/>
        </w:rPr>
      </w:pPr>
      <w:r>
        <w:rPr>
          <w:rFonts w:hint="eastAsia" w:ascii="仿宋_GB2312" w:hAnsi="仿宋" w:eastAsia="仿宋_GB2312" w:cs="仿宋"/>
          <w:b/>
          <w:bCs/>
          <w:color w:val="000000"/>
          <w:sz w:val="28"/>
          <w:szCs w:val="28"/>
          <w:lang w:val="zh-CN"/>
        </w:rPr>
        <w:t>第十二条</w:t>
      </w:r>
      <w:r>
        <w:rPr>
          <w:rFonts w:hint="eastAsia" w:ascii="仿宋_GB2312" w:hAnsi="仿宋" w:eastAsia="仿宋_GB2312" w:cs="仿宋"/>
          <w:color w:val="000000"/>
          <w:sz w:val="28"/>
          <w:szCs w:val="28"/>
          <w:lang w:val="zh-CN"/>
        </w:rPr>
        <w:t xml:space="preserve"> </w:t>
      </w:r>
      <w:r>
        <w:rPr>
          <w:rFonts w:hint="eastAsia" w:ascii="仿宋_GB2312" w:hAnsi="仿宋" w:eastAsia="仿宋_GB2312" w:cs="仿宋"/>
          <w:color w:val="000000"/>
          <w:sz w:val="28"/>
          <w:szCs w:val="28"/>
        </w:rPr>
        <w:t xml:space="preserve"> </w:t>
      </w:r>
      <w:r>
        <w:rPr>
          <w:rFonts w:hint="eastAsia" w:ascii="仿宋_GB2312" w:hAnsi="仿宋" w:eastAsia="仿宋_GB2312" w:cs="仿宋"/>
          <w:color w:val="000000"/>
          <w:sz w:val="28"/>
          <w:szCs w:val="28"/>
          <w:lang w:val="zh-CN"/>
        </w:rPr>
        <w:t>及时提起诉讼</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lang w:val="zh-CN"/>
        </w:rPr>
        <w:t>律师应当注意当事人权利保护期限的特别规定，如</w:t>
      </w:r>
      <w:r>
        <w:rPr>
          <w:rFonts w:hint="eastAsia" w:ascii="仿宋_GB2312" w:hAnsi="仿宋" w:eastAsia="仿宋_GB2312" w:cs="仿宋"/>
          <w:color w:val="000000"/>
          <w:sz w:val="28"/>
          <w:szCs w:val="28"/>
          <w:shd w:val="clear" w:color="auto" w:fill="FFFFFF"/>
        </w:rPr>
        <w:t>建设工程承包人应当在合理期限内行使建设工程价款优先受偿权，但最长不得超过十八个月，自发包人应当给付建设工程价款之日起算。如承包人需主张优先受偿权的，应当在法定期限内及时提起诉讼。</w:t>
      </w:r>
    </w:p>
    <w:p>
      <w:pPr>
        <w:keepNext w:val="0"/>
        <w:keepLines w:val="0"/>
        <w:pageBreakBefore w:val="0"/>
        <w:widowControl w:val="0"/>
        <w:wordWrap/>
        <w:bidi w:val="0"/>
        <w:spacing w:after="0" w:line="500" w:lineRule="exact"/>
        <w:jc w:val="center"/>
        <w:rPr>
          <w:rFonts w:hint="eastAsia" w:ascii="楷体" w:hAnsi="楷体" w:eastAsia="楷体" w:cs="楷体"/>
          <w:b/>
          <w:bCs/>
          <w:color w:val="000000"/>
          <w:sz w:val="28"/>
          <w:szCs w:val="28"/>
          <w:lang w:val="zh-CN"/>
        </w:rPr>
      </w:pPr>
      <w:r>
        <w:rPr>
          <w:rFonts w:hint="eastAsia" w:ascii="楷体" w:hAnsi="楷体" w:eastAsia="楷体" w:cs="楷体"/>
          <w:b/>
          <w:bCs/>
          <w:color w:val="000000"/>
          <w:sz w:val="28"/>
          <w:szCs w:val="28"/>
        </w:rPr>
        <w:t xml:space="preserve">第三节 </w:t>
      </w:r>
      <w:r>
        <w:rPr>
          <w:rFonts w:hint="eastAsia" w:ascii="楷体" w:hAnsi="楷体" w:eastAsia="楷体" w:cs="楷体"/>
          <w:b/>
          <w:bCs/>
          <w:color w:val="000000"/>
          <w:sz w:val="28"/>
          <w:szCs w:val="28"/>
          <w:lang w:val="zh-CN"/>
        </w:rPr>
        <w:t>律师代理</w:t>
      </w:r>
      <w:r>
        <w:rPr>
          <w:rFonts w:hint="eastAsia" w:ascii="楷体" w:hAnsi="楷体" w:eastAsia="楷体" w:cs="楷体"/>
          <w:b/>
          <w:bCs/>
          <w:color w:val="000000"/>
          <w:sz w:val="28"/>
          <w:szCs w:val="28"/>
        </w:rPr>
        <w:t>建设工程施工合同纠纷案件</w:t>
      </w:r>
      <w:r>
        <w:rPr>
          <w:rFonts w:hint="eastAsia" w:ascii="楷体" w:hAnsi="楷体" w:eastAsia="楷体" w:cs="楷体"/>
          <w:b/>
          <w:bCs/>
          <w:color w:val="000000"/>
          <w:sz w:val="28"/>
          <w:szCs w:val="28"/>
          <w:lang w:val="zh-CN"/>
        </w:rPr>
        <w:t>诉讼被告的</w:t>
      </w:r>
    </w:p>
    <w:p>
      <w:pPr>
        <w:keepNext w:val="0"/>
        <w:keepLines w:val="0"/>
        <w:pageBreakBefore w:val="0"/>
        <w:widowControl w:val="0"/>
        <w:wordWrap/>
        <w:bidi w:val="0"/>
        <w:spacing w:after="0" w:line="500" w:lineRule="exact"/>
        <w:jc w:val="center"/>
        <w:rPr>
          <w:rFonts w:hint="eastAsia" w:ascii="楷体" w:hAnsi="楷体" w:eastAsia="楷体" w:cs="楷体"/>
          <w:b/>
          <w:bCs/>
          <w:color w:val="000000"/>
          <w:sz w:val="28"/>
          <w:szCs w:val="28"/>
          <w:lang w:val="zh-CN"/>
        </w:rPr>
      </w:pPr>
      <w:r>
        <w:rPr>
          <w:rFonts w:hint="eastAsia" w:ascii="楷体" w:hAnsi="楷体" w:eastAsia="楷体" w:cs="楷体"/>
          <w:b/>
          <w:bCs/>
          <w:color w:val="000000"/>
          <w:sz w:val="28"/>
          <w:szCs w:val="28"/>
          <w:lang w:val="zh-CN"/>
        </w:rPr>
        <w:t>业务流程指引</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lang w:val="zh-CN"/>
        </w:rPr>
      </w:pPr>
      <w:r>
        <w:rPr>
          <w:rFonts w:hint="eastAsia" w:ascii="仿宋_GB2312" w:hAnsi="仿宋" w:eastAsia="仿宋_GB2312" w:cs="仿宋"/>
          <w:b/>
          <w:bCs/>
          <w:color w:val="000000"/>
          <w:sz w:val="28"/>
          <w:szCs w:val="28"/>
          <w:lang w:val="zh-CN"/>
        </w:rPr>
        <w:t>第十三条</w:t>
      </w:r>
      <w:r>
        <w:rPr>
          <w:rFonts w:hint="eastAsia" w:ascii="仿宋_GB2312" w:hAnsi="仿宋" w:eastAsia="仿宋_GB2312" w:cs="仿宋"/>
          <w:color w:val="000000"/>
          <w:sz w:val="28"/>
          <w:szCs w:val="28"/>
          <w:lang w:val="zh-CN"/>
        </w:rPr>
        <w:t xml:space="preserve"> </w:t>
      </w:r>
      <w:r>
        <w:rPr>
          <w:rFonts w:hint="eastAsia" w:ascii="仿宋_GB2312" w:hAnsi="仿宋" w:eastAsia="仿宋_GB2312" w:cs="仿宋"/>
          <w:color w:val="000000"/>
          <w:sz w:val="28"/>
          <w:szCs w:val="28"/>
        </w:rPr>
        <w:t xml:space="preserve"> </w:t>
      </w:r>
      <w:r>
        <w:rPr>
          <w:rFonts w:hint="eastAsia" w:ascii="仿宋_GB2312" w:hAnsi="仿宋" w:eastAsia="仿宋_GB2312" w:cs="仿宋"/>
          <w:color w:val="000000"/>
          <w:sz w:val="28"/>
          <w:szCs w:val="28"/>
          <w:lang w:val="zh-CN"/>
        </w:rPr>
        <w:t>应诉前工作</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律师代理建设工程施工合同纠纷</w:t>
      </w:r>
      <w:r>
        <w:rPr>
          <w:rFonts w:hint="eastAsia" w:ascii="仿宋_GB2312" w:hAnsi="仿宋" w:eastAsia="仿宋_GB2312" w:cs="仿宋"/>
          <w:color w:val="000000"/>
          <w:sz w:val="28"/>
          <w:szCs w:val="28"/>
          <w:lang w:val="zh-CN"/>
        </w:rPr>
        <w:t>诉讼被告</w:t>
      </w:r>
      <w:r>
        <w:rPr>
          <w:rFonts w:hint="eastAsia" w:ascii="仿宋_GB2312" w:hAnsi="仿宋" w:eastAsia="仿宋_GB2312" w:cs="仿宋"/>
          <w:color w:val="000000"/>
          <w:sz w:val="28"/>
          <w:szCs w:val="28"/>
        </w:rPr>
        <w:t>，应当在接受委托后，在全面调查、了解案件事实，进行法律检索以及法律分析后，向当事人出具应诉方案，并就案件可能的不利结果向当事人进行适当风险提示，征询当事人案件和解、调解的意向。</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lang w:val="zh-CN"/>
        </w:rPr>
      </w:pPr>
      <w:r>
        <w:rPr>
          <w:rFonts w:hint="eastAsia" w:ascii="仿宋_GB2312" w:hAnsi="仿宋" w:eastAsia="仿宋_GB2312" w:cs="仿宋"/>
          <w:b/>
          <w:bCs/>
          <w:color w:val="000000"/>
          <w:sz w:val="28"/>
          <w:szCs w:val="28"/>
          <w:lang w:val="zh-CN"/>
        </w:rPr>
        <w:t>第十四条</w:t>
      </w:r>
      <w:r>
        <w:rPr>
          <w:rFonts w:hint="eastAsia" w:ascii="仿宋_GB2312" w:hAnsi="仿宋" w:eastAsia="仿宋_GB2312" w:cs="仿宋"/>
          <w:color w:val="000000"/>
          <w:sz w:val="28"/>
          <w:szCs w:val="28"/>
          <w:lang w:val="zh-CN"/>
        </w:rPr>
        <w:t xml:space="preserve"> </w:t>
      </w:r>
      <w:r>
        <w:rPr>
          <w:rFonts w:hint="eastAsia" w:ascii="仿宋_GB2312" w:hAnsi="仿宋" w:eastAsia="仿宋_GB2312" w:cs="仿宋"/>
          <w:color w:val="000000"/>
          <w:sz w:val="28"/>
          <w:szCs w:val="28"/>
        </w:rPr>
        <w:t xml:space="preserve"> </w:t>
      </w:r>
      <w:r>
        <w:rPr>
          <w:rFonts w:hint="eastAsia" w:ascii="仿宋_GB2312" w:hAnsi="仿宋" w:eastAsia="仿宋_GB2312" w:cs="仿宋"/>
          <w:color w:val="000000"/>
          <w:sz w:val="28"/>
          <w:szCs w:val="28"/>
          <w:lang w:val="zh-CN"/>
        </w:rPr>
        <w:t>程序性抗辩</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lang w:val="zh-CN"/>
        </w:rPr>
      </w:pPr>
      <w:r>
        <w:rPr>
          <w:rFonts w:hint="eastAsia" w:ascii="仿宋_GB2312" w:hAnsi="仿宋" w:eastAsia="仿宋_GB2312" w:cs="仿宋"/>
          <w:color w:val="000000"/>
          <w:sz w:val="28"/>
          <w:szCs w:val="28"/>
          <w:lang w:val="zh-CN"/>
        </w:rPr>
        <w:t>律师接受委托，</w:t>
      </w:r>
      <w:r>
        <w:rPr>
          <w:rFonts w:hint="eastAsia" w:ascii="仿宋_GB2312" w:hAnsi="仿宋" w:eastAsia="仿宋_GB2312" w:cs="仿宋"/>
          <w:color w:val="000000"/>
          <w:sz w:val="28"/>
          <w:szCs w:val="28"/>
        </w:rPr>
        <w:t>代理建设工程施工合同纠纷</w:t>
      </w:r>
      <w:r>
        <w:rPr>
          <w:rFonts w:hint="eastAsia" w:ascii="仿宋_GB2312" w:hAnsi="仿宋" w:eastAsia="仿宋_GB2312" w:cs="仿宋"/>
          <w:color w:val="000000"/>
          <w:sz w:val="28"/>
          <w:szCs w:val="28"/>
          <w:lang w:val="zh-CN"/>
        </w:rPr>
        <w:t>诉讼被告，应当就案件的程序性问题进行分析，为当事人提供抗辩理由，供当事人决策参考，具体抗辩理由包括但不限于：原告的诉讼主体资格是否适格、被告是否适格、是否约定仲裁、是否符合专属管辖及级别管辖、是否遗漏当事人等。</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lang w:val="zh-CN"/>
        </w:rPr>
      </w:pPr>
      <w:r>
        <w:rPr>
          <w:rFonts w:hint="eastAsia" w:ascii="仿宋_GB2312" w:hAnsi="仿宋" w:eastAsia="仿宋_GB2312" w:cs="仿宋"/>
          <w:b/>
          <w:bCs/>
          <w:color w:val="000000"/>
          <w:sz w:val="28"/>
          <w:szCs w:val="28"/>
          <w:lang w:val="zh-CN"/>
        </w:rPr>
        <w:t>第十五条</w:t>
      </w:r>
      <w:r>
        <w:rPr>
          <w:rFonts w:hint="eastAsia" w:ascii="仿宋_GB2312" w:hAnsi="仿宋" w:eastAsia="仿宋_GB2312" w:cs="仿宋"/>
          <w:color w:val="000000"/>
          <w:sz w:val="28"/>
          <w:szCs w:val="28"/>
          <w:lang w:val="zh-CN"/>
        </w:rPr>
        <w:t xml:space="preserve"> </w:t>
      </w:r>
      <w:r>
        <w:rPr>
          <w:rFonts w:hint="eastAsia" w:ascii="仿宋_GB2312" w:hAnsi="仿宋" w:eastAsia="仿宋_GB2312" w:cs="仿宋"/>
          <w:color w:val="000000"/>
          <w:sz w:val="28"/>
          <w:szCs w:val="28"/>
        </w:rPr>
        <w:t xml:space="preserve"> </w:t>
      </w:r>
      <w:r>
        <w:rPr>
          <w:rFonts w:hint="eastAsia" w:ascii="仿宋_GB2312" w:hAnsi="仿宋" w:eastAsia="仿宋_GB2312" w:cs="仿宋"/>
          <w:color w:val="000000"/>
          <w:sz w:val="28"/>
          <w:szCs w:val="28"/>
          <w:lang w:val="zh-CN"/>
        </w:rPr>
        <w:t>为当事人答辩提供意见</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lang w:val="zh-CN"/>
        </w:rPr>
      </w:pPr>
      <w:r>
        <w:rPr>
          <w:rFonts w:hint="eastAsia" w:ascii="仿宋_GB2312" w:hAnsi="仿宋" w:eastAsia="仿宋_GB2312" w:cs="仿宋"/>
          <w:color w:val="000000"/>
          <w:sz w:val="28"/>
          <w:szCs w:val="28"/>
          <w:lang w:val="zh-CN"/>
        </w:rPr>
        <w:t>案件进入实体审理后，律师应当着重从以下方面为当事人的答辩提供意见，</w:t>
      </w:r>
      <w:r>
        <w:rPr>
          <w:rFonts w:hint="eastAsia" w:ascii="仿宋_GB2312" w:hAnsi="仿宋" w:eastAsia="仿宋_GB2312" w:cs="仿宋"/>
          <w:color w:val="000000"/>
          <w:sz w:val="28"/>
          <w:szCs w:val="28"/>
        </w:rPr>
        <w:t>并书写答辩状。</w:t>
      </w:r>
    </w:p>
    <w:p>
      <w:pPr>
        <w:keepNext w:val="0"/>
        <w:keepLines w:val="0"/>
        <w:pageBreakBefore w:val="0"/>
        <w:widowControl w:val="0"/>
        <w:numPr>
          <w:ilvl w:val="0"/>
          <w:numId w:val="123"/>
        </w:numPr>
        <w:wordWrap/>
        <w:bidi w:val="0"/>
        <w:spacing w:after="0" w:line="500" w:lineRule="exact"/>
        <w:ind w:firstLine="522" w:firstLineChars="200"/>
        <w:jc w:val="both"/>
        <w:rPr>
          <w:rFonts w:hint="eastAsia" w:ascii="仿宋_GB2312" w:hAnsi="仿宋" w:eastAsia="仿宋_GB2312" w:cs="仿宋"/>
          <w:color w:val="000000"/>
          <w:sz w:val="28"/>
          <w:szCs w:val="28"/>
          <w:lang w:val="zh-CN"/>
        </w:rPr>
      </w:pPr>
      <w:r>
        <w:rPr>
          <w:rFonts w:hint="eastAsia" w:ascii="仿宋_GB2312" w:hAnsi="仿宋" w:eastAsia="仿宋_GB2312" w:cs="仿宋"/>
          <w:color w:val="000000"/>
          <w:sz w:val="28"/>
          <w:szCs w:val="28"/>
          <w:lang w:val="zh-CN"/>
        </w:rPr>
        <w:t>就原告主张的案件事实和提供的相关证据，就事实是否全面、真实或者遗漏、虚假征询当事人意见，核实原告阐述的事实是否自相矛盾或者明显不合常理，核实证据的真实性合法性关联性以及对待证事实的证明力。</w:t>
      </w:r>
    </w:p>
    <w:p>
      <w:pPr>
        <w:keepNext w:val="0"/>
        <w:keepLines w:val="0"/>
        <w:pageBreakBefore w:val="0"/>
        <w:widowControl w:val="0"/>
        <w:numPr>
          <w:ilvl w:val="0"/>
          <w:numId w:val="123"/>
        </w:numPr>
        <w:wordWrap/>
        <w:bidi w:val="0"/>
        <w:spacing w:after="0" w:line="500" w:lineRule="exact"/>
        <w:ind w:firstLine="522" w:firstLineChars="200"/>
        <w:jc w:val="both"/>
        <w:rPr>
          <w:rFonts w:hint="eastAsia" w:ascii="仿宋_GB2312" w:hAnsi="仿宋" w:eastAsia="仿宋_GB2312" w:cs="仿宋"/>
          <w:color w:val="000000"/>
          <w:sz w:val="28"/>
          <w:szCs w:val="28"/>
          <w:lang w:val="zh-CN"/>
        </w:rPr>
      </w:pPr>
      <w:r>
        <w:rPr>
          <w:rFonts w:hint="eastAsia" w:ascii="仿宋_GB2312" w:hAnsi="仿宋" w:eastAsia="仿宋_GB2312" w:cs="仿宋"/>
          <w:color w:val="000000"/>
          <w:sz w:val="28"/>
          <w:szCs w:val="28"/>
          <w:lang w:val="zh-CN"/>
        </w:rPr>
        <w:t>就被告主张的事实，组织证据经当事人认可后，在规定的举证期限内提交法院。</w:t>
      </w:r>
    </w:p>
    <w:p>
      <w:pPr>
        <w:keepNext w:val="0"/>
        <w:keepLines w:val="0"/>
        <w:pageBreakBefore w:val="0"/>
        <w:widowControl w:val="0"/>
        <w:numPr>
          <w:ilvl w:val="0"/>
          <w:numId w:val="123"/>
        </w:numPr>
        <w:wordWrap/>
        <w:bidi w:val="0"/>
        <w:spacing w:after="0" w:line="500" w:lineRule="exact"/>
        <w:ind w:firstLine="522" w:firstLineChars="200"/>
        <w:jc w:val="both"/>
        <w:rPr>
          <w:rFonts w:hint="eastAsia" w:ascii="仿宋_GB2312" w:hAnsi="仿宋" w:eastAsia="仿宋_GB2312" w:cs="仿宋"/>
          <w:color w:val="000000"/>
          <w:sz w:val="28"/>
          <w:szCs w:val="28"/>
          <w:lang w:val="zh-CN"/>
        </w:rPr>
      </w:pPr>
      <w:r>
        <w:rPr>
          <w:rFonts w:hint="eastAsia" w:ascii="仿宋_GB2312" w:hAnsi="仿宋" w:eastAsia="仿宋_GB2312" w:cs="仿宋"/>
          <w:color w:val="000000"/>
          <w:sz w:val="28"/>
          <w:szCs w:val="28"/>
        </w:rPr>
        <w:t>就原告的诉讼请求，找准基础法律关系，分析其诉讼请求是否具有法律依据、合同依据，其引用的法律规定是否具有“法律冲突”情形，是否存在适用限制情形。引用的合同依据，其约定是否合法有效，是否存在可撤销或变更的情形。</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lang w:val="zh-CN"/>
        </w:rPr>
      </w:pPr>
      <w:r>
        <w:rPr>
          <w:rFonts w:hint="eastAsia" w:ascii="仿宋_GB2312" w:hAnsi="仿宋" w:eastAsia="仿宋_GB2312" w:cs="仿宋"/>
          <w:b/>
          <w:bCs/>
          <w:color w:val="000000"/>
          <w:sz w:val="28"/>
          <w:szCs w:val="28"/>
          <w:lang w:val="zh-CN"/>
        </w:rPr>
        <w:t>第十六条</w:t>
      </w:r>
      <w:r>
        <w:rPr>
          <w:rFonts w:hint="eastAsia" w:ascii="仿宋_GB2312" w:hAnsi="仿宋" w:eastAsia="仿宋_GB2312" w:cs="仿宋"/>
          <w:color w:val="000000"/>
          <w:sz w:val="28"/>
          <w:szCs w:val="28"/>
          <w:lang w:val="zh-CN"/>
        </w:rPr>
        <w:t xml:space="preserve"> </w:t>
      </w:r>
      <w:r>
        <w:rPr>
          <w:rFonts w:hint="eastAsia" w:ascii="仿宋_GB2312" w:hAnsi="仿宋" w:eastAsia="仿宋_GB2312" w:cs="仿宋"/>
          <w:color w:val="000000"/>
          <w:sz w:val="28"/>
          <w:szCs w:val="28"/>
        </w:rPr>
        <w:t xml:space="preserve"> </w:t>
      </w:r>
      <w:r>
        <w:rPr>
          <w:rFonts w:hint="eastAsia" w:ascii="仿宋_GB2312" w:hAnsi="仿宋" w:eastAsia="仿宋_GB2312" w:cs="仿宋"/>
          <w:color w:val="000000"/>
          <w:sz w:val="28"/>
          <w:szCs w:val="28"/>
          <w:lang w:val="zh-CN"/>
        </w:rPr>
        <w:t>反诉</w:t>
      </w:r>
    </w:p>
    <w:p>
      <w:pPr>
        <w:keepNext w:val="0"/>
        <w:keepLines w:val="0"/>
        <w:pageBreakBefore w:val="0"/>
        <w:widowControl w:val="0"/>
        <w:numPr>
          <w:ilvl w:val="0"/>
          <w:numId w:val="124"/>
        </w:numPr>
        <w:wordWrap/>
        <w:bidi w:val="0"/>
        <w:spacing w:after="0" w:line="500" w:lineRule="exact"/>
        <w:ind w:firstLine="522" w:firstLineChars="200"/>
        <w:jc w:val="both"/>
        <w:rPr>
          <w:rFonts w:hint="eastAsia" w:ascii="仿宋_GB2312" w:hAnsi="仿宋" w:eastAsia="仿宋_GB2312" w:cs="仿宋"/>
          <w:color w:val="000000"/>
          <w:sz w:val="28"/>
          <w:szCs w:val="28"/>
          <w:lang w:val="zh-CN"/>
        </w:rPr>
      </w:pPr>
      <w:r>
        <w:rPr>
          <w:rFonts w:hint="eastAsia" w:ascii="仿宋_GB2312" w:hAnsi="仿宋" w:eastAsia="仿宋_GB2312" w:cs="仿宋"/>
          <w:color w:val="000000"/>
          <w:sz w:val="28"/>
          <w:szCs w:val="28"/>
          <w:lang w:val="zh-CN"/>
        </w:rPr>
        <w:t>提起反诉是本诉被告所享有的重要权利，律师应根据对案件的法律分析，对是否提起反诉、何时提起反诉，向当事人提出意见和建议，并根据当事人的意见予以处理。</w:t>
      </w:r>
    </w:p>
    <w:p>
      <w:pPr>
        <w:keepNext w:val="0"/>
        <w:keepLines w:val="0"/>
        <w:pageBreakBefore w:val="0"/>
        <w:widowControl w:val="0"/>
        <w:numPr>
          <w:ilvl w:val="0"/>
          <w:numId w:val="124"/>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rPr>
        <w:t>反诉在建设工程施工合同纠纷案件中非常常见，如：承包人请求支付工程价款，发包人以工程质量不合格和工期延误为由进行抗辩并反诉。律师代理被告应当对反诉具有较高的敏感性，但不应建议当事人滥用，</w:t>
      </w:r>
      <w:r>
        <w:rPr>
          <w:rFonts w:hint="eastAsia" w:ascii="仿宋_GB2312" w:hAnsi="仿宋" w:eastAsia="仿宋_GB2312" w:cs="仿宋"/>
          <w:color w:val="000000"/>
          <w:sz w:val="28"/>
          <w:szCs w:val="28"/>
        </w:rPr>
        <w:t>以避免不必要的讼累和诉讼成本。</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lang w:val="zh-CN"/>
        </w:rPr>
      </w:pPr>
      <w:r>
        <w:rPr>
          <w:rFonts w:hint="eastAsia" w:ascii="仿宋_GB2312" w:hAnsi="仿宋" w:eastAsia="仿宋_GB2312" w:cs="仿宋"/>
          <w:b/>
          <w:bCs/>
          <w:color w:val="000000"/>
          <w:sz w:val="28"/>
          <w:szCs w:val="28"/>
          <w:lang w:val="zh-CN"/>
        </w:rPr>
        <w:t>第十七条</w:t>
      </w:r>
      <w:r>
        <w:rPr>
          <w:rFonts w:hint="eastAsia" w:ascii="仿宋_GB2312" w:hAnsi="仿宋" w:eastAsia="仿宋_GB2312" w:cs="仿宋"/>
          <w:color w:val="000000"/>
          <w:sz w:val="28"/>
          <w:szCs w:val="28"/>
          <w:lang w:val="zh-CN"/>
        </w:rPr>
        <w:t xml:space="preserve"> </w:t>
      </w:r>
      <w:r>
        <w:rPr>
          <w:rFonts w:hint="eastAsia" w:ascii="仿宋_GB2312" w:hAnsi="仿宋" w:eastAsia="仿宋_GB2312" w:cs="仿宋"/>
          <w:color w:val="000000"/>
          <w:sz w:val="28"/>
          <w:szCs w:val="28"/>
        </w:rPr>
        <w:t xml:space="preserve"> </w:t>
      </w:r>
      <w:r>
        <w:rPr>
          <w:rFonts w:hint="eastAsia" w:ascii="仿宋_GB2312" w:hAnsi="仿宋" w:eastAsia="仿宋_GB2312" w:cs="仿宋"/>
          <w:color w:val="000000"/>
          <w:sz w:val="28"/>
          <w:szCs w:val="28"/>
          <w:lang w:val="zh-CN"/>
        </w:rPr>
        <w:t>保全措施异议</w:t>
      </w:r>
    </w:p>
    <w:p>
      <w:pPr>
        <w:keepNext w:val="0"/>
        <w:keepLines w:val="0"/>
        <w:pageBreakBefore w:val="0"/>
        <w:widowControl w:val="0"/>
        <w:numPr>
          <w:ilvl w:val="0"/>
          <w:numId w:val="125"/>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如果当事人的财产被法院采取保全措施，律师应对保全措施是否违反法律法规规定、对方是否已提供适当担保、是否存在超标超范围的保全等问题进行审查。对保全措施中存在的问题和错误，律师可建议当事人向人民法院提出异议。</w:t>
      </w:r>
    </w:p>
    <w:p>
      <w:pPr>
        <w:keepNext w:val="0"/>
        <w:keepLines w:val="0"/>
        <w:pageBreakBefore w:val="0"/>
        <w:widowControl w:val="0"/>
        <w:numPr>
          <w:ilvl w:val="0"/>
          <w:numId w:val="125"/>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如果当事人需要解除保全措施，律师告知当事人可根据民事诉讼法第一百零四条“财产纠纷案件，被申请人提供担保的，人民法院应当裁定解除保全”之规定，向法院申请并提供担保。</w:t>
      </w:r>
    </w:p>
    <w:p>
      <w:pPr>
        <w:keepNext w:val="0"/>
        <w:keepLines w:val="0"/>
        <w:pageBreakBefore w:val="0"/>
        <w:widowControl w:val="0"/>
        <w:wordWrap/>
        <w:bidi w:val="0"/>
        <w:spacing w:after="0" w:line="500" w:lineRule="exact"/>
        <w:jc w:val="center"/>
        <w:rPr>
          <w:rFonts w:hint="eastAsia" w:ascii="黑体" w:hAnsi="黑体" w:eastAsia="黑体" w:cs="黑体"/>
          <w:bCs/>
          <w:color w:val="000000"/>
          <w:sz w:val="28"/>
          <w:szCs w:val="28"/>
        </w:rPr>
      </w:pPr>
      <w:r>
        <w:rPr>
          <w:rFonts w:hint="eastAsia" w:ascii="黑体" w:hAnsi="黑体" w:eastAsia="黑体" w:cs="黑体"/>
          <w:bCs/>
          <w:color w:val="000000"/>
          <w:sz w:val="28"/>
          <w:szCs w:val="28"/>
        </w:rPr>
        <w:t>第三章  律师办理建设工程施工合同纠纷案件诉讼业务实务指引</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lang w:val="zh-CN"/>
        </w:rPr>
      </w:pPr>
      <w:r>
        <w:rPr>
          <w:rFonts w:hint="eastAsia" w:ascii="仿宋_GB2312" w:hAnsi="仿宋" w:eastAsia="仿宋_GB2312" w:cs="仿宋"/>
          <w:b/>
          <w:bCs/>
          <w:color w:val="000000"/>
          <w:sz w:val="28"/>
          <w:szCs w:val="28"/>
          <w:lang w:val="zh-CN"/>
        </w:rPr>
        <w:t>第十八条</w:t>
      </w:r>
      <w:r>
        <w:rPr>
          <w:rFonts w:hint="eastAsia" w:ascii="仿宋_GB2312" w:hAnsi="仿宋" w:eastAsia="仿宋_GB2312" w:cs="仿宋"/>
          <w:color w:val="000000"/>
          <w:sz w:val="28"/>
          <w:szCs w:val="28"/>
          <w:lang w:val="zh-CN"/>
        </w:rPr>
        <w:t xml:space="preserve"> </w:t>
      </w:r>
      <w:r>
        <w:rPr>
          <w:rFonts w:hint="eastAsia" w:ascii="仿宋_GB2312" w:hAnsi="仿宋" w:eastAsia="仿宋_GB2312" w:cs="仿宋"/>
          <w:color w:val="000000"/>
          <w:sz w:val="28"/>
          <w:szCs w:val="28"/>
        </w:rPr>
        <w:t xml:space="preserve"> </w:t>
      </w:r>
      <w:r>
        <w:rPr>
          <w:rFonts w:hint="eastAsia" w:ascii="仿宋_GB2312" w:hAnsi="仿宋" w:eastAsia="仿宋_GB2312" w:cs="仿宋"/>
          <w:color w:val="000000"/>
          <w:sz w:val="28"/>
          <w:szCs w:val="28"/>
          <w:lang w:val="zh-CN"/>
        </w:rPr>
        <w:t>建设工程施工合同效力</w:t>
      </w:r>
    </w:p>
    <w:p>
      <w:pPr>
        <w:pStyle w:val="14"/>
        <w:keepNext w:val="0"/>
        <w:keepLines w:val="0"/>
        <w:pageBreakBefore w:val="0"/>
        <w:widowControl w:val="0"/>
        <w:numPr>
          <w:ilvl w:val="0"/>
          <w:numId w:val="126"/>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lang w:val="zh-CN"/>
        </w:rPr>
      </w:pPr>
      <w:r>
        <w:rPr>
          <w:rFonts w:hint="eastAsia" w:ascii="仿宋_GB2312" w:hAnsi="仿宋" w:eastAsia="仿宋_GB2312" w:cs="仿宋"/>
          <w:color w:val="000000"/>
          <w:sz w:val="28"/>
          <w:szCs w:val="28"/>
          <w:lang w:val="zh-CN"/>
        </w:rPr>
        <w:t>建设工程施工合同无效情形：</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lang w:val="zh-CN"/>
        </w:rPr>
        <w:t>《施工合同纠纷司法解释》第一条规定，“</w:t>
      </w:r>
      <w:r>
        <w:rPr>
          <w:rFonts w:hint="eastAsia" w:ascii="仿宋_GB2312" w:hAnsi="仿宋" w:eastAsia="仿宋_GB2312" w:cs="仿宋"/>
          <w:color w:val="000000"/>
          <w:sz w:val="28"/>
          <w:szCs w:val="28"/>
          <w:shd w:val="clear" w:color="auto" w:fill="FFFFFF"/>
        </w:rPr>
        <w:t>建设工程施工合同具有下列情形之一的，应当依据民法典第一百五十三条第一款的规定，认定无效：</w:t>
      </w:r>
    </w:p>
    <w:p>
      <w:pPr>
        <w:pStyle w:val="14"/>
        <w:keepNext w:val="0"/>
        <w:keepLines w:val="0"/>
        <w:pageBreakBefore w:val="0"/>
        <w:widowControl w:val="0"/>
        <w:numPr>
          <w:ilvl w:val="0"/>
          <w:numId w:val="127"/>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承包人未取得建筑业企业资质或者超越资质等级的；</w:t>
      </w:r>
    </w:p>
    <w:p>
      <w:pPr>
        <w:pStyle w:val="14"/>
        <w:keepNext w:val="0"/>
        <w:keepLines w:val="0"/>
        <w:pageBreakBefore w:val="0"/>
        <w:widowControl w:val="0"/>
        <w:numPr>
          <w:ilvl w:val="0"/>
          <w:numId w:val="127"/>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没有资质的实际施工人借用有资质的建筑施工企业名义的；</w:t>
      </w:r>
    </w:p>
    <w:p>
      <w:pPr>
        <w:pStyle w:val="14"/>
        <w:keepNext w:val="0"/>
        <w:keepLines w:val="0"/>
        <w:pageBreakBefore w:val="0"/>
        <w:widowControl w:val="0"/>
        <w:numPr>
          <w:ilvl w:val="0"/>
          <w:numId w:val="127"/>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rPr>
        <w:t>建设工程必须进行招标而未招标或者中标无效的</w:t>
      </w:r>
      <w:r>
        <w:rPr>
          <w:rFonts w:hint="eastAsia" w:ascii="仿宋_GB2312" w:hAnsi="仿宋" w:eastAsia="仿宋_GB2312" w:cs="仿宋"/>
          <w:color w:val="000000"/>
          <w:sz w:val="28"/>
          <w:szCs w:val="28"/>
        </w:rPr>
        <w:t>。</w:t>
      </w:r>
      <w:r>
        <w:rPr>
          <w:rFonts w:hint="eastAsia" w:ascii="仿宋_GB2312" w:hAnsi="仿宋" w:eastAsia="仿宋_GB2312" w:cs="仿宋"/>
          <w:color w:val="000000"/>
          <w:sz w:val="28"/>
          <w:szCs w:val="28"/>
          <w:shd w:val="clear" w:color="auto" w:fill="FFFFFF"/>
        </w:rPr>
        <w:t>承包人因转包、违法分包建设工程与他人签订的建设工程施工合同，应当依据民法典第一百五十三条第一款及第七百九十一条第二款、第三款的规定，认定无效</w:t>
      </w:r>
      <w:r>
        <w:rPr>
          <w:rFonts w:hint="eastAsia" w:ascii="仿宋_GB2312" w:hAnsi="仿宋" w:eastAsia="仿宋_GB2312" w:cs="仿宋"/>
          <w:color w:val="000000"/>
          <w:sz w:val="28"/>
          <w:szCs w:val="28"/>
          <w:lang w:val="zh-CN"/>
        </w:rPr>
        <w:t>”</w:t>
      </w:r>
      <w:r>
        <w:rPr>
          <w:rFonts w:hint="eastAsia" w:ascii="仿宋_GB2312" w:hAnsi="仿宋" w:eastAsia="仿宋_GB2312" w:cs="仿宋"/>
          <w:color w:val="000000"/>
          <w:sz w:val="28"/>
          <w:szCs w:val="28"/>
          <w:shd w:val="clear" w:color="auto" w:fill="FFFFFF"/>
        </w:rPr>
        <w:t>。</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lang w:val="zh-CN"/>
        </w:rPr>
      </w:pPr>
      <w:r>
        <w:rPr>
          <w:rFonts w:hint="eastAsia" w:ascii="仿宋_GB2312" w:hAnsi="仿宋" w:eastAsia="仿宋_GB2312" w:cs="仿宋"/>
          <w:color w:val="000000"/>
          <w:sz w:val="28"/>
          <w:szCs w:val="28"/>
          <w:lang w:val="zh-CN"/>
        </w:rPr>
        <w:t>《施工合同纠纷司法解释》第二条第二款规定，“</w:t>
      </w:r>
      <w:r>
        <w:rPr>
          <w:rFonts w:hint="eastAsia" w:ascii="仿宋_GB2312" w:hAnsi="仿宋" w:eastAsia="仿宋_GB2312" w:cs="仿宋"/>
          <w:color w:val="000000"/>
          <w:sz w:val="28"/>
          <w:szCs w:val="28"/>
          <w:shd w:val="clear" w:color="auto" w:fill="FFFFFF"/>
        </w:rPr>
        <w:t>招标人和中标人在中标合同之外就明显高于市场价格购买承建房产、无偿建设住房配套设施、让利、向建设单位捐赠财物等另行签订合同，变相降低工程价款，一方当事人以该合同背离中标合同实质性内容为由请求确认无效的，人民法院应予支持</w:t>
      </w:r>
      <w:r>
        <w:rPr>
          <w:rFonts w:hint="eastAsia" w:ascii="仿宋_GB2312" w:hAnsi="仿宋" w:eastAsia="仿宋_GB2312" w:cs="仿宋"/>
          <w:color w:val="000000"/>
          <w:sz w:val="28"/>
          <w:szCs w:val="28"/>
          <w:lang w:val="zh-CN"/>
        </w:rPr>
        <w:t>”</w:t>
      </w:r>
      <w:r>
        <w:rPr>
          <w:rFonts w:hint="eastAsia" w:ascii="仿宋_GB2312" w:hAnsi="仿宋" w:eastAsia="仿宋_GB2312" w:cs="仿宋"/>
          <w:color w:val="000000"/>
          <w:sz w:val="28"/>
          <w:szCs w:val="28"/>
          <w:shd w:val="clear" w:color="auto" w:fill="FFFFFF"/>
        </w:rPr>
        <w:t>。</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lang w:val="zh-CN"/>
        </w:rPr>
        <w:t>《施工合同纠纷司法解释》第三条规定，“</w:t>
      </w:r>
      <w:r>
        <w:rPr>
          <w:rFonts w:hint="eastAsia" w:ascii="仿宋_GB2312" w:hAnsi="仿宋" w:eastAsia="仿宋_GB2312" w:cs="仿宋"/>
          <w:color w:val="000000"/>
          <w:sz w:val="28"/>
          <w:szCs w:val="28"/>
          <w:shd w:val="clear" w:color="auto" w:fill="FFFFFF"/>
        </w:rPr>
        <w:t>当事人以发包人未取得建设工程规划许可证等规划审批手续为由，请求确认建设工程施工合同无效的，人民法院应予支持，但发包人在起诉前取得建设工程规划许可证等规划审批手续的除外。发包人能够办理审批手续而未办理，并以未办理审批手续为由请求确认建设工程施工合同无效的，人民法院不予支持</w:t>
      </w:r>
      <w:r>
        <w:rPr>
          <w:rFonts w:hint="eastAsia" w:ascii="仿宋_GB2312" w:hAnsi="仿宋" w:eastAsia="仿宋_GB2312" w:cs="仿宋"/>
          <w:color w:val="000000"/>
          <w:sz w:val="28"/>
          <w:szCs w:val="28"/>
          <w:lang w:val="zh-CN"/>
        </w:rPr>
        <w:t>”</w:t>
      </w:r>
      <w:r>
        <w:rPr>
          <w:rFonts w:hint="eastAsia" w:ascii="仿宋_GB2312" w:hAnsi="仿宋" w:eastAsia="仿宋_GB2312" w:cs="仿宋"/>
          <w:color w:val="000000"/>
          <w:sz w:val="28"/>
          <w:szCs w:val="28"/>
          <w:shd w:val="clear" w:color="auto" w:fill="FFFFFF"/>
        </w:rPr>
        <w:t>。</w:t>
      </w:r>
    </w:p>
    <w:p>
      <w:pPr>
        <w:pStyle w:val="14"/>
        <w:keepNext w:val="0"/>
        <w:keepLines w:val="0"/>
        <w:pageBreakBefore w:val="0"/>
        <w:widowControl w:val="0"/>
        <w:numPr>
          <w:ilvl w:val="0"/>
          <w:numId w:val="126"/>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不被认定为无效的情形：</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1.承包人超越资质等级许可的业务范围签订建设工程施工合同，在建设工程竣工前取得相应资质等级，当事人请求按照无效合同处理的，人民法院不予支持。</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2.具有劳务作业法定资质的承包人与总承包人、分包人签订的劳务分包合同，当事人请求确认无效的，人民法院依法不予支持。</w:t>
      </w:r>
    </w:p>
    <w:p>
      <w:pPr>
        <w:pStyle w:val="14"/>
        <w:keepNext w:val="0"/>
        <w:keepLines w:val="0"/>
        <w:pageBreakBefore w:val="0"/>
        <w:widowControl w:val="0"/>
        <w:numPr>
          <w:ilvl w:val="0"/>
          <w:numId w:val="126"/>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当事人主张其他情形导致合同无效，应当结合纠纷所确定的事实，根据《民法典》相关规定判定。</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lang w:val="zh-CN"/>
        </w:rPr>
      </w:pPr>
      <w:r>
        <w:rPr>
          <w:rFonts w:hint="eastAsia" w:ascii="仿宋_GB2312" w:hAnsi="仿宋" w:eastAsia="仿宋_GB2312" w:cs="仿宋"/>
          <w:b/>
          <w:bCs/>
          <w:color w:val="000000"/>
          <w:sz w:val="28"/>
          <w:szCs w:val="28"/>
        </w:rPr>
        <w:t xml:space="preserve">第十九条  </w:t>
      </w:r>
      <w:r>
        <w:rPr>
          <w:rFonts w:hint="eastAsia" w:ascii="仿宋_GB2312" w:hAnsi="仿宋" w:eastAsia="仿宋_GB2312" w:cs="仿宋"/>
          <w:color w:val="000000"/>
          <w:sz w:val="28"/>
          <w:szCs w:val="28"/>
          <w:lang w:val="zh-CN"/>
        </w:rPr>
        <w:t>建设工程施工合同的解除</w:t>
      </w:r>
    </w:p>
    <w:p>
      <w:pPr>
        <w:pStyle w:val="14"/>
        <w:keepNext w:val="0"/>
        <w:keepLines w:val="0"/>
        <w:pageBreakBefore w:val="0"/>
        <w:widowControl w:val="0"/>
        <w:numPr>
          <w:ilvl w:val="0"/>
          <w:numId w:val="128"/>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lang w:val="zh-CN"/>
        </w:rPr>
      </w:pPr>
      <w:r>
        <w:rPr>
          <w:rFonts w:hint="eastAsia" w:ascii="仿宋_GB2312" w:hAnsi="仿宋" w:eastAsia="仿宋_GB2312" w:cs="仿宋"/>
          <w:color w:val="000000"/>
          <w:sz w:val="28"/>
          <w:szCs w:val="28"/>
          <w:lang w:val="zh-CN"/>
        </w:rPr>
        <w:t>建设工程施工</w:t>
      </w:r>
      <w:r>
        <w:rPr>
          <w:rFonts w:hint="eastAsia" w:ascii="仿宋_GB2312" w:hAnsi="仿宋" w:eastAsia="仿宋_GB2312" w:cs="仿宋"/>
          <w:color w:val="000000"/>
          <w:sz w:val="28"/>
          <w:szCs w:val="28"/>
        </w:rPr>
        <w:t>合同约定的解除合同事由发生时，解除权人可以请求解除合同</w:t>
      </w:r>
      <w:r>
        <w:rPr>
          <w:rFonts w:hint="eastAsia" w:ascii="仿宋_GB2312" w:hAnsi="仿宋" w:eastAsia="仿宋_GB2312" w:cs="仿宋"/>
          <w:color w:val="000000"/>
          <w:sz w:val="28"/>
          <w:szCs w:val="28"/>
          <w:lang w:val="zh-CN"/>
        </w:rPr>
        <w:t>。</w:t>
      </w:r>
    </w:p>
    <w:p>
      <w:pPr>
        <w:pStyle w:val="14"/>
        <w:keepNext w:val="0"/>
        <w:keepLines w:val="0"/>
        <w:pageBreakBefore w:val="0"/>
        <w:widowControl w:val="0"/>
        <w:numPr>
          <w:ilvl w:val="0"/>
          <w:numId w:val="128"/>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rPr>
        <w:t>符合《民法典》第五百六十三条的规定的情形时，当事人可以解除合同</w:t>
      </w:r>
      <w:r>
        <w:rPr>
          <w:rFonts w:hint="eastAsia" w:ascii="仿宋_GB2312" w:hAnsi="仿宋" w:eastAsia="仿宋_GB2312" w:cs="仿宋"/>
          <w:color w:val="000000"/>
          <w:sz w:val="28"/>
          <w:szCs w:val="28"/>
        </w:rPr>
        <w:t>。</w:t>
      </w:r>
    </w:p>
    <w:p>
      <w:pPr>
        <w:pStyle w:val="14"/>
        <w:keepNext w:val="0"/>
        <w:keepLines w:val="0"/>
        <w:pageBreakBefore w:val="0"/>
        <w:widowControl w:val="0"/>
        <w:numPr>
          <w:ilvl w:val="0"/>
          <w:numId w:val="128"/>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行使合同解除权的期限：根据第五百六十四条规定，“法律规定或者当事人约定解除权行使期限，期限届满当事人不行使的，该权利消灭。法律没有规定或者当事人没有约定解除权行使期限，自解除权人知道或者应当知道解除事由之日起一年内不行使，或者经对方催告后在合理期限内不行使的，该权利消灭”。</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lang w:val="zh-CN"/>
        </w:rPr>
      </w:pPr>
      <w:r>
        <w:rPr>
          <w:rFonts w:hint="eastAsia" w:ascii="仿宋_GB2312" w:hAnsi="仿宋" w:eastAsia="仿宋_GB2312" w:cs="仿宋"/>
          <w:b/>
          <w:bCs/>
          <w:color w:val="000000"/>
          <w:sz w:val="28"/>
          <w:szCs w:val="28"/>
        </w:rPr>
        <w:t xml:space="preserve">第二十条  </w:t>
      </w:r>
      <w:r>
        <w:rPr>
          <w:rFonts w:hint="eastAsia" w:ascii="仿宋_GB2312" w:hAnsi="仿宋" w:eastAsia="仿宋_GB2312" w:cs="仿宋"/>
          <w:color w:val="000000"/>
          <w:sz w:val="28"/>
          <w:szCs w:val="28"/>
          <w:lang w:val="zh-CN"/>
        </w:rPr>
        <w:t>建设工程施工合同的撤销</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lang w:val="zh-CN"/>
        </w:rPr>
      </w:pPr>
      <w:r>
        <w:rPr>
          <w:rFonts w:hint="eastAsia" w:ascii="仿宋_GB2312" w:hAnsi="仿宋" w:eastAsia="仿宋_GB2312" w:cs="仿宋"/>
          <w:color w:val="000000"/>
          <w:sz w:val="28"/>
          <w:szCs w:val="28"/>
          <w:lang w:val="zh-CN"/>
        </w:rPr>
        <w:t>符合民法典第一百四十七条、第一百四十八条、第一百四十九条、第一百五十条、第一百五十一条规定的情形，当事人有权请求人民法院或仲裁机构撤销，撤销权消灭情形按照民法典第一百五十二条的规定适用。</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 xml:space="preserve">第二十一条  </w:t>
      </w:r>
      <w:r>
        <w:rPr>
          <w:rFonts w:hint="eastAsia" w:ascii="仿宋_GB2312" w:hAnsi="仿宋" w:eastAsia="仿宋_GB2312" w:cs="仿宋"/>
          <w:color w:val="000000"/>
          <w:sz w:val="28"/>
          <w:szCs w:val="28"/>
        </w:rPr>
        <w:t>工程价款结算</w:t>
      </w:r>
    </w:p>
    <w:p>
      <w:pPr>
        <w:pStyle w:val="14"/>
        <w:keepNext w:val="0"/>
        <w:keepLines w:val="0"/>
        <w:pageBreakBefore w:val="0"/>
        <w:widowControl w:val="0"/>
        <w:numPr>
          <w:ilvl w:val="0"/>
          <w:numId w:val="129"/>
        </w:numPr>
        <w:shd w:val="clear" w:color="auto" w:fill="FFFFFF"/>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无效合同工程款结算：根据《民法典》第七百九十三条之规定，“建设工程施工合同无效，但是建设工程经验收合格的，可以参照合同关于工程价款的约定折价补偿承包人”；根据</w:t>
      </w:r>
      <w:r>
        <w:rPr>
          <w:rFonts w:hint="eastAsia" w:ascii="仿宋_GB2312" w:hAnsi="仿宋" w:eastAsia="仿宋_GB2312" w:cs="仿宋"/>
          <w:color w:val="000000"/>
          <w:sz w:val="28"/>
          <w:szCs w:val="28"/>
          <w:lang w:val="zh-CN"/>
        </w:rPr>
        <w:t>《施工合同纠纷司法解释》规定，“</w:t>
      </w:r>
      <w:r>
        <w:rPr>
          <w:rFonts w:hint="eastAsia" w:ascii="仿宋_GB2312" w:hAnsi="仿宋" w:eastAsia="仿宋_GB2312" w:cs="仿宋"/>
          <w:color w:val="000000"/>
          <w:sz w:val="28"/>
          <w:szCs w:val="28"/>
        </w:rPr>
        <w:t>当事人就同一建设工程订立的数份建设工程施工合同均无效，但建设工程质量合格，一方当事人请求参照实际履行的合同关于工程价款的约定折价补偿承包人的，人民法院应予支持。实际履行的合同难以确定，当事人请求参照最后签订的合同关于工程价款的约定折价补偿承包人的，人民法院应予支持</w:t>
      </w:r>
      <w:r>
        <w:rPr>
          <w:rFonts w:hint="eastAsia" w:ascii="仿宋_GB2312" w:hAnsi="仿宋" w:eastAsia="仿宋_GB2312" w:cs="仿宋"/>
          <w:color w:val="000000"/>
          <w:sz w:val="28"/>
          <w:szCs w:val="28"/>
          <w:lang w:val="zh-CN"/>
        </w:rPr>
        <w:t>”</w:t>
      </w:r>
      <w:r>
        <w:rPr>
          <w:rFonts w:hint="eastAsia" w:ascii="仿宋_GB2312" w:hAnsi="仿宋" w:eastAsia="仿宋_GB2312" w:cs="仿宋"/>
          <w:color w:val="000000"/>
          <w:sz w:val="28"/>
          <w:szCs w:val="28"/>
        </w:rPr>
        <w:t>。</w:t>
      </w:r>
    </w:p>
    <w:p>
      <w:pPr>
        <w:pStyle w:val="14"/>
        <w:keepNext w:val="0"/>
        <w:keepLines w:val="0"/>
        <w:pageBreakBefore w:val="0"/>
        <w:widowControl w:val="0"/>
        <w:numPr>
          <w:ilvl w:val="0"/>
          <w:numId w:val="129"/>
        </w:numPr>
        <w:shd w:val="clear" w:color="auto" w:fill="FFFFFF"/>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有效合同工程款结算：根据</w:t>
      </w:r>
      <w:r>
        <w:rPr>
          <w:rFonts w:hint="eastAsia" w:ascii="仿宋_GB2312" w:hAnsi="仿宋" w:eastAsia="仿宋_GB2312" w:cs="仿宋"/>
          <w:color w:val="000000"/>
          <w:sz w:val="28"/>
          <w:szCs w:val="28"/>
          <w:lang w:val="zh-CN"/>
        </w:rPr>
        <w:t>《施工合同纠纷司法解释》，“</w:t>
      </w:r>
      <w:r>
        <w:rPr>
          <w:rFonts w:hint="eastAsia" w:ascii="仿宋_GB2312" w:hAnsi="仿宋" w:eastAsia="仿宋_GB2312" w:cs="仿宋"/>
          <w:color w:val="000000"/>
          <w:sz w:val="28"/>
          <w:szCs w:val="28"/>
        </w:rPr>
        <w:t>当事人对建设工程的计价标准或者计价方法有约定的，按照约定结算工程价款</w:t>
      </w:r>
      <w:r>
        <w:rPr>
          <w:rFonts w:hint="eastAsia" w:ascii="仿宋_GB2312" w:hAnsi="仿宋" w:eastAsia="仿宋_GB2312" w:cs="仿宋"/>
          <w:color w:val="000000"/>
          <w:sz w:val="28"/>
          <w:szCs w:val="28"/>
          <w:lang w:val="zh-CN"/>
        </w:rPr>
        <w:t>”。</w:t>
      </w:r>
      <w:r>
        <w:rPr>
          <w:rFonts w:hint="eastAsia" w:ascii="仿宋_GB2312" w:hAnsi="仿宋" w:eastAsia="仿宋_GB2312" w:cs="仿宋"/>
          <w:color w:val="000000"/>
          <w:sz w:val="28"/>
          <w:szCs w:val="28"/>
        </w:rPr>
        <w:t>律师应当注意建设工程竣工验收不合格和建设工程质量不符合约定的差异，前者在承包人修复至合格前，发包人可拒付工程款，后者承包人拒绝修理、返工或者改建的，发包人可请求减少支付工程价款，但完全拒付工程款可能得不到支持。</w:t>
      </w:r>
    </w:p>
    <w:p>
      <w:pPr>
        <w:pStyle w:val="14"/>
        <w:keepNext w:val="0"/>
        <w:keepLines w:val="0"/>
        <w:pageBreakBefore w:val="0"/>
        <w:widowControl w:val="0"/>
        <w:numPr>
          <w:ilvl w:val="0"/>
          <w:numId w:val="129"/>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工程价款结算争议</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1.工程价款结算</w:t>
      </w:r>
    </w:p>
    <w:p>
      <w:pPr>
        <w:pStyle w:val="14"/>
        <w:keepNext w:val="0"/>
        <w:keepLines w:val="0"/>
        <w:pageBreakBefore w:val="0"/>
        <w:widowControl w:val="0"/>
        <w:numPr>
          <w:ilvl w:val="0"/>
          <w:numId w:val="130"/>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结算依据的采纳</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经过招标的建设工程，一般以中标合同为结算依据，中标合同之外的变相降低工程价款的合同，应认定为无效；合同与招标文件、投标文件、中标通知书不一致的，以招标文件、投标文件、中标通知书为结算依据。</w:t>
      </w:r>
    </w:p>
    <w:p>
      <w:pPr>
        <w:pStyle w:val="14"/>
        <w:keepNext w:val="0"/>
        <w:keepLines w:val="0"/>
        <w:pageBreakBefore w:val="0"/>
        <w:widowControl w:val="0"/>
        <w:numPr>
          <w:ilvl w:val="0"/>
          <w:numId w:val="130"/>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合同中约定了工程造价及决算的计价方法的，应当从其约定。</w:t>
      </w:r>
    </w:p>
    <w:p>
      <w:pPr>
        <w:pStyle w:val="14"/>
        <w:keepNext w:val="0"/>
        <w:keepLines w:val="0"/>
        <w:pageBreakBefore w:val="0"/>
        <w:widowControl w:val="0"/>
        <w:numPr>
          <w:ilvl w:val="0"/>
          <w:numId w:val="130"/>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因设计变更导致建设工程的工程量或者质量标准发生变化，当事人对该部分工程价款不能协商一致的，可以参照签订建设工程施工合同时当地建设行政主管部门发布的计价方法或者计价标准结算工程价款。</w:t>
      </w:r>
    </w:p>
    <w:p>
      <w:pPr>
        <w:pStyle w:val="14"/>
        <w:keepNext w:val="0"/>
        <w:keepLines w:val="0"/>
        <w:pageBreakBefore w:val="0"/>
        <w:widowControl w:val="0"/>
        <w:numPr>
          <w:ilvl w:val="0"/>
          <w:numId w:val="130"/>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根据合同约定的工程造价及决算的计价方法，由于专业性太强，双方当事人无法就结算达成一致意见的，或者合同约定不明导致争议的，应就双方争议部分进行司法鉴定，由负有举证责任的一方申请鉴定并支付鉴定费用提交相关材料。但</w:t>
      </w:r>
      <w:r>
        <w:rPr>
          <w:rFonts w:hint="eastAsia" w:ascii="仿宋_GB2312" w:hAnsi="仿宋" w:eastAsia="仿宋_GB2312" w:cs="仿宋"/>
          <w:color w:val="000000"/>
          <w:sz w:val="28"/>
          <w:szCs w:val="28"/>
          <w:shd w:val="clear" w:color="auto" w:fill="FFFFFF"/>
        </w:rPr>
        <w:t>当事人在诉讼前已经对建设工程价款结算达成协议，诉讼中一方当事人申请对工程造价进行鉴定的，人民法院不予准许</w:t>
      </w:r>
      <w:r>
        <w:rPr>
          <w:rFonts w:hint="eastAsia" w:ascii="仿宋_GB2312" w:hAnsi="仿宋" w:eastAsia="仿宋_GB2312" w:cs="仿宋"/>
          <w:color w:val="000000"/>
          <w:sz w:val="28"/>
          <w:szCs w:val="28"/>
        </w:rPr>
        <w:t>；诉讼前共同委托有关机构、人员对工程造价出具咨询意见，</w:t>
      </w:r>
      <w:r>
        <w:rPr>
          <w:rFonts w:hint="eastAsia" w:ascii="仿宋_GB2312" w:hAnsi="仿宋" w:eastAsia="仿宋_GB2312" w:cs="仿宋"/>
          <w:color w:val="000000"/>
          <w:sz w:val="28"/>
          <w:szCs w:val="28"/>
          <w:shd w:val="clear" w:color="auto" w:fill="FFFFFF"/>
        </w:rPr>
        <w:t>诉讼中一方当事人不认可该咨询意见申请鉴定的，人民法院应予准许，但双方当事人明确表示受该咨询意见约束的除外</w:t>
      </w:r>
      <w:r>
        <w:rPr>
          <w:rFonts w:hint="eastAsia" w:ascii="仿宋_GB2312" w:hAnsi="仿宋" w:eastAsia="仿宋_GB2312" w:cs="仿宋"/>
          <w:color w:val="000000"/>
          <w:sz w:val="28"/>
          <w:szCs w:val="28"/>
        </w:rPr>
        <w:t>。</w:t>
      </w:r>
    </w:p>
    <w:p>
      <w:pPr>
        <w:pStyle w:val="14"/>
        <w:keepNext w:val="0"/>
        <w:keepLines w:val="0"/>
        <w:pageBreakBefore w:val="0"/>
        <w:widowControl w:val="0"/>
        <w:numPr>
          <w:ilvl w:val="0"/>
          <w:numId w:val="130"/>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当事人约定按照固定价结算工程价款，一方当事人请求对建设工程造价进行鉴定的，人民法院不予支持。</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2.工程款利息的支付</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（1）当事人对欠付工程价款利息计付标准有约定的，按照约定处理；没有约定的，按照中国人民银行发布的同期同类贷款利率</w:t>
      </w:r>
      <w:r>
        <w:rPr>
          <w:rFonts w:hint="eastAsia" w:ascii="仿宋_GB2312" w:hAnsi="仿宋" w:eastAsia="仿宋_GB2312" w:cs="仿宋"/>
          <w:color w:val="000000"/>
          <w:sz w:val="28"/>
          <w:szCs w:val="28"/>
          <w:shd w:val="clear" w:color="auto" w:fill="FFFFFF"/>
        </w:rPr>
        <w:t>或者同期贷款市场报价利率</w:t>
      </w:r>
      <w:r>
        <w:rPr>
          <w:rFonts w:hint="eastAsia" w:ascii="仿宋_GB2312" w:hAnsi="仿宋" w:eastAsia="仿宋_GB2312" w:cs="仿宋"/>
          <w:color w:val="000000"/>
          <w:sz w:val="28"/>
          <w:szCs w:val="28"/>
        </w:rPr>
        <w:t>计息。</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（2）利息从应付工程价款之日计付。合同有约定按约定，未约定或约定不明，分别按工程实际交付之日、未交付的按提交竣工结算文件之日、未交付也未结算的按起诉之日。</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 工程垫资和垫资利息</w:t>
      </w:r>
    </w:p>
    <w:p>
      <w:pPr>
        <w:keepNext w:val="0"/>
        <w:keepLines w:val="0"/>
        <w:pageBreakBefore w:val="0"/>
        <w:widowControl w:val="0"/>
        <w:numPr>
          <w:ilvl w:val="0"/>
          <w:numId w:val="131"/>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当事人对垫资和垫资利息有约定，承包人请求按照约定返还垫资及其利息的，应予支持，但是约定的利息计算标准高于中国人民银行发布的同期同类贷款利率</w:t>
      </w:r>
      <w:r>
        <w:rPr>
          <w:rFonts w:hint="eastAsia" w:ascii="仿宋_GB2312" w:hAnsi="仿宋" w:eastAsia="仿宋_GB2312" w:cs="仿宋"/>
          <w:color w:val="000000"/>
          <w:sz w:val="28"/>
          <w:szCs w:val="28"/>
          <w:shd w:val="clear" w:color="auto" w:fill="FFFFFF"/>
        </w:rPr>
        <w:t>或者同期贷款市场报价利率</w:t>
      </w:r>
      <w:r>
        <w:rPr>
          <w:rFonts w:hint="eastAsia" w:ascii="仿宋_GB2312" w:hAnsi="仿宋" w:eastAsia="仿宋_GB2312" w:cs="仿宋"/>
          <w:color w:val="000000"/>
          <w:sz w:val="28"/>
          <w:szCs w:val="28"/>
        </w:rPr>
        <w:t>的部分除外。</w:t>
      </w:r>
    </w:p>
    <w:p>
      <w:pPr>
        <w:keepNext w:val="0"/>
        <w:keepLines w:val="0"/>
        <w:pageBreakBefore w:val="0"/>
        <w:widowControl w:val="0"/>
        <w:numPr>
          <w:ilvl w:val="0"/>
          <w:numId w:val="131"/>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当事人对垫资没有约定的，按照工程欠款处理。</w:t>
      </w:r>
    </w:p>
    <w:p>
      <w:pPr>
        <w:keepNext w:val="0"/>
        <w:keepLines w:val="0"/>
        <w:pageBreakBefore w:val="0"/>
        <w:widowControl w:val="0"/>
        <w:numPr>
          <w:ilvl w:val="0"/>
          <w:numId w:val="131"/>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当事人对垫资利息没有约定，承包人请求支付利息的，人民法院不予支持。</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第二十二条</w:t>
      </w:r>
      <w:r>
        <w:rPr>
          <w:rFonts w:hint="eastAsia" w:ascii="仿宋_GB2312" w:hAnsi="仿宋" w:eastAsia="仿宋_GB2312" w:cs="仿宋"/>
          <w:color w:val="000000"/>
          <w:sz w:val="28"/>
          <w:szCs w:val="28"/>
        </w:rPr>
        <w:t xml:space="preserve">  工程价款优先受偿权</w:t>
      </w:r>
    </w:p>
    <w:p>
      <w:pPr>
        <w:keepNext w:val="0"/>
        <w:keepLines w:val="0"/>
        <w:pageBreakBefore w:val="0"/>
        <w:widowControl w:val="0"/>
        <w:numPr>
          <w:ilvl w:val="0"/>
          <w:numId w:val="132"/>
        </w:numPr>
        <w:wordWrap/>
        <w:bidi w:val="0"/>
        <w:spacing w:after="0" w:line="500" w:lineRule="exact"/>
        <w:ind w:firstLine="522"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承包人建设工程价款优先受偿的范围依照国务院有关行政主管部门关于建设工程价款范围的规定确定。承包人就逾期支付建设工程价款的利息、违约金、损害赔偿金等主张优先受偿的，人民法院不予支持。</w:t>
      </w:r>
    </w:p>
    <w:p>
      <w:pPr>
        <w:keepNext w:val="0"/>
        <w:keepLines w:val="0"/>
        <w:pageBreakBefore w:val="0"/>
        <w:widowControl w:val="0"/>
        <w:numPr>
          <w:ilvl w:val="0"/>
          <w:numId w:val="132"/>
        </w:numPr>
        <w:wordWrap/>
        <w:bidi w:val="0"/>
        <w:spacing w:after="0" w:line="500" w:lineRule="exact"/>
        <w:ind w:firstLine="522"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装饰装修工程的发包人不是建筑物的所有权人的，承包人不享有优先受偿权。</w:t>
      </w:r>
    </w:p>
    <w:p>
      <w:pPr>
        <w:keepNext w:val="0"/>
        <w:keepLines w:val="0"/>
        <w:pageBreakBefore w:val="0"/>
        <w:widowControl w:val="0"/>
        <w:numPr>
          <w:ilvl w:val="0"/>
          <w:numId w:val="132"/>
        </w:numPr>
        <w:wordWrap/>
        <w:bidi w:val="0"/>
        <w:spacing w:after="0" w:line="500" w:lineRule="exact"/>
        <w:ind w:firstLine="522"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rPr>
        <w:t>工程价款的优先受偿权</w:t>
      </w:r>
      <w:r>
        <w:rPr>
          <w:rFonts w:hint="eastAsia" w:ascii="仿宋_GB2312" w:hAnsi="仿宋" w:eastAsia="仿宋_GB2312" w:cs="仿宋"/>
          <w:color w:val="000000"/>
          <w:sz w:val="28"/>
          <w:szCs w:val="28"/>
          <w:shd w:val="clear" w:color="auto" w:fill="FFFFFF"/>
        </w:rPr>
        <w:t>优于抵押权和其他债权，但不得对抗交付购买商品房的全部或者大部分款项后的消费者。</w:t>
      </w:r>
    </w:p>
    <w:p>
      <w:pPr>
        <w:keepNext w:val="0"/>
        <w:keepLines w:val="0"/>
        <w:pageBreakBefore w:val="0"/>
        <w:widowControl w:val="0"/>
        <w:numPr>
          <w:ilvl w:val="0"/>
          <w:numId w:val="132"/>
        </w:numPr>
        <w:wordWrap/>
        <w:bidi w:val="0"/>
        <w:spacing w:after="0" w:line="500" w:lineRule="exact"/>
        <w:ind w:firstLine="522"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承包人应当在合理期限内行使建设工程价款优先受偿权，但最长不得超过十八个月，自发包人应当给付建设工程价款之日起算。</w:t>
      </w:r>
    </w:p>
    <w:p>
      <w:pPr>
        <w:keepNext w:val="0"/>
        <w:keepLines w:val="0"/>
        <w:pageBreakBefore w:val="0"/>
        <w:widowControl w:val="0"/>
        <w:numPr>
          <w:ilvl w:val="0"/>
          <w:numId w:val="132"/>
        </w:numPr>
        <w:wordWrap/>
        <w:bidi w:val="0"/>
        <w:spacing w:after="0" w:line="500" w:lineRule="exact"/>
        <w:ind w:firstLine="522"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发包人与承包人约定放弃或者限制建设工程价款优先受偿权，损害建筑工人利益，发包人根据该约定主张承包人不享有建设工程价款优先受偿权的，人民法院不予支持。</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 xml:space="preserve">第二十三条  </w:t>
      </w:r>
      <w:r>
        <w:rPr>
          <w:rFonts w:hint="eastAsia" w:ascii="仿宋_GB2312" w:hAnsi="仿宋" w:eastAsia="仿宋_GB2312" w:cs="仿宋"/>
          <w:color w:val="000000"/>
          <w:sz w:val="28"/>
          <w:szCs w:val="28"/>
          <w:shd w:val="clear" w:color="auto" w:fill="FFFFFF"/>
        </w:rPr>
        <w:t>工程质量</w:t>
      </w:r>
    </w:p>
    <w:p>
      <w:pPr>
        <w:keepNext w:val="0"/>
        <w:keepLines w:val="0"/>
        <w:pageBreakBefore w:val="0"/>
        <w:widowControl w:val="0"/>
        <w:numPr>
          <w:ilvl w:val="0"/>
          <w:numId w:val="133"/>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工程质量的责任主体是承包人，由于承包人的原因造成工程质量不符合合同规定的,承包人应负责无偿修理或返工、改建,由此造成工程逾期交付的,承包人应当承担违约责任。</w:t>
      </w:r>
    </w:p>
    <w:p>
      <w:pPr>
        <w:pStyle w:val="14"/>
        <w:keepNext w:val="0"/>
        <w:keepLines w:val="0"/>
        <w:pageBreakBefore w:val="0"/>
        <w:widowControl w:val="0"/>
        <w:numPr>
          <w:ilvl w:val="0"/>
          <w:numId w:val="133"/>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工程质量承包方免责事由</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发包人具有下列情形之一，造成建设工程质量缺陷，应当承担过错责任：（1）提供的设计有缺陷;（2）提供或者指定购买的建筑材料、建筑构配件、设备不符合强制性标准;（3）直接指定分包人分包专业工程。承包人有过错的，也应当承担相应的过错责任。</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2.建设工程未经竣工验收，发包人擅自使用后，又以使用部分质量不符合约定为由主张权利的，人民法院不予支持；但是承包人应当在建设工程的合理使用寿命内对地基基础工程和主体结构质量承担民事责任。</w:t>
      </w:r>
    </w:p>
    <w:p>
      <w:pPr>
        <w:pStyle w:val="14"/>
        <w:keepNext w:val="0"/>
        <w:keepLines w:val="0"/>
        <w:pageBreakBefore w:val="0"/>
        <w:widowControl w:val="0"/>
        <w:numPr>
          <w:ilvl w:val="0"/>
          <w:numId w:val="133"/>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工程质量损失的其他赔偿主体：</w:t>
      </w:r>
      <w:r>
        <w:rPr>
          <w:rFonts w:hint="eastAsia" w:ascii="仿宋_GB2312" w:hAnsi="仿宋" w:eastAsia="仿宋_GB2312" w:cs="仿宋"/>
          <w:color w:val="000000"/>
          <w:sz w:val="28"/>
          <w:szCs w:val="28"/>
          <w:shd w:val="clear" w:color="auto" w:fill="FFFFFF"/>
        </w:rPr>
        <w:t>分包人和实际施工人。</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第二十四条</w:t>
      </w:r>
      <w:r>
        <w:rPr>
          <w:rFonts w:hint="eastAsia" w:ascii="仿宋_GB2312" w:hAnsi="仿宋" w:eastAsia="仿宋_GB2312" w:cs="仿宋"/>
          <w:color w:val="000000"/>
          <w:sz w:val="28"/>
          <w:szCs w:val="28"/>
        </w:rPr>
        <w:t xml:space="preserve">  施工工期</w:t>
      </w:r>
    </w:p>
    <w:p>
      <w:pPr>
        <w:pStyle w:val="14"/>
        <w:keepNext w:val="0"/>
        <w:keepLines w:val="0"/>
        <w:pageBreakBefore w:val="0"/>
        <w:widowControl w:val="0"/>
        <w:numPr>
          <w:ilvl w:val="0"/>
          <w:numId w:val="134"/>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工程实际工期超过施工合同约定工期的，若系承包人原因造成延期，则应按合同约定承担违约责任。若是发包人原因造成延期，应按合同约定赔偿承包人损失。若是双方原因造成工期延误的，则应按实际情况确定责任。</w:t>
      </w:r>
    </w:p>
    <w:p>
      <w:pPr>
        <w:pStyle w:val="14"/>
        <w:keepNext w:val="0"/>
        <w:keepLines w:val="0"/>
        <w:pageBreakBefore w:val="0"/>
        <w:widowControl w:val="0"/>
        <w:numPr>
          <w:ilvl w:val="0"/>
          <w:numId w:val="134"/>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开工日期的确定关系到工期是否延误，实践中开工日期在开工通知、施工合同约定、《施工许可证》都可能体现，如出现不一致，按照</w:t>
      </w:r>
      <w:r>
        <w:rPr>
          <w:rFonts w:hint="eastAsia" w:ascii="仿宋_GB2312" w:hAnsi="仿宋" w:eastAsia="仿宋_GB2312" w:cs="仿宋"/>
          <w:color w:val="000000"/>
          <w:sz w:val="28"/>
          <w:szCs w:val="28"/>
          <w:lang w:val="zh-CN"/>
        </w:rPr>
        <w:t>《施工合同纠纷司法解释》规定进行确定：</w:t>
      </w:r>
    </w:p>
    <w:p>
      <w:pPr>
        <w:pStyle w:val="14"/>
        <w:keepNext w:val="0"/>
        <w:keepLines w:val="0"/>
        <w:pageBreakBefore w:val="0"/>
        <w:widowControl w:val="0"/>
        <w:numPr>
          <w:ilvl w:val="0"/>
          <w:numId w:val="135"/>
        </w:numPr>
        <w:shd w:val="clear" w:color="auto" w:fill="FFFFFF"/>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开工日期为发包人或者监理人发出的开工通知载明的开工日期；开工通知发出后，尚不具备开工条件的，以开工条件具备的时间为开工日期；因承包人原因导致开工时间推迟的，以开工通知载明的时间为开工日期。</w:t>
      </w:r>
    </w:p>
    <w:p>
      <w:pPr>
        <w:keepNext w:val="0"/>
        <w:keepLines w:val="0"/>
        <w:pageBreakBefore w:val="0"/>
        <w:widowControl w:val="0"/>
        <w:numPr>
          <w:ilvl w:val="0"/>
          <w:numId w:val="135"/>
        </w:numPr>
        <w:shd w:val="clear" w:color="auto" w:fill="FFFFFF"/>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承包人经发包人同意已经实际进场施工的，以实际进场施工时间为开工日期。</w:t>
      </w:r>
    </w:p>
    <w:p>
      <w:pPr>
        <w:keepNext w:val="0"/>
        <w:keepLines w:val="0"/>
        <w:pageBreakBefore w:val="0"/>
        <w:widowControl w:val="0"/>
        <w:numPr>
          <w:ilvl w:val="0"/>
          <w:numId w:val="135"/>
        </w:numPr>
        <w:shd w:val="clear" w:color="auto" w:fill="FFFFFF"/>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发包人或者监理人未发出开工通知，亦无相关证据证明实际开工日期的，应当综合考虑开工报告、合同、施工许可证、竣工验收报告或者竣工验收备案表等载明的时间，并结合是否具备开工条件的事实，认定开工日期。</w:t>
      </w:r>
    </w:p>
    <w:p>
      <w:pPr>
        <w:pStyle w:val="14"/>
        <w:keepNext w:val="0"/>
        <w:keepLines w:val="0"/>
        <w:pageBreakBefore w:val="0"/>
        <w:widowControl w:val="0"/>
        <w:numPr>
          <w:ilvl w:val="0"/>
          <w:numId w:val="134"/>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竣工日期的确定，按照</w:t>
      </w:r>
      <w:r>
        <w:rPr>
          <w:rFonts w:hint="eastAsia" w:ascii="仿宋_GB2312" w:hAnsi="仿宋" w:eastAsia="仿宋_GB2312" w:cs="仿宋"/>
          <w:color w:val="000000"/>
          <w:sz w:val="28"/>
          <w:szCs w:val="28"/>
          <w:lang w:val="zh-CN"/>
        </w:rPr>
        <w:t>《施工合同纠纷司法解释》，</w:t>
      </w:r>
      <w:r>
        <w:rPr>
          <w:rFonts w:hint="eastAsia" w:ascii="仿宋_GB2312" w:hAnsi="仿宋" w:eastAsia="仿宋_GB2312" w:cs="仿宋"/>
          <w:color w:val="000000"/>
          <w:sz w:val="28"/>
          <w:szCs w:val="28"/>
        </w:rPr>
        <w:t>当事人对建设工程实际竣工日期有争议的，按照以下情形分别处理：</w:t>
      </w:r>
    </w:p>
    <w:p>
      <w:pPr>
        <w:pStyle w:val="14"/>
        <w:keepNext w:val="0"/>
        <w:keepLines w:val="0"/>
        <w:pageBreakBefore w:val="0"/>
        <w:widowControl w:val="0"/>
        <w:numPr>
          <w:ilvl w:val="0"/>
          <w:numId w:val="136"/>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建设工程经竣工验收合格的，以竣工验收合格之日为竣工日期；</w:t>
      </w:r>
    </w:p>
    <w:p>
      <w:pPr>
        <w:pStyle w:val="14"/>
        <w:keepNext w:val="0"/>
        <w:keepLines w:val="0"/>
        <w:pageBreakBefore w:val="0"/>
        <w:widowControl w:val="0"/>
        <w:numPr>
          <w:ilvl w:val="0"/>
          <w:numId w:val="136"/>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承包人已经提交竣工验收报告，发包人拖延验收的，以承包人提交验收报告之日为竣工日期；</w:t>
      </w:r>
    </w:p>
    <w:p>
      <w:pPr>
        <w:pStyle w:val="14"/>
        <w:keepNext w:val="0"/>
        <w:keepLines w:val="0"/>
        <w:pageBreakBefore w:val="0"/>
        <w:widowControl w:val="0"/>
        <w:numPr>
          <w:ilvl w:val="0"/>
          <w:numId w:val="136"/>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建设工程未经竣工验收，发包人擅自使用的，以转移占有建设工程之日为竣工日期。</w:t>
      </w:r>
    </w:p>
    <w:p>
      <w:pPr>
        <w:pStyle w:val="14"/>
        <w:keepNext w:val="0"/>
        <w:keepLines w:val="0"/>
        <w:pageBreakBefore w:val="0"/>
        <w:widowControl w:val="0"/>
        <w:numPr>
          <w:ilvl w:val="0"/>
          <w:numId w:val="134"/>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工期可以顺延的情形一般包括：工程量增加、发包人设计变更、未按约定提供设计施工图等、发包人未按约定支付工程款、发包人提供的材料或指定的分包项目出现迟延、工程质量鉴定合格的鉴定期间、合同约定的其他情形、不可抗力等。工期顺延一般应取得发包人或监理人的签证等方式确认，或者虽未取得确认，但</w:t>
      </w:r>
      <w:r>
        <w:rPr>
          <w:rFonts w:hint="eastAsia" w:ascii="仿宋_GB2312" w:hAnsi="仿宋" w:eastAsia="仿宋_GB2312" w:cs="仿宋"/>
          <w:color w:val="000000"/>
          <w:sz w:val="28"/>
          <w:szCs w:val="28"/>
          <w:shd w:val="clear" w:color="auto" w:fill="FFFFFF"/>
        </w:rPr>
        <w:t>能够证明在合同约定的期限内向发包人或者监理人申请过工期顺延且顺延事由符合合同约定。</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 xml:space="preserve">第二十五条  </w:t>
      </w:r>
      <w:r>
        <w:rPr>
          <w:rFonts w:hint="eastAsia" w:ascii="仿宋_GB2312" w:hAnsi="仿宋" w:eastAsia="仿宋_GB2312" w:cs="仿宋"/>
          <w:color w:val="000000"/>
          <w:sz w:val="28"/>
          <w:szCs w:val="28"/>
        </w:rPr>
        <w:t>工程价款的司法鉴定</w:t>
      </w:r>
    </w:p>
    <w:p>
      <w:pPr>
        <w:pStyle w:val="14"/>
        <w:keepNext w:val="0"/>
        <w:keepLines w:val="0"/>
        <w:pageBreakBefore w:val="0"/>
        <w:widowControl w:val="0"/>
        <w:numPr>
          <w:ilvl w:val="0"/>
          <w:numId w:val="137"/>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司法鉴定程序启动：司法鉴定一般由负有举证责任的一方当事人申请，法院也可依职权进行司法鉴定。</w:t>
      </w:r>
    </w:p>
    <w:p>
      <w:pPr>
        <w:pStyle w:val="14"/>
        <w:keepNext w:val="0"/>
        <w:keepLines w:val="0"/>
        <w:pageBreakBefore w:val="0"/>
        <w:widowControl w:val="0"/>
        <w:numPr>
          <w:ilvl w:val="0"/>
          <w:numId w:val="137"/>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鉴定机构的选取：目前一般由法院在鉴定中介机构库中抽签选取，但应注意鉴定机构的鉴定事项是否超出其资质范围。</w:t>
      </w:r>
    </w:p>
    <w:p>
      <w:pPr>
        <w:pStyle w:val="14"/>
        <w:keepNext w:val="0"/>
        <w:keepLines w:val="0"/>
        <w:pageBreakBefore w:val="0"/>
        <w:widowControl w:val="0"/>
        <w:numPr>
          <w:ilvl w:val="0"/>
          <w:numId w:val="137"/>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司法鉴定范围：除双方当事人同意或者约定不明、争议事实范围不清外，应当仅就有争议的事实部分进行鉴定。律师办理业务过程中，特别应注意防止出现擅自扩大鉴定范围、甚至改变合同明确约定的计价方式进行鉴定等“以鉴代审”的情况。</w:t>
      </w:r>
    </w:p>
    <w:p>
      <w:pPr>
        <w:pStyle w:val="14"/>
        <w:keepNext w:val="0"/>
        <w:keepLines w:val="0"/>
        <w:pageBreakBefore w:val="0"/>
        <w:widowControl w:val="0"/>
        <w:numPr>
          <w:ilvl w:val="0"/>
          <w:numId w:val="137"/>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鉴定材料质证、鉴定初稿的异议和鉴定结论的质证：律师应当协助当事人对鉴定材料进行质证，提出是否能成为鉴定依据的质证意见。律师应当协助当事人对鉴定初稿进行审查，对不当之处及时提出异议，重点审查鉴定机构的资质和鉴定人员的资格、材料机械人工费用的定价和调差、工程量的计算方法等是否符合合同约定或其他确定的依据。司法鉴定报告形成后，律师应当和当事人、当事人聘请的造价工程师对鉴定报告涉及的事项逐项审核，对于可能存在的违反鉴定程序、超出鉴定范围、错误选取鉴定依据和方法等，拟定书面质证意见，必要时在庭审中应当请专家证人出庭质证。如涉及需要且可能重新鉴定，应当按照《最高人民法院关于民事诉讼证据的若干规定》（法释[2019]19号），向法院及时提出。</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第二十六条</w:t>
      </w:r>
      <w:r>
        <w:rPr>
          <w:rFonts w:hint="eastAsia" w:ascii="仿宋_GB2312" w:hAnsi="仿宋" w:eastAsia="仿宋_GB2312" w:cs="仿宋"/>
          <w:color w:val="000000"/>
          <w:sz w:val="28"/>
          <w:szCs w:val="28"/>
        </w:rPr>
        <w:t xml:space="preserve">  工程质量鉴定</w:t>
      </w:r>
    </w:p>
    <w:p>
      <w:pPr>
        <w:pStyle w:val="14"/>
        <w:keepNext w:val="0"/>
        <w:keepLines w:val="0"/>
        <w:pageBreakBefore w:val="0"/>
        <w:widowControl w:val="0"/>
        <w:numPr>
          <w:ilvl w:val="0"/>
          <w:numId w:val="138"/>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对于工程质量可能不合格或者不符合合同约定的，发包方可以申请司法鉴定，确定应当承担质量责任的主体以及责任承担的范围。工程质量鉴定不合格的，可以要求对修复费用、修复工期进行鉴定，以确定发包人的损失金额。</w:t>
      </w:r>
    </w:p>
    <w:p>
      <w:pPr>
        <w:pStyle w:val="14"/>
        <w:keepNext w:val="0"/>
        <w:keepLines w:val="0"/>
        <w:pageBreakBefore w:val="0"/>
        <w:widowControl w:val="0"/>
        <w:numPr>
          <w:ilvl w:val="0"/>
          <w:numId w:val="138"/>
        </w:numPr>
        <w:wordWrap/>
        <w:bidi w:val="0"/>
        <w:spacing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关于工程质量鉴定的鉴定机构选取、鉴定所需证据材料的质证、鉴定初稿异议、鉴定报告的异议和质证等程序，参考本指引第25条的相关意见。</w:t>
      </w:r>
    </w:p>
    <w:p>
      <w:pPr>
        <w:keepNext w:val="0"/>
        <w:keepLines w:val="0"/>
        <w:pageBreakBefore w:val="0"/>
        <w:widowControl w:val="0"/>
        <w:wordWrap/>
        <w:bidi w:val="0"/>
        <w:spacing w:after="0" w:line="500" w:lineRule="exact"/>
        <w:ind w:firstLine="522" w:firstLineChars="200"/>
        <w:jc w:val="both"/>
        <w:rPr>
          <w:rFonts w:hint="eastAsia" w:ascii="仿宋" w:hAnsi="仿宋" w:eastAsia="仿宋" w:cs="仿宋"/>
          <w:b/>
          <w:color w:val="000000"/>
          <w:sz w:val="28"/>
          <w:szCs w:val="28"/>
        </w:rPr>
      </w:pPr>
    </w:p>
    <w:p>
      <w:pPr>
        <w:keepNext w:val="0"/>
        <w:keepLines w:val="0"/>
        <w:pageBreakBefore w:val="0"/>
        <w:widowControl w:val="0"/>
        <w:wordWrap/>
        <w:bidi w:val="0"/>
        <w:spacing w:after="0" w:line="500" w:lineRule="exact"/>
        <w:jc w:val="center"/>
        <w:rPr>
          <w:rFonts w:hint="eastAsia" w:ascii="黑体" w:hAnsi="黑体" w:eastAsia="黑体" w:cs="黑体"/>
          <w:bCs/>
          <w:color w:val="000000"/>
          <w:sz w:val="28"/>
          <w:szCs w:val="28"/>
          <w:lang w:val="zh-CN"/>
        </w:rPr>
      </w:pPr>
      <w:r>
        <w:rPr>
          <w:rFonts w:hint="eastAsia" w:ascii="黑体" w:hAnsi="黑体" w:eastAsia="黑体" w:cs="黑体"/>
          <w:bCs/>
          <w:color w:val="000000"/>
          <w:sz w:val="28"/>
          <w:szCs w:val="28"/>
        </w:rPr>
        <w:t xml:space="preserve">第四章  </w:t>
      </w:r>
      <w:r>
        <w:rPr>
          <w:rFonts w:hint="eastAsia" w:ascii="黑体" w:hAnsi="黑体" w:eastAsia="黑体" w:cs="黑体"/>
          <w:bCs/>
          <w:color w:val="000000"/>
          <w:sz w:val="28"/>
          <w:szCs w:val="28"/>
          <w:lang w:val="zh-CN"/>
        </w:rPr>
        <w:t>附则</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lang w:val="zh-CN"/>
        </w:rPr>
      </w:pPr>
      <w:r>
        <w:rPr>
          <w:rFonts w:hint="eastAsia" w:ascii="仿宋_GB2312" w:hAnsi="仿宋" w:eastAsia="仿宋_GB2312" w:cs="仿宋"/>
          <w:b/>
          <w:bCs/>
          <w:color w:val="000000"/>
          <w:sz w:val="28"/>
          <w:szCs w:val="28"/>
          <w:lang w:val="zh-CN"/>
        </w:rPr>
        <w:t>第二十七条</w:t>
      </w:r>
      <w:r>
        <w:rPr>
          <w:rFonts w:hint="eastAsia" w:ascii="仿宋_GB2312" w:hAnsi="仿宋" w:eastAsia="仿宋_GB2312" w:cs="仿宋"/>
          <w:color w:val="000000"/>
          <w:sz w:val="28"/>
          <w:szCs w:val="28"/>
          <w:lang w:val="zh-CN"/>
        </w:rPr>
        <w:t xml:space="preserve"> </w:t>
      </w:r>
      <w:r>
        <w:rPr>
          <w:rFonts w:hint="eastAsia" w:ascii="仿宋_GB2312" w:hAnsi="仿宋" w:eastAsia="仿宋_GB2312" w:cs="仿宋"/>
          <w:color w:val="000000"/>
          <w:sz w:val="28"/>
          <w:szCs w:val="28"/>
        </w:rPr>
        <w:t xml:space="preserve"> </w:t>
      </w:r>
      <w:r>
        <w:rPr>
          <w:rFonts w:hint="eastAsia" w:ascii="仿宋_GB2312" w:hAnsi="仿宋" w:eastAsia="仿宋_GB2312" w:cs="仿宋"/>
          <w:color w:val="000000"/>
          <w:sz w:val="28"/>
          <w:szCs w:val="28"/>
          <w:lang w:val="zh-CN"/>
        </w:rPr>
        <w:t>如</w:t>
      </w:r>
      <w:r>
        <w:rPr>
          <w:rFonts w:hint="eastAsia" w:ascii="仿宋_GB2312" w:hAnsi="仿宋" w:eastAsia="仿宋_GB2312" w:cs="仿宋"/>
          <w:color w:val="000000"/>
          <w:sz w:val="28"/>
          <w:szCs w:val="28"/>
        </w:rPr>
        <w:t>建设工程施工合同</w:t>
      </w:r>
      <w:r>
        <w:rPr>
          <w:rFonts w:hint="eastAsia" w:ascii="仿宋_GB2312" w:hAnsi="仿宋" w:eastAsia="仿宋_GB2312" w:cs="仿宋"/>
          <w:color w:val="000000"/>
          <w:sz w:val="28"/>
          <w:szCs w:val="28"/>
          <w:lang w:val="zh-CN"/>
        </w:rPr>
        <w:t>纠纷约定仲裁，本指引应按照约定的仲裁委员会的仲裁规则，在仲裁中参考使用。如与约定的仲裁规则不一致的，以仲裁规则为准。</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lang w:val="zh-CN"/>
        </w:rPr>
      </w:pPr>
      <w:r>
        <w:rPr>
          <w:rFonts w:hint="eastAsia" w:ascii="仿宋_GB2312" w:hAnsi="仿宋" w:eastAsia="仿宋_GB2312" w:cs="仿宋"/>
          <w:b/>
          <w:bCs/>
          <w:color w:val="000000"/>
          <w:sz w:val="28"/>
          <w:szCs w:val="28"/>
          <w:lang w:val="zh-CN"/>
        </w:rPr>
        <w:t xml:space="preserve">第二十八条 </w:t>
      </w:r>
      <w:r>
        <w:rPr>
          <w:rFonts w:hint="eastAsia" w:ascii="仿宋_GB2312" w:hAnsi="仿宋" w:eastAsia="仿宋_GB2312" w:cs="仿宋"/>
          <w:b/>
          <w:bCs/>
          <w:color w:val="000000"/>
          <w:sz w:val="28"/>
          <w:szCs w:val="28"/>
        </w:rPr>
        <w:t xml:space="preserve"> </w:t>
      </w:r>
      <w:r>
        <w:rPr>
          <w:rFonts w:hint="eastAsia" w:ascii="仿宋_GB2312" w:hAnsi="仿宋" w:eastAsia="仿宋_GB2312" w:cs="仿宋"/>
          <w:color w:val="000000"/>
          <w:sz w:val="28"/>
          <w:szCs w:val="28"/>
          <w:lang w:val="zh-CN"/>
        </w:rPr>
        <w:t>本指引根据</w:t>
      </w:r>
      <w:r>
        <w:rPr>
          <w:rFonts w:hint="eastAsia" w:ascii="仿宋_GB2312" w:hAnsi="仿宋" w:eastAsia="仿宋_GB2312" w:cs="仿宋"/>
          <w:color w:val="000000"/>
          <w:sz w:val="28"/>
          <w:szCs w:val="28"/>
        </w:rPr>
        <w:t>印发</w:t>
      </w:r>
      <w:r>
        <w:rPr>
          <w:rFonts w:hint="eastAsia" w:ascii="仿宋_GB2312" w:hAnsi="仿宋" w:eastAsia="仿宋_GB2312" w:cs="仿宋"/>
          <w:color w:val="000000"/>
          <w:sz w:val="28"/>
          <w:szCs w:val="28"/>
          <w:lang w:val="zh-CN"/>
        </w:rPr>
        <w:t>前实施的法律、行政法规、规章、规范性文件、司法解释及其他相关文件的规定，结合律师业务实践操作制定。若国家的法律、法规、规章、规范性文件及司法解释发生变化，应以新的规定为依据。</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lang w:val="zh-CN"/>
        </w:rPr>
      </w:pPr>
      <w:r>
        <w:rPr>
          <w:rFonts w:hint="eastAsia" w:ascii="仿宋_GB2312" w:hAnsi="仿宋" w:eastAsia="仿宋_GB2312" w:cs="仿宋"/>
          <w:b/>
          <w:bCs/>
          <w:color w:val="000000"/>
          <w:sz w:val="28"/>
          <w:szCs w:val="28"/>
          <w:lang w:val="zh-CN"/>
        </w:rPr>
        <w:t>第二十九条</w:t>
      </w:r>
      <w:r>
        <w:rPr>
          <w:rFonts w:hint="eastAsia" w:ascii="仿宋_GB2312" w:hAnsi="仿宋" w:eastAsia="仿宋_GB2312" w:cs="仿宋"/>
          <w:color w:val="000000"/>
          <w:sz w:val="28"/>
          <w:szCs w:val="28"/>
          <w:lang w:val="zh-CN"/>
        </w:rPr>
        <w:t xml:space="preserve"> </w:t>
      </w:r>
      <w:r>
        <w:rPr>
          <w:rFonts w:hint="eastAsia" w:ascii="仿宋_GB2312" w:hAnsi="仿宋" w:eastAsia="仿宋_GB2312" w:cs="仿宋"/>
          <w:color w:val="000000"/>
          <w:sz w:val="28"/>
          <w:szCs w:val="28"/>
        </w:rPr>
        <w:t xml:space="preserve"> </w:t>
      </w:r>
      <w:r>
        <w:rPr>
          <w:rFonts w:hint="eastAsia" w:ascii="仿宋_GB2312" w:hAnsi="仿宋" w:eastAsia="仿宋_GB2312" w:cs="仿宋"/>
          <w:color w:val="000000"/>
          <w:sz w:val="28"/>
          <w:szCs w:val="28"/>
          <w:lang w:val="zh-CN"/>
        </w:rPr>
        <w:t>处理</w:t>
      </w:r>
      <w:r>
        <w:rPr>
          <w:rFonts w:hint="eastAsia" w:ascii="仿宋_GB2312" w:hAnsi="仿宋" w:eastAsia="仿宋_GB2312" w:cs="仿宋"/>
          <w:color w:val="000000"/>
          <w:sz w:val="28"/>
          <w:szCs w:val="28"/>
        </w:rPr>
        <w:t>建设工程施工合同纠纷实践中上存在争议的观点，</w:t>
      </w:r>
      <w:r>
        <w:rPr>
          <w:rFonts w:hint="eastAsia" w:ascii="仿宋_GB2312" w:hAnsi="仿宋" w:eastAsia="仿宋_GB2312" w:cs="仿宋"/>
          <w:color w:val="000000"/>
          <w:sz w:val="28"/>
          <w:szCs w:val="28"/>
          <w:lang w:val="zh-CN"/>
        </w:rPr>
        <w:t>本指引不做</w:t>
      </w:r>
      <w:r>
        <w:rPr>
          <w:rFonts w:hint="eastAsia" w:ascii="仿宋_GB2312" w:hAnsi="仿宋" w:eastAsia="仿宋_GB2312" w:cs="仿宋"/>
          <w:color w:val="000000"/>
          <w:sz w:val="28"/>
          <w:szCs w:val="28"/>
        </w:rPr>
        <w:t>结论</w:t>
      </w:r>
      <w:r>
        <w:rPr>
          <w:rFonts w:hint="eastAsia" w:ascii="仿宋_GB2312" w:hAnsi="仿宋" w:eastAsia="仿宋_GB2312" w:cs="仿宋"/>
          <w:color w:val="000000"/>
          <w:sz w:val="28"/>
          <w:szCs w:val="28"/>
          <w:lang w:val="zh-CN"/>
        </w:rPr>
        <w:t>，建议承办律师通过本指引确定的程序，自行通过案例检索、学术观点整理后，形成代理方案。</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lang w:val="zh-CN"/>
        </w:rPr>
      </w:pPr>
      <w:r>
        <w:rPr>
          <w:rFonts w:hint="eastAsia" w:ascii="仿宋_GB2312" w:hAnsi="仿宋" w:eastAsia="仿宋_GB2312" w:cs="仿宋"/>
          <w:b/>
          <w:bCs/>
          <w:color w:val="000000"/>
          <w:sz w:val="28"/>
          <w:szCs w:val="28"/>
          <w:lang w:val="zh-CN"/>
        </w:rPr>
        <w:t>第三十条</w:t>
      </w:r>
      <w:r>
        <w:rPr>
          <w:rFonts w:hint="eastAsia" w:ascii="仿宋_GB2312" w:hAnsi="仿宋" w:eastAsia="仿宋_GB2312" w:cs="仿宋"/>
          <w:color w:val="000000"/>
          <w:sz w:val="28"/>
          <w:szCs w:val="28"/>
          <w:lang w:val="zh-CN"/>
        </w:rPr>
        <w:t xml:space="preserve"> </w:t>
      </w:r>
      <w:r>
        <w:rPr>
          <w:rFonts w:hint="eastAsia" w:ascii="仿宋_GB2312" w:hAnsi="仿宋" w:eastAsia="仿宋_GB2312" w:cs="仿宋"/>
          <w:color w:val="000000"/>
          <w:sz w:val="28"/>
          <w:szCs w:val="28"/>
        </w:rPr>
        <w:t xml:space="preserve"> </w:t>
      </w:r>
      <w:r>
        <w:rPr>
          <w:rFonts w:hint="eastAsia" w:ascii="仿宋_GB2312" w:hAnsi="仿宋" w:eastAsia="仿宋_GB2312" w:cs="仿宋"/>
          <w:color w:val="000000"/>
          <w:sz w:val="28"/>
          <w:szCs w:val="28"/>
          <w:lang w:val="zh-CN"/>
        </w:rPr>
        <w:t>免责申明：鉴于各地司法实践的差异性，律师参考本指引办理业务，本指引编撰单位不承担指引不当的责任。</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宋体"/>
          <w:color w:val="000000"/>
          <w:sz w:val="28"/>
          <w:szCs w:val="28"/>
          <w:lang w:val="zh-CN"/>
        </w:rPr>
      </w:pPr>
      <w:r>
        <w:rPr>
          <w:rFonts w:hint="eastAsia" w:ascii="仿宋_GB2312" w:hAnsi="仿宋" w:eastAsia="仿宋_GB2312" w:cs="仿宋"/>
          <w:b/>
          <w:bCs/>
          <w:color w:val="000000"/>
          <w:sz w:val="28"/>
          <w:szCs w:val="28"/>
          <w:lang w:val="zh-CN"/>
        </w:rPr>
        <w:t xml:space="preserve">第三十一条 </w:t>
      </w:r>
      <w:r>
        <w:rPr>
          <w:rFonts w:hint="eastAsia" w:ascii="仿宋_GB2312" w:hAnsi="仿宋" w:eastAsia="仿宋_GB2312" w:cs="仿宋"/>
          <w:b/>
          <w:bCs/>
          <w:color w:val="000000"/>
          <w:sz w:val="28"/>
          <w:szCs w:val="28"/>
        </w:rPr>
        <w:t xml:space="preserve"> </w:t>
      </w:r>
      <w:r>
        <w:rPr>
          <w:rFonts w:hint="eastAsia" w:ascii="仿宋_GB2312" w:hAnsi="仿宋" w:eastAsia="仿宋_GB2312" w:cs="仿宋"/>
          <w:color w:val="000000"/>
          <w:sz w:val="28"/>
          <w:szCs w:val="28"/>
          <w:lang w:val="zh-CN"/>
        </w:rPr>
        <w:t>本指引解释权归</w:t>
      </w:r>
      <w:r>
        <w:rPr>
          <w:rFonts w:hint="eastAsia" w:ascii="仿宋_GB2312" w:hAnsi="仿宋" w:eastAsia="仿宋_GB2312" w:cs="仿宋"/>
          <w:color w:val="000000"/>
          <w:sz w:val="28"/>
          <w:szCs w:val="28"/>
        </w:rPr>
        <w:t>湖南省律师协会</w:t>
      </w:r>
      <w:r>
        <w:rPr>
          <w:rFonts w:hint="eastAsia" w:ascii="仿宋_GB2312" w:hAnsi="仿宋" w:eastAsia="仿宋_GB2312"/>
          <w:color w:val="000000"/>
          <w:sz w:val="28"/>
          <w:szCs w:val="28"/>
        </w:rPr>
        <w:t>。</w:t>
      </w:r>
    </w:p>
    <w:p>
      <w:pPr>
        <w:keepNext w:val="0"/>
        <w:keepLines w:val="0"/>
        <w:pageBreakBefore w:val="0"/>
        <w:widowControl w:val="0"/>
        <w:wordWrap/>
        <w:bidi w:val="0"/>
        <w:spacing w:line="500" w:lineRule="exact"/>
        <w:ind w:firstLine="522" w:firstLineChars="200"/>
        <w:rPr>
          <w:rFonts w:hint="eastAsia" w:ascii="方正小标宋简体" w:hAnsi="方正小标宋简体" w:eastAsia="方正小标宋简体" w:cs="方正小标宋简体"/>
          <w:bCs/>
          <w:color w:val="000000"/>
          <w:spacing w:val="6"/>
          <w:sz w:val="40"/>
          <w:szCs w:val="40"/>
        </w:rPr>
      </w:pPr>
      <w:r>
        <w:rPr>
          <w:rFonts w:ascii="仿宋_GB2312" w:hAnsi="仿宋" w:eastAsia="仿宋_GB2312" w:cs="宋体"/>
          <w:color w:val="000000"/>
          <w:sz w:val="28"/>
          <w:szCs w:val="28"/>
          <w:lang w:val="zh-CN"/>
        </w:rPr>
        <w:br w:type="page"/>
      </w:r>
      <w:r>
        <w:rPr>
          <w:sz w:val="28"/>
        </w:rPr>
        <mc:AlternateContent>
          <mc:Choice Requires="wps">
            <w:drawing>
              <wp:anchor distT="0" distB="0" distL="114300" distR="114300" simplePos="0" relativeHeight="251735040" behindDoc="0" locked="0" layoutInCell="1" allowOverlap="1">
                <wp:simplePos x="0" y="0"/>
                <wp:positionH relativeFrom="column">
                  <wp:posOffset>-269875</wp:posOffset>
                </wp:positionH>
                <wp:positionV relativeFrom="paragraph">
                  <wp:posOffset>6690360</wp:posOffset>
                </wp:positionV>
                <wp:extent cx="1227455" cy="751205"/>
                <wp:effectExtent l="0" t="0" r="10795" b="10795"/>
                <wp:wrapNone/>
                <wp:docPr id="82" name="文本框 82"/>
                <wp:cNvGraphicFramePr/>
                <a:graphic xmlns:a="http://schemas.openxmlformats.org/drawingml/2006/main">
                  <a:graphicData uri="http://schemas.microsoft.com/office/word/2010/wordprocessingShape">
                    <wps:wsp>
                      <wps:cNvSpPr txBox="1"/>
                      <wps:spPr>
                        <a:xfrm>
                          <a:off x="0" y="0"/>
                          <a:ext cx="1227455" cy="751205"/>
                        </a:xfrm>
                        <a:prstGeom prst="rect">
                          <a:avLst/>
                        </a:prstGeom>
                        <a:solidFill>
                          <a:srgbClr val="FFFFFF"/>
                        </a:solidFill>
                        <a:ln>
                          <a:noFill/>
                        </a:ln>
                      </wps:spPr>
                      <wps:txbx>
                        <w:txbxContent>
                          <w:p/>
                        </w:txbxContent>
                      </wps:txbx>
                      <wps:bodyPr upright="1"/>
                    </wps:wsp>
                  </a:graphicData>
                </a:graphic>
              </wp:anchor>
            </w:drawing>
          </mc:Choice>
          <mc:Fallback>
            <w:pict>
              <v:shape id="_x0000_s1026" o:spid="_x0000_s1026" o:spt="202" type="#_x0000_t202" style="position:absolute;left:0pt;margin-left:-21.25pt;margin-top:526.8pt;height:59.15pt;width:96.65pt;z-index:251735040;mso-width-relative:page;mso-height-relative:page;" fillcolor="#FFFFFF" filled="t" stroked="f" coordsize="21600,21600" o:gfxdata="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c9R5p2gAAAA0BAAAPAAAAAAAAAAEAIAAAACIAAABkcnMvZG93bnJl&#10;di54bWxQSwECFAAUAAAACACHTuJAspcNHMIBAAB5AwAADgAAAAAAAAABACAAAAApAQAAZHJzL2Uy&#10;b0RvYy54bWxQSwUGAAAAAAYABgBZAQAAXQUAAAAA&#10;">
                <v:fill on="t" focussize="0,0"/>
                <v:stroke on="f"/>
                <v:imagedata o:title=""/>
                <o:lock v:ext="edit" aspectratio="f"/>
                <v:textbox>
                  <w:txbxContent>
                    <w:p/>
                  </w:txbxContent>
                </v:textbox>
              </v:shape>
            </w:pict>
          </mc:Fallback>
        </mc:AlternateContent>
      </w:r>
      <w:r>
        <w:rPr>
          <w:sz w:val="28"/>
        </w:rPr>
        <mc:AlternateContent>
          <mc:Choice Requires="wps">
            <w:drawing>
              <wp:anchor distT="0" distB="0" distL="114300" distR="114300" simplePos="0" relativeHeight="251713536" behindDoc="0" locked="0" layoutInCell="1" allowOverlap="1">
                <wp:simplePos x="0" y="0"/>
                <wp:positionH relativeFrom="column">
                  <wp:posOffset>4189095</wp:posOffset>
                </wp:positionH>
                <wp:positionV relativeFrom="paragraph">
                  <wp:posOffset>8618855</wp:posOffset>
                </wp:positionV>
                <wp:extent cx="1651000" cy="666750"/>
                <wp:effectExtent l="0" t="0" r="6350" b="0"/>
                <wp:wrapNone/>
                <wp:docPr id="89" name="文本框 89"/>
                <wp:cNvGraphicFramePr/>
                <a:graphic xmlns:a="http://schemas.openxmlformats.org/drawingml/2006/main">
                  <a:graphicData uri="http://schemas.microsoft.com/office/word/2010/wordprocessingShape">
                    <wps:wsp>
                      <wps:cNvSpPr txBox="1"/>
                      <wps:spPr>
                        <a:xfrm>
                          <a:off x="0" y="0"/>
                          <a:ext cx="1651000" cy="666750"/>
                        </a:xfrm>
                        <a:prstGeom prst="rect">
                          <a:avLst/>
                        </a:prstGeom>
                        <a:solidFill>
                          <a:srgbClr val="FFFFFF"/>
                        </a:solidFill>
                        <a:ln>
                          <a:noFill/>
                        </a:ln>
                      </wps:spPr>
                      <wps:txbx>
                        <w:txbxContent>
                          <w:p/>
                        </w:txbxContent>
                      </wps:txbx>
                      <wps:bodyPr upright="1"/>
                    </wps:wsp>
                  </a:graphicData>
                </a:graphic>
              </wp:anchor>
            </w:drawing>
          </mc:Choice>
          <mc:Fallback>
            <w:pict>
              <v:shape id="_x0000_s1026" o:spid="_x0000_s1026" o:spt="202" type="#_x0000_t202" style="position:absolute;left:0pt;margin-left:329.85pt;margin-top:678.65pt;height:52.5pt;width:130pt;z-index:251713536;mso-width-relative:page;mso-height-relative:page;" fillcolor="#FFFFFF" filled="t" stroked="f" coordsize="21600,21600" o:gfxdata="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lpFpY2QAAAA0BAAAPAAAAAAAAAAEAIAAAACIAAABkcnMvZG93bnJl&#10;di54bWxQSwECFAAUAAAACACHTuJAs5zkesMBAAB5AwAADgAAAAAAAAABACAAAAAoAQAAZHJzL2Uy&#10;b0RvYy54bWxQSwUGAAAAAAYABgBZAQAAXQUAAAAA&#10;">
                <v:fill on="t" focussize="0,0"/>
                <v:stroke on="f"/>
                <v:imagedata o:title=""/>
                <o:lock v:ext="edit" aspectratio="f"/>
                <v:textbox>
                  <w:txbxContent>
                    <w:p/>
                  </w:txbxContent>
                </v:textbox>
              </v:shape>
            </w:pict>
          </mc:Fallback>
        </mc:AlternateContent>
      </w:r>
      <w:r>
        <w:rPr>
          <w:rFonts w:ascii="仿宋_GB2312" w:hAnsi="仿宋" w:eastAsia="仿宋_GB2312" w:cs="宋体"/>
          <w:color w:val="000000"/>
          <w:sz w:val="28"/>
          <w:szCs w:val="28"/>
        </w:rPr>
        <mc:AlternateContent>
          <mc:Choice Requires="wps">
            <w:drawing>
              <wp:anchor distT="0" distB="0" distL="114300" distR="114300" simplePos="0" relativeHeight="251715584" behindDoc="0" locked="0" layoutInCell="1" allowOverlap="1">
                <wp:simplePos x="0" y="0"/>
                <wp:positionH relativeFrom="column">
                  <wp:posOffset>-252730</wp:posOffset>
                </wp:positionH>
                <wp:positionV relativeFrom="paragraph">
                  <wp:posOffset>8397240</wp:posOffset>
                </wp:positionV>
                <wp:extent cx="1333500" cy="579120"/>
                <wp:effectExtent l="4445" t="4445" r="14605" b="6985"/>
                <wp:wrapNone/>
                <wp:docPr id="84" name="文本框 84"/>
                <wp:cNvGraphicFramePr/>
                <a:graphic xmlns:a="http://schemas.openxmlformats.org/drawingml/2006/main">
                  <a:graphicData uri="http://schemas.microsoft.com/office/word/2010/wordprocessingShape">
                    <wps:wsp>
                      <wps:cNvSpPr txBox="1"/>
                      <wps:spPr>
                        <a:xfrm>
                          <a:off x="0" y="0"/>
                          <a:ext cx="1333500" cy="579120"/>
                        </a:xfrm>
                        <a:prstGeom prst="rect">
                          <a:avLst/>
                        </a:prstGeom>
                        <a:solidFill>
                          <a:srgbClr val="FFFFFF"/>
                        </a:solidFill>
                        <a:ln w="9525" cap="flat" cmpd="sng">
                          <a:solidFill>
                            <a:srgbClr val="FFFFFF"/>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202" type="#_x0000_t202" style="position:absolute;left:0pt;margin-left:-19.9pt;margin-top:661.2pt;height:45.6pt;width:105pt;z-index:251715584;mso-width-relative:page;mso-height-relative:page;" fillcolor="#FFFFFF" filled="t" stroked="t" coordsize="21600,21600" o:gfxdata="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7X6kXaAAAADQEAAA8AAAAAAAAAAQAgAAAA&#10;IgAAAGRycy9kb3ducmV2LnhtbFBLAQIUABQAAAAIAIdO4kCQuWXUCQIAADgEAAAOAAAAAAAAAAEA&#10;IAAAACkBAABkcnMvZTJvRG9jLnhtbFBLBQYAAAAABgAGAFkBAACkBQAAAAA=&#10;">
                <v:fill on="t" focussize="0,0"/>
                <v:stroke color="#FFFFFF" joinstyle="miter"/>
                <v:imagedata o:title=""/>
                <o:lock v:ext="edit" aspectratio="f"/>
                <v:textbox>
                  <w:txbxContent>
                    <w:p/>
                  </w:txbxContent>
                </v:textbox>
              </v:shape>
            </w:pict>
          </mc:Fallback>
        </mc:AlternateContent>
      </w:r>
      <w:r>
        <w:rPr>
          <w:rFonts w:ascii="仿宋_GB2312" w:hAnsi="仿宋" w:eastAsia="仿宋_GB2312" w:cs="宋体"/>
          <w:color w:val="000000"/>
          <w:sz w:val="28"/>
          <w:szCs w:val="28"/>
          <w:lang w:val="zh-CN"/>
        </w:rPr>
        <w:br w:type="page"/>
      </w:r>
    </w:p>
    <w:p>
      <w:pPr>
        <w:keepNext w:val="0"/>
        <w:keepLines w:val="0"/>
        <w:pageBreakBefore w:val="0"/>
        <w:widowControl w:val="0"/>
        <w:wordWrap/>
        <w:bidi w:val="0"/>
        <w:spacing w:before="227" w:beforeLines="50" w:after="227" w:afterLines="50" w:line="500" w:lineRule="exact"/>
        <w:ind w:right="428"/>
        <w:jc w:val="center"/>
        <w:rPr>
          <w:rFonts w:hint="eastAsia" w:ascii="方正小标宋简体" w:hAnsi="方正小标宋简体" w:eastAsia="方正小标宋简体" w:cs="方正小标宋简体"/>
          <w:bCs/>
          <w:color w:val="000000"/>
          <w:spacing w:val="6"/>
          <w:sz w:val="40"/>
          <w:szCs w:val="40"/>
        </w:rPr>
      </w:pPr>
    </w:p>
    <w:p>
      <w:pPr>
        <w:keepNext w:val="0"/>
        <w:keepLines w:val="0"/>
        <w:pageBreakBefore w:val="0"/>
        <w:widowControl w:val="0"/>
        <w:wordWrap/>
        <w:bidi w:val="0"/>
        <w:spacing w:before="227" w:beforeLines="50" w:after="227" w:afterLines="50" w:line="500" w:lineRule="exact"/>
        <w:ind w:right="428"/>
        <w:jc w:val="center"/>
        <w:rPr>
          <w:rFonts w:hint="eastAsia" w:ascii="方正小标宋简体" w:hAnsi="方正小标宋简体" w:eastAsia="方正小标宋简体" w:cs="方正小标宋简体"/>
          <w:bCs/>
          <w:color w:val="000000"/>
          <w:spacing w:val="6"/>
          <w:sz w:val="40"/>
          <w:szCs w:val="40"/>
        </w:rPr>
      </w:pPr>
    </w:p>
    <w:p>
      <w:pPr>
        <w:keepNext w:val="0"/>
        <w:keepLines w:val="0"/>
        <w:pageBreakBefore w:val="0"/>
        <w:widowControl w:val="0"/>
        <w:wordWrap/>
        <w:bidi w:val="0"/>
        <w:spacing w:before="227" w:beforeLines="50" w:after="227" w:afterLines="50" w:line="240" w:lineRule="auto"/>
        <w:ind w:right="428"/>
        <w:jc w:val="center"/>
        <w:rPr>
          <w:rFonts w:hint="eastAsia" w:ascii="方正小标宋简体" w:hAnsi="方正小标宋简体" w:eastAsia="方正小标宋简体" w:cs="方正小标宋简体"/>
          <w:bCs/>
          <w:color w:val="000000"/>
          <w:spacing w:val="6"/>
          <w:sz w:val="40"/>
          <w:szCs w:val="40"/>
        </w:rPr>
      </w:pPr>
    </w:p>
    <w:p>
      <w:pPr>
        <w:keepNext w:val="0"/>
        <w:keepLines w:val="0"/>
        <w:pageBreakBefore w:val="0"/>
        <w:widowControl w:val="0"/>
        <w:wordWrap/>
        <w:bidi w:val="0"/>
        <w:spacing w:after="0" w:line="240" w:lineRule="auto"/>
        <w:jc w:val="center"/>
        <w:rPr>
          <w:rFonts w:hint="eastAsia" w:ascii="方正小标宋简体" w:hAnsi="方正小标宋简体" w:eastAsia="方正小标宋简体" w:cs="方正小标宋简体"/>
          <w:bCs/>
          <w:color w:val="000000"/>
          <w:spacing w:val="6"/>
          <w:sz w:val="48"/>
          <w:szCs w:val="48"/>
        </w:rPr>
      </w:pPr>
      <w:r>
        <w:rPr>
          <w:rFonts w:hint="eastAsia" w:ascii="方正小标宋简体" w:hAnsi="方正小标宋简体" w:eastAsia="方正小标宋简体" w:cs="方正小标宋简体"/>
          <w:bCs/>
          <w:color w:val="000000"/>
          <w:spacing w:val="6"/>
          <w:sz w:val="48"/>
          <w:szCs w:val="48"/>
        </w:rPr>
        <w:t>律师</w:t>
      </w:r>
      <w:r>
        <w:rPr>
          <w:rFonts w:hint="eastAsia" w:ascii="方正小标宋简体" w:hAnsi="方正小标宋简体" w:eastAsia="方正小标宋简体" w:cs="方正小标宋简体"/>
          <w:bCs/>
          <w:color w:val="000000"/>
          <w:spacing w:val="6"/>
          <w:sz w:val="48"/>
          <w:szCs w:val="48"/>
          <w:lang w:val="en-US" w:eastAsia="zh-CN"/>
        </w:rPr>
        <w:t>办理</w:t>
      </w:r>
      <w:r>
        <w:rPr>
          <w:rFonts w:hint="eastAsia" w:ascii="方正小标宋简体" w:hAnsi="方正小标宋简体" w:eastAsia="方正小标宋简体" w:cs="方正小标宋简体"/>
          <w:bCs/>
          <w:color w:val="000000"/>
          <w:spacing w:val="6"/>
          <w:sz w:val="48"/>
          <w:szCs w:val="48"/>
        </w:rPr>
        <w:t>专利侵权案件诉讼</w:t>
      </w:r>
    </w:p>
    <w:p>
      <w:pPr>
        <w:keepNext w:val="0"/>
        <w:keepLines w:val="0"/>
        <w:pageBreakBefore w:val="0"/>
        <w:widowControl w:val="0"/>
        <w:wordWrap/>
        <w:bidi w:val="0"/>
        <w:spacing w:after="0" w:line="240" w:lineRule="auto"/>
        <w:jc w:val="center"/>
        <w:rPr>
          <w:rFonts w:hint="eastAsia" w:ascii="方正小标宋简体" w:hAnsi="方正小标宋简体" w:eastAsia="方正小标宋简体" w:cs="方正小标宋简体"/>
          <w:bCs/>
          <w:color w:val="000000"/>
          <w:spacing w:val="6"/>
          <w:sz w:val="48"/>
          <w:szCs w:val="48"/>
        </w:rPr>
      </w:pPr>
      <w:r>
        <w:rPr>
          <w:rFonts w:hint="eastAsia" w:ascii="方正小标宋简体" w:hAnsi="方正小标宋简体" w:eastAsia="方正小标宋简体" w:cs="方正小标宋简体"/>
          <w:bCs/>
          <w:color w:val="000000"/>
          <w:spacing w:val="6"/>
          <w:sz w:val="48"/>
          <w:szCs w:val="48"/>
        </w:rPr>
        <w:t>业务操作指引</w:t>
      </w:r>
    </w:p>
    <w:p>
      <w:pPr>
        <w:keepNext w:val="0"/>
        <w:keepLines w:val="0"/>
        <w:pageBreakBefore w:val="0"/>
        <w:widowControl w:val="0"/>
        <w:wordWrap/>
        <w:bidi w:val="0"/>
        <w:spacing w:after="0" w:line="500" w:lineRule="exact"/>
        <w:jc w:val="center"/>
        <w:rPr>
          <w:rFonts w:ascii="方正小标宋简体" w:hAnsi="方正小标宋简体" w:eastAsia="方正小标宋简体" w:cs="方正小标宋简体"/>
          <w:bCs/>
          <w:color w:val="000000"/>
          <w:spacing w:val="6"/>
          <w:sz w:val="48"/>
          <w:szCs w:val="48"/>
        </w:rPr>
      </w:pPr>
      <w:r>
        <w:rPr>
          <w:rFonts w:hint="eastAsia" w:ascii="方正小标宋简体" w:hAnsi="方正小标宋简体" w:eastAsia="方正小标宋简体" w:cs="方正小标宋简体"/>
          <w:bCs/>
          <w:color w:val="000000"/>
          <w:spacing w:val="6"/>
          <w:sz w:val="48"/>
          <w:szCs w:val="48"/>
        </w:rPr>
        <w:br w:type="page"/>
      </w:r>
    </w:p>
    <w:p>
      <w:pPr>
        <w:pStyle w:val="7"/>
        <w:keepNext w:val="0"/>
        <w:keepLines w:val="0"/>
        <w:pageBreakBefore w:val="0"/>
        <w:widowControl w:val="0"/>
        <w:wordWrap/>
        <w:bidi w:val="0"/>
        <w:spacing w:beforeLines="0" w:after="0" w:afterLines="0" w:line="500" w:lineRule="exact"/>
        <w:ind w:firstLine="0" w:firstLineChars="0"/>
        <w:jc w:val="center"/>
        <w:rPr>
          <w:rFonts w:ascii="仿宋_GB2312" w:eastAsia="仿宋_GB2312"/>
          <w:b/>
          <w:color w:val="000000"/>
          <w:sz w:val="48"/>
          <w:szCs w:val="48"/>
          <w:lang w:eastAsia="zh-CN"/>
        </w:rPr>
      </w:pPr>
    </w:p>
    <w:p>
      <w:pPr>
        <w:pStyle w:val="2"/>
        <w:keepNext w:val="0"/>
        <w:keepLines w:val="0"/>
        <w:pageBreakBefore w:val="0"/>
        <w:widowControl w:val="0"/>
        <w:wordWrap/>
        <w:bidi w:val="0"/>
        <w:spacing w:before="0" w:after="0" w:line="500" w:lineRule="exact"/>
        <w:jc w:val="center"/>
        <w:rPr>
          <w:rFonts w:hint="eastAsia" w:ascii="仿宋" w:hAnsi="仿宋" w:eastAsia="仿宋" w:cs="仿宋"/>
          <w:color w:val="000000"/>
          <w:sz w:val="28"/>
          <w:szCs w:val="28"/>
        </w:rPr>
      </w:pPr>
      <w:bookmarkStart w:id="170" w:name="_Toc19585"/>
      <w:r>
        <w:rPr>
          <w:sz w:val="28"/>
        </w:rPr>
        <mc:AlternateContent>
          <mc:Choice Requires="wps">
            <w:drawing>
              <wp:anchor distT="0" distB="0" distL="114300" distR="114300" simplePos="0" relativeHeight="251736064" behindDoc="0" locked="0" layoutInCell="1" allowOverlap="1">
                <wp:simplePos x="0" y="0"/>
                <wp:positionH relativeFrom="column">
                  <wp:posOffset>-269875</wp:posOffset>
                </wp:positionH>
                <wp:positionV relativeFrom="paragraph">
                  <wp:posOffset>6055360</wp:posOffset>
                </wp:positionV>
                <wp:extent cx="1227455" cy="751205"/>
                <wp:effectExtent l="0" t="0" r="10795" b="10795"/>
                <wp:wrapNone/>
                <wp:docPr id="73" name="文本框 73"/>
                <wp:cNvGraphicFramePr/>
                <a:graphic xmlns:a="http://schemas.openxmlformats.org/drawingml/2006/main">
                  <a:graphicData uri="http://schemas.microsoft.com/office/word/2010/wordprocessingShape">
                    <wps:wsp>
                      <wps:cNvSpPr txBox="1"/>
                      <wps:spPr>
                        <a:xfrm>
                          <a:off x="0" y="0"/>
                          <a:ext cx="1227455" cy="751205"/>
                        </a:xfrm>
                        <a:prstGeom prst="rect">
                          <a:avLst/>
                        </a:prstGeom>
                        <a:solidFill>
                          <a:srgbClr val="FFFFFF"/>
                        </a:solidFill>
                        <a:ln>
                          <a:noFill/>
                        </a:ln>
                      </wps:spPr>
                      <wps:txbx>
                        <w:txbxContent>
                          <w:p/>
                        </w:txbxContent>
                      </wps:txbx>
                      <wps:bodyPr upright="1"/>
                    </wps:wsp>
                  </a:graphicData>
                </a:graphic>
              </wp:anchor>
            </w:drawing>
          </mc:Choice>
          <mc:Fallback>
            <w:pict>
              <v:shape id="_x0000_s1026" o:spid="_x0000_s1026" o:spt="202" type="#_x0000_t202" style="position:absolute;left:0pt;margin-left:-21.25pt;margin-top:476.8pt;height:59.15pt;width:96.65pt;z-index:251736064;mso-width-relative:page;mso-height-relative:page;" fillcolor="#FFFFFF" filled="t" stroked="f" coordsize="21600,21600" o:gfxdata="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wO+UtkAAAAMAQAADwAAAAAAAAABACAAAAAiAAAAZHJzL2Rvd25yZXYu&#10;eG1sUEsBAhQAFAAAAAgAh07iQEw4TVbBAQAAeQMAAA4AAAAAAAAAAQAgAAAAKAEAAGRycy9lMm9E&#10;b2MueG1sUEsFBgAAAAAGAAYAWQEAAFsFAAAAAA==&#10;">
                <v:fill on="t" focussize="0,0"/>
                <v:stroke on="f"/>
                <v:imagedata o:title=""/>
                <o:lock v:ext="edit" aspectratio="f"/>
                <v:textbox>
                  <w:txbxContent>
                    <w:p/>
                  </w:txbxContent>
                </v:textbox>
              </v:shape>
            </w:pict>
          </mc:Fallback>
        </mc:AlternateContent>
      </w:r>
      <w:r>
        <w:rPr>
          <w:sz w:val="28"/>
        </w:rPr>
        <mc:AlternateContent>
          <mc:Choice Requires="wps">
            <w:drawing>
              <wp:anchor distT="0" distB="0" distL="114300" distR="114300" simplePos="0" relativeHeight="251718656" behindDoc="0" locked="0" layoutInCell="1" allowOverlap="1">
                <wp:simplePos x="0" y="0"/>
                <wp:positionH relativeFrom="column">
                  <wp:posOffset>4544060</wp:posOffset>
                </wp:positionH>
                <wp:positionV relativeFrom="paragraph">
                  <wp:posOffset>7729855</wp:posOffset>
                </wp:positionV>
                <wp:extent cx="1651000" cy="666750"/>
                <wp:effectExtent l="0" t="0" r="6350" b="0"/>
                <wp:wrapNone/>
                <wp:docPr id="74" name="文本框 74"/>
                <wp:cNvGraphicFramePr/>
                <a:graphic xmlns:a="http://schemas.openxmlformats.org/drawingml/2006/main">
                  <a:graphicData uri="http://schemas.microsoft.com/office/word/2010/wordprocessingShape">
                    <wps:wsp>
                      <wps:cNvSpPr txBox="1"/>
                      <wps:spPr>
                        <a:xfrm>
                          <a:off x="0" y="0"/>
                          <a:ext cx="1651000" cy="666750"/>
                        </a:xfrm>
                        <a:prstGeom prst="rect">
                          <a:avLst/>
                        </a:prstGeom>
                        <a:solidFill>
                          <a:srgbClr val="FFFFFF"/>
                        </a:solidFill>
                        <a:ln>
                          <a:noFill/>
                        </a:ln>
                      </wps:spPr>
                      <wps:txbx>
                        <w:txbxContent>
                          <w:p/>
                        </w:txbxContent>
                      </wps:txbx>
                      <wps:bodyPr upright="1"/>
                    </wps:wsp>
                  </a:graphicData>
                </a:graphic>
              </wp:anchor>
            </w:drawing>
          </mc:Choice>
          <mc:Fallback>
            <w:pict>
              <v:shape id="_x0000_s1026" o:spid="_x0000_s1026" o:spt="202" type="#_x0000_t202" style="position:absolute;left:0pt;margin-left:357.8pt;margin-top:608.65pt;height:52.5pt;width:130pt;z-index:251718656;mso-width-relative:page;mso-height-relative:page;" fillcolor="#FFFFFF" filled="t" stroked="f" coordsize="21600,21600" o:gfxdata="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a3YLg2QAAAA0BAAAPAAAAAAAAAAEAIAAAACIAAABkcnMvZG93bnJl&#10;di54bWxQSwECFAAUAAAACACHTuJAH89sIcMBAAB5AwAADgAAAAAAAAABACAAAAAoAQAAZHJzL2Uy&#10;b0RvYy54bWxQSwUGAAAAAAYABgBZAQAAXQUAAAAA&#10;">
                <v:fill on="t" focussize="0,0"/>
                <v:stroke on="f"/>
                <v:imagedata o:title=""/>
                <o:lock v:ext="edit" aspectratio="f"/>
                <v:textbox>
                  <w:txbxContent>
                    <w:p/>
                  </w:txbxContent>
                </v:textbox>
              </v:shape>
            </w:pict>
          </mc:Fallback>
        </mc:AlternateContent>
      </w:r>
      <w:r>
        <w:rPr>
          <w:sz w:val="28"/>
          <w:szCs w:val="44"/>
        </w:rPr>
        <mc:AlternateContent>
          <mc:Choice Requires="wps">
            <w:drawing>
              <wp:anchor distT="0" distB="0" distL="114300" distR="114300" simplePos="0" relativeHeight="251677696" behindDoc="0" locked="0" layoutInCell="1" allowOverlap="1">
                <wp:simplePos x="0" y="0"/>
                <wp:positionH relativeFrom="column">
                  <wp:posOffset>-436245</wp:posOffset>
                </wp:positionH>
                <wp:positionV relativeFrom="paragraph">
                  <wp:posOffset>7138670</wp:posOffset>
                </wp:positionV>
                <wp:extent cx="1631315" cy="773430"/>
                <wp:effectExtent l="4445" t="4445" r="21590" b="22225"/>
                <wp:wrapNone/>
                <wp:docPr id="66" name="矩形 66"/>
                <wp:cNvGraphicFramePr/>
                <a:graphic xmlns:a="http://schemas.openxmlformats.org/drawingml/2006/main">
                  <a:graphicData uri="http://schemas.microsoft.com/office/word/2010/wordprocessingShape">
                    <wps:wsp>
                      <wps:cNvSpPr/>
                      <wps:spPr>
                        <a:xfrm>
                          <a:off x="0" y="0"/>
                          <a:ext cx="1631315" cy="773430"/>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4.35pt;margin-top:562.1pt;height:60.9pt;width:128.45pt;z-index:251677696;mso-width-relative:page;mso-height-relative:page;" fillcolor="#FFFFFF" filled="t" stroked="t" coordsize="21600,21600" o:gfxdata="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luHOK2QAAAA0BAAAPAAAAAAAAAAEAIAAAACIAAABkcnMvZG93bnJldi54&#10;bWxQSwECFAAUAAAACACHTuJAnOpRjfkBAAAgBAAADgAAAAAAAAABACAAAAAoAQAAZHJzL2Uyb0Rv&#10;Yy54bWxQSwUGAAAAAAYABgBZAQAAkwUAAAAA&#10;">
                <v:fill on="t" focussize="0,0"/>
                <v:stroke color="#FFFFFF" joinstyle="miter"/>
                <v:imagedata o:title=""/>
                <o:lock v:ext="edit" aspectratio="f"/>
              </v:rect>
            </w:pict>
          </mc:Fallback>
        </mc:AlternateContent>
      </w:r>
      <w:r>
        <w:rPr>
          <w:rFonts w:hint="eastAsia" w:ascii="仿宋" w:hAnsi="仿宋" w:eastAsia="仿宋" w:cs="仿宋"/>
          <w:color w:val="000000"/>
          <w:sz w:val="28"/>
          <w:szCs w:val="28"/>
        </w:rPr>
        <w:br w:type="page"/>
      </w:r>
      <w:r>
        <w:rPr>
          <w:rFonts w:hint="eastAsia" w:ascii="方正小标宋简体" w:hAnsi="方正小标宋简体" w:eastAsia="方正小标宋简体" w:cs="方正小标宋简体"/>
          <w:b w:val="0"/>
          <w:bCs/>
          <w:color w:val="000000"/>
          <w:spacing w:val="6"/>
          <w:kern w:val="0"/>
          <w:sz w:val="44"/>
          <w:szCs w:val="40"/>
        </w:rPr>
        <w:t>目   录</w:t>
      </w:r>
      <w:bookmarkEnd w:id="170"/>
    </w:p>
    <w:p>
      <w:pPr>
        <w:keepNext w:val="0"/>
        <w:keepLines w:val="0"/>
        <w:pageBreakBefore w:val="0"/>
        <w:widowControl w:val="0"/>
        <w:wordWrap/>
        <w:bidi w:val="0"/>
        <w:spacing w:line="500" w:lineRule="exact"/>
        <w:rPr>
          <w:rFonts w:hint="eastAsia"/>
          <w:color w:val="000000"/>
          <w:sz w:val="20"/>
          <w:szCs w:val="21"/>
        </w:rPr>
      </w:pPr>
    </w:p>
    <w:p>
      <w:pPr>
        <w:keepNext w:val="0"/>
        <w:keepLines w:val="0"/>
        <w:pageBreakBefore w:val="0"/>
        <w:widowControl w:val="0"/>
        <w:kinsoku/>
        <w:wordWrap/>
        <w:overflowPunct/>
        <w:topLinePunct w:val="0"/>
        <w:bidi w:val="0"/>
        <w:adjustRightInd/>
        <w:snapToGrid/>
        <w:spacing w:beforeAutospacing="0" w:afterAutospacing="0" w:line="500" w:lineRule="exact"/>
        <w:ind w:firstLine="522" w:firstLineChars="200"/>
        <w:jc w:val="both"/>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第一章  专利权及专利权稳定性判断</w:t>
      </w:r>
    </w:p>
    <w:p>
      <w:pPr>
        <w:pStyle w:val="2"/>
        <w:keepNext w:val="0"/>
        <w:keepLines w:val="0"/>
        <w:pageBreakBefore w:val="0"/>
        <w:widowControl w:val="0"/>
        <w:tabs>
          <w:tab w:val="left" w:pos="3422"/>
        </w:tabs>
        <w:kinsoku/>
        <w:wordWrap/>
        <w:overflowPunct/>
        <w:topLinePunct w:val="0"/>
        <w:bidi w:val="0"/>
        <w:adjustRightInd/>
        <w:snapToGrid/>
        <w:spacing w:beforeAutospacing="0" w:afterAutospacing="0" w:line="500" w:lineRule="exact"/>
        <w:ind w:firstLine="522" w:firstLineChars="200"/>
        <w:textAlignment w:val="auto"/>
        <w:rPr>
          <w:rFonts w:hint="eastAsia" w:ascii="仿宋_GB2312" w:hAnsi="仿宋_GB2312" w:eastAsia="仿宋_GB2312" w:cs="仿宋_GB2312"/>
          <w:b w:val="0"/>
          <w:color w:val="000000"/>
          <w:sz w:val="28"/>
          <w:szCs w:val="28"/>
        </w:rPr>
      </w:pPr>
      <w:bookmarkStart w:id="171" w:name="_Toc21577"/>
      <w:r>
        <w:rPr>
          <w:rFonts w:hint="eastAsia" w:ascii="仿宋_GB2312" w:hAnsi="仿宋_GB2312" w:eastAsia="仿宋_GB2312" w:cs="仿宋_GB2312"/>
          <w:b w:val="0"/>
          <w:color w:val="000000"/>
          <w:sz w:val="28"/>
          <w:szCs w:val="28"/>
        </w:rPr>
        <w:t>一、专利权的概念</w:t>
      </w:r>
      <w:bookmarkEnd w:id="171"/>
    </w:p>
    <w:p>
      <w:pPr>
        <w:keepNext w:val="0"/>
        <w:keepLines w:val="0"/>
        <w:pageBreakBefore w:val="0"/>
        <w:widowControl w:val="0"/>
        <w:kinsoku/>
        <w:wordWrap/>
        <w:overflowPunct/>
        <w:topLinePunct w:val="0"/>
        <w:bidi w:val="0"/>
        <w:adjustRightInd/>
        <w:snapToGrid/>
        <w:spacing w:beforeAutospacing="0" w:afterAutospacing="0" w:line="500" w:lineRule="exact"/>
        <w:ind w:firstLine="522" w:firstLineChars="200"/>
        <w:jc w:val="both"/>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二、专利分类</w:t>
      </w:r>
    </w:p>
    <w:p>
      <w:pPr>
        <w:pStyle w:val="2"/>
        <w:keepNext w:val="0"/>
        <w:keepLines w:val="0"/>
        <w:pageBreakBefore w:val="0"/>
        <w:widowControl w:val="0"/>
        <w:kinsoku/>
        <w:wordWrap/>
        <w:overflowPunct/>
        <w:topLinePunct w:val="0"/>
        <w:bidi w:val="0"/>
        <w:adjustRightInd/>
        <w:snapToGrid/>
        <w:spacing w:beforeAutospacing="0" w:afterAutospacing="0" w:line="500" w:lineRule="exact"/>
        <w:ind w:firstLine="522" w:firstLineChars="200"/>
        <w:textAlignment w:val="auto"/>
        <w:rPr>
          <w:rFonts w:hint="eastAsia" w:ascii="仿宋_GB2312" w:hAnsi="仿宋_GB2312" w:eastAsia="仿宋_GB2312" w:cs="仿宋_GB2312"/>
          <w:b w:val="0"/>
          <w:color w:val="000000"/>
          <w:sz w:val="28"/>
          <w:szCs w:val="28"/>
        </w:rPr>
      </w:pPr>
      <w:bookmarkStart w:id="172" w:name="_Toc31398"/>
      <w:r>
        <w:rPr>
          <w:rFonts w:hint="eastAsia" w:ascii="仿宋_GB2312" w:hAnsi="仿宋_GB2312" w:eastAsia="仿宋_GB2312" w:cs="仿宋_GB2312"/>
          <w:b w:val="0"/>
          <w:color w:val="000000"/>
          <w:sz w:val="28"/>
          <w:szCs w:val="28"/>
        </w:rPr>
        <w:t>三、专利侵权的概念</w:t>
      </w:r>
      <w:bookmarkEnd w:id="172"/>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590"/>
        <w:jc w:val="both"/>
        <w:textAlignment w:val="auto"/>
        <w:rPr>
          <w:rFonts w:hint="eastAsia" w:ascii="仿宋_GB2312" w:hAnsi="仿宋_GB2312" w:eastAsia="仿宋_GB2312" w:cs="仿宋_GB2312"/>
          <w:color w:val="000000"/>
          <w:spacing w:val="-3"/>
          <w:sz w:val="28"/>
          <w:szCs w:val="28"/>
          <w:lang w:eastAsia="zh-CN"/>
        </w:rPr>
      </w:pPr>
      <w:r>
        <w:rPr>
          <w:rFonts w:hint="eastAsia" w:ascii="仿宋_GB2312" w:hAnsi="仿宋_GB2312" w:eastAsia="仿宋_GB2312" w:cs="仿宋_GB2312"/>
          <w:color w:val="000000"/>
          <w:spacing w:val="-3"/>
          <w:sz w:val="28"/>
          <w:szCs w:val="28"/>
          <w:lang w:eastAsia="zh-CN"/>
        </w:rPr>
        <w:t>四、专利权稳定性判断</w:t>
      </w:r>
    </w:p>
    <w:p>
      <w:pPr>
        <w:keepNext w:val="0"/>
        <w:keepLines w:val="0"/>
        <w:pageBreakBefore w:val="0"/>
        <w:widowControl w:val="0"/>
        <w:kinsoku/>
        <w:wordWrap/>
        <w:overflowPunct/>
        <w:topLinePunct w:val="0"/>
        <w:bidi w:val="0"/>
        <w:adjustRightInd/>
        <w:snapToGrid/>
        <w:spacing w:beforeAutospacing="0" w:afterAutospacing="0" w:line="500" w:lineRule="exact"/>
        <w:ind w:firstLine="522" w:firstLineChars="200"/>
        <w:jc w:val="both"/>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第二章  专利侵权的类型及侵权判断</w:t>
      </w:r>
    </w:p>
    <w:p>
      <w:pPr>
        <w:keepNext w:val="0"/>
        <w:keepLines w:val="0"/>
        <w:pageBreakBefore w:val="0"/>
        <w:widowControl w:val="0"/>
        <w:kinsoku/>
        <w:wordWrap/>
        <w:overflowPunct/>
        <w:topLinePunct w:val="0"/>
        <w:autoSpaceDE w:val="0"/>
        <w:autoSpaceDN w:val="0"/>
        <w:bidi w:val="0"/>
        <w:adjustRightInd/>
        <w:snapToGrid/>
        <w:spacing w:beforeAutospacing="0" w:afterAutospacing="0" w:line="500" w:lineRule="exact"/>
        <w:ind w:firstLine="522" w:firstLineChars="200"/>
        <w:jc w:val="both"/>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一、专利侵权的类型</w:t>
      </w:r>
    </w:p>
    <w:p>
      <w:pPr>
        <w:pStyle w:val="2"/>
        <w:keepNext w:val="0"/>
        <w:keepLines w:val="0"/>
        <w:pageBreakBefore w:val="0"/>
        <w:widowControl w:val="0"/>
        <w:kinsoku/>
        <w:wordWrap/>
        <w:overflowPunct/>
        <w:topLinePunct w:val="0"/>
        <w:bidi w:val="0"/>
        <w:adjustRightInd/>
        <w:snapToGrid/>
        <w:spacing w:beforeAutospacing="0" w:afterAutospacing="0" w:line="500" w:lineRule="exact"/>
        <w:ind w:firstLine="522" w:firstLineChars="200"/>
        <w:textAlignment w:val="auto"/>
        <w:rPr>
          <w:rFonts w:hint="eastAsia" w:ascii="仿宋_GB2312" w:hAnsi="仿宋_GB2312" w:eastAsia="仿宋_GB2312" w:cs="仿宋_GB2312"/>
          <w:b w:val="0"/>
          <w:color w:val="000000"/>
          <w:sz w:val="28"/>
          <w:szCs w:val="28"/>
        </w:rPr>
      </w:pPr>
      <w:bookmarkStart w:id="173" w:name="_Toc8482"/>
      <w:r>
        <w:rPr>
          <w:rFonts w:hint="eastAsia" w:ascii="仿宋_GB2312" w:hAnsi="仿宋_GB2312" w:eastAsia="仿宋_GB2312" w:cs="仿宋_GB2312"/>
          <w:b w:val="0"/>
          <w:color w:val="000000"/>
          <w:sz w:val="28"/>
          <w:szCs w:val="28"/>
        </w:rPr>
        <w:t>二、专利侵权的判定</w:t>
      </w:r>
      <w:bookmarkEnd w:id="173"/>
    </w:p>
    <w:p>
      <w:pPr>
        <w:keepNext w:val="0"/>
        <w:keepLines w:val="0"/>
        <w:pageBreakBefore w:val="0"/>
        <w:widowControl w:val="0"/>
        <w:kinsoku/>
        <w:wordWrap/>
        <w:overflowPunct/>
        <w:topLinePunct w:val="0"/>
        <w:bidi w:val="0"/>
        <w:adjustRightInd/>
        <w:snapToGrid/>
        <w:spacing w:beforeAutospacing="0" w:afterAutospacing="0" w:line="500" w:lineRule="exact"/>
        <w:ind w:firstLine="522" w:firstLineChars="200"/>
        <w:jc w:val="both"/>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第三章  专利侵权案件常用取证方式及取证内容</w:t>
      </w:r>
    </w:p>
    <w:p>
      <w:pPr>
        <w:pStyle w:val="2"/>
        <w:keepNext w:val="0"/>
        <w:keepLines w:val="0"/>
        <w:pageBreakBefore w:val="0"/>
        <w:widowControl w:val="0"/>
        <w:tabs>
          <w:tab w:val="left" w:pos="3148"/>
        </w:tabs>
        <w:kinsoku/>
        <w:wordWrap/>
        <w:overflowPunct/>
        <w:topLinePunct w:val="0"/>
        <w:bidi w:val="0"/>
        <w:adjustRightInd/>
        <w:snapToGrid/>
        <w:spacing w:beforeAutospacing="0" w:afterAutospacing="0" w:line="500" w:lineRule="exact"/>
        <w:ind w:firstLine="522" w:firstLineChars="200"/>
        <w:textAlignment w:val="auto"/>
        <w:rPr>
          <w:rFonts w:hint="eastAsia" w:ascii="仿宋_GB2312" w:hAnsi="仿宋_GB2312" w:eastAsia="仿宋_GB2312" w:cs="仿宋_GB2312"/>
          <w:b w:val="0"/>
          <w:color w:val="000000"/>
          <w:sz w:val="28"/>
          <w:szCs w:val="28"/>
        </w:rPr>
      </w:pPr>
      <w:bookmarkStart w:id="174" w:name="_Toc10474"/>
      <w:r>
        <w:rPr>
          <w:rFonts w:hint="eastAsia" w:ascii="仿宋_GB2312" w:hAnsi="仿宋_GB2312" w:eastAsia="仿宋_GB2312" w:cs="仿宋_GB2312"/>
          <w:b w:val="0"/>
          <w:color w:val="000000"/>
          <w:sz w:val="28"/>
          <w:szCs w:val="28"/>
        </w:rPr>
        <w:t>一、专利侵权案件常用取证方式</w:t>
      </w:r>
      <w:bookmarkEnd w:id="174"/>
    </w:p>
    <w:p>
      <w:pPr>
        <w:pStyle w:val="2"/>
        <w:keepNext w:val="0"/>
        <w:keepLines w:val="0"/>
        <w:pageBreakBefore w:val="0"/>
        <w:widowControl w:val="0"/>
        <w:kinsoku/>
        <w:wordWrap/>
        <w:overflowPunct/>
        <w:topLinePunct w:val="0"/>
        <w:bidi w:val="0"/>
        <w:adjustRightInd/>
        <w:snapToGrid/>
        <w:spacing w:beforeAutospacing="0" w:afterAutospacing="0" w:line="500" w:lineRule="exact"/>
        <w:ind w:firstLine="522" w:firstLineChars="200"/>
        <w:textAlignment w:val="auto"/>
        <w:rPr>
          <w:rFonts w:hint="eastAsia" w:ascii="仿宋_GB2312" w:hAnsi="仿宋_GB2312" w:eastAsia="仿宋_GB2312" w:cs="仿宋_GB2312"/>
          <w:b w:val="0"/>
          <w:color w:val="000000"/>
          <w:sz w:val="28"/>
          <w:szCs w:val="28"/>
        </w:rPr>
      </w:pPr>
      <w:bookmarkStart w:id="175" w:name="_Toc2061"/>
      <w:r>
        <w:rPr>
          <w:rFonts w:hint="eastAsia" w:ascii="仿宋_GB2312" w:hAnsi="仿宋_GB2312" w:eastAsia="仿宋_GB2312" w:cs="仿宋_GB2312"/>
          <w:b w:val="0"/>
          <w:color w:val="000000"/>
          <w:sz w:val="28"/>
          <w:szCs w:val="28"/>
        </w:rPr>
        <w:t>二、取证内容</w:t>
      </w:r>
      <w:bookmarkEnd w:id="175"/>
    </w:p>
    <w:p>
      <w:pPr>
        <w:keepNext w:val="0"/>
        <w:keepLines w:val="0"/>
        <w:pageBreakBefore w:val="0"/>
        <w:widowControl w:val="0"/>
        <w:kinsoku/>
        <w:wordWrap/>
        <w:overflowPunct/>
        <w:topLinePunct w:val="0"/>
        <w:bidi w:val="0"/>
        <w:adjustRightInd/>
        <w:snapToGrid/>
        <w:spacing w:beforeAutospacing="0" w:afterAutospacing="0" w:line="500" w:lineRule="exact"/>
        <w:ind w:firstLine="522" w:firstLineChars="200"/>
        <w:jc w:val="both"/>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第四章  专利侵权的诉讼请求</w:t>
      </w:r>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554"/>
        <w:jc w:val="both"/>
        <w:textAlignment w:val="auto"/>
        <w:rPr>
          <w:rFonts w:hint="eastAsia" w:ascii="仿宋_GB2312" w:hAnsi="仿宋_GB2312" w:eastAsia="仿宋_GB2312" w:cs="仿宋_GB2312"/>
          <w:color w:val="000000"/>
          <w:spacing w:val="-12"/>
          <w:sz w:val="28"/>
          <w:szCs w:val="28"/>
        </w:rPr>
      </w:pPr>
      <w:r>
        <w:rPr>
          <w:rFonts w:hint="eastAsia" w:ascii="仿宋_GB2312" w:hAnsi="仿宋_GB2312" w:eastAsia="仿宋_GB2312" w:cs="仿宋_GB2312"/>
          <w:color w:val="000000"/>
          <w:spacing w:val="-12"/>
          <w:sz w:val="28"/>
          <w:szCs w:val="28"/>
          <w:lang w:eastAsia="zh-CN"/>
        </w:rPr>
        <w:t>一、</w:t>
      </w:r>
      <w:r>
        <w:rPr>
          <w:rFonts w:hint="eastAsia" w:ascii="仿宋_GB2312" w:hAnsi="仿宋_GB2312" w:eastAsia="仿宋_GB2312" w:cs="仿宋_GB2312"/>
          <w:color w:val="000000"/>
          <w:spacing w:val="-12"/>
          <w:sz w:val="28"/>
          <w:szCs w:val="28"/>
        </w:rPr>
        <w:t>停止侵害</w:t>
      </w:r>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590"/>
        <w:jc w:val="both"/>
        <w:textAlignment w:val="auto"/>
        <w:rPr>
          <w:rFonts w:hint="eastAsia" w:ascii="仿宋_GB2312" w:hAnsi="仿宋_GB2312" w:eastAsia="仿宋_GB2312" w:cs="仿宋_GB2312"/>
          <w:color w:val="000000"/>
          <w:spacing w:val="-3"/>
          <w:sz w:val="28"/>
          <w:szCs w:val="28"/>
          <w:lang w:eastAsia="zh-CN"/>
        </w:rPr>
      </w:pPr>
      <w:r>
        <w:rPr>
          <w:rFonts w:hint="eastAsia" w:ascii="仿宋_GB2312" w:hAnsi="仿宋_GB2312" w:eastAsia="仿宋_GB2312" w:cs="仿宋_GB2312"/>
          <w:color w:val="000000"/>
          <w:spacing w:val="-3"/>
          <w:sz w:val="28"/>
          <w:szCs w:val="28"/>
          <w:lang w:eastAsia="zh-CN"/>
        </w:rPr>
        <w:t>二、赔偿损失</w:t>
      </w:r>
    </w:p>
    <w:p>
      <w:pPr>
        <w:keepNext w:val="0"/>
        <w:keepLines w:val="0"/>
        <w:pageBreakBefore w:val="0"/>
        <w:widowControl w:val="0"/>
        <w:kinsoku/>
        <w:wordWrap/>
        <w:overflowPunct/>
        <w:topLinePunct w:val="0"/>
        <w:bidi w:val="0"/>
        <w:adjustRightInd/>
        <w:snapToGrid/>
        <w:spacing w:beforeAutospacing="0" w:afterAutospacing="0" w:line="500" w:lineRule="exact"/>
        <w:ind w:firstLine="522" w:firstLineChars="200"/>
        <w:jc w:val="both"/>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第五章  专利侵权被诉抗辩</w:t>
      </w:r>
    </w:p>
    <w:p>
      <w:pPr>
        <w:pStyle w:val="2"/>
        <w:keepNext w:val="0"/>
        <w:keepLines w:val="0"/>
        <w:pageBreakBefore w:val="0"/>
        <w:widowControl w:val="0"/>
        <w:tabs>
          <w:tab w:val="left" w:pos="3851"/>
        </w:tabs>
        <w:kinsoku/>
        <w:wordWrap/>
        <w:overflowPunct/>
        <w:topLinePunct w:val="0"/>
        <w:bidi w:val="0"/>
        <w:adjustRightInd/>
        <w:snapToGrid/>
        <w:spacing w:beforeAutospacing="0" w:afterAutospacing="0" w:line="500" w:lineRule="exact"/>
        <w:ind w:firstLine="482" w:firstLineChars="200"/>
        <w:textAlignment w:val="auto"/>
        <w:rPr>
          <w:rFonts w:hint="eastAsia" w:ascii="仿宋_GB2312" w:hAnsi="仿宋_GB2312" w:eastAsia="仿宋_GB2312" w:cs="仿宋_GB2312"/>
          <w:b w:val="0"/>
          <w:color w:val="000000"/>
          <w:spacing w:val="-10"/>
          <w:sz w:val="28"/>
          <w:szCs w:val="28"/>
        </w:rPr>
      </w:pPr>
      <w:bookmarkStart w:id="176" w:name="_Toc3745"/>
      <w:r>
        <w:rPr>
          <w:rFonts w:hint="eastAsia" w:ascii="仿宋_GB2312" w:hAnsi="仿宋_GB2312" w:eastAsia="仿宋_GB2312" w:cs="仿宋_GB2312"/>
          <w:b w:val="0"/>
          <w:color w:val="000000"/>
          <w:spacing w:val="-10"/>
          <w:sz w:val="28"/>
          <w:szCs w:val="28"/>
          <w:lang w:eastAsia="en-US"/>
        </w:rPr>
        <w:t>一、诉讼主体不适格抗辩</w:t>
      </w:r>
      <w:bookmarkEnd w:id="176"/>
    </w:p>
    <w:p>
      <w:pPr>
        <w:pStyle w:val="2"/>
        <w:keepNext w:val="0"/>
        <w:keepLines w:val="0"/>
        <w:pageBreakBefore w:val="0"/>
        <w:widowControl w:val="0"/>
        <w:kinsoku/>
        <w:wordWrap/>
        <w:overflowPunct/>
        <w:topLinePunct w:val="0"/>
        <w:bidi w:val="0"/>
        <w:adjustRightInd/>
        <w:snapToGrid/>
        <w:spacing w:beforeAutospacing="0" w:afterAutospacing="0" w:line="500" w:lineRule="exact"/>
        <w:ind w:firstLine="522" w:firstLineChars="200"/>
        <w:textAlignment w:val="auto"/>
        <w:rPr>
          <w:rFonts w:hint="eastAsia" w:ascii="仿宋_GB2312" w:hAnsi="仿宋_GB2312" w:eastAsia="仿宋_GB2312" w:cs="仿宋_GB2312"/>
          <w:b w:val="0"/>
          <w:color w:val="000000"/>
          <w:sz w:val="28"/>
          <w:szCs w:val="28"/>
        </w:rPr>
      </w:pPr>
      <w:bookmarkStart w:id="177" w:name="_Toc14490"/>
      <w:r>
        <w:rPr>
          <w:rFonts w:hint="eastAsia" w:ascii="仿宋_GB2312" w:hAnsi="仿宋_GB2312" w:eastAsia="仿宋_GB2312" w:cs="仿宋_GB2312"/>
          <w:b w:val="0"/>
          <w:color w:val="000000"/>
          <w:sz w:val="28"/>
          <w:szCs w:val="28"/>
        </w:rPr>
        <w:t>二、专利权效力抗辩</w:t>
      </w:r>
      <w:bookmarkEnd w:id="177"/>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eastAsia="zh-CN"/>
        </w:rPr>
        <w:t>三</w:t>
      </w:r>
      <w:r>
        <w:rPr>
          <w:rFonts w:hint="eastAsia" w:ascii="仿宋_GB2312" w:hAnsi="仿宋_GB2312" w:eastAsia="仿宋_GB2312" w:cs="仿宋_GB2312"/>
          <w:color w:val="000000"/>
          <w:sz w:val="28"/>
          <w:szCs w:val="28"/>
        </w:rPr>
        <w:t>、滥用专利权抗辩</w:t>
      </w:r>
    </w:p>
    <w:p>
      <w:pPr>
        <w:pStyle w:val="2"/>
        <w:keepNext w:val="0"/>
        <w:keepLines w:val="0"/>
        <w:pageBreakBefore w:val="0"/>
        <w:widowControl w:val="0"/>
        <w:kinsoku/>
        <w:wordWrap/>
        <w:overflowPunct/>
        <w:topLinePunct w:val="0"/>
        <w:bidi w:val="0"/>
        <w:adjustRightInd/>
        <w:snapToGrid/>
        <w:spacing w:beforeAutospacing="0" w:afterAutospacing="0" w:line="500" w:lineRule="exact"/>
        <w:ind w:firstLine="522" w:firstLineChars="200"/>
        <w:textAlignment w:val="auto"/>
        <w:rPr>
          <w:rFonts w:hint="eastAsia" w:ascii="仿宋_GB2312" w:hAnsi="仿宋_GB2312" w:eastAsia="仿宋_GB2312" w:cs="仿宋_GB2312"/>
          <w:b w:val="0"/>
          <w:color w:val="000000"/>
          <w:sz w:val="28"/>
          <w:szCs w:val="28"/>
        </w:rPr>
      </w:pPr>
      <w:bookmarkStart w:id="178" w:name="_Toc17538"/>
      <w:r>
        <w:rPr>
          <w:rFonts w:hint="eastAsia" w:ascii="仿宋_GB2312" w:hAnsi="仿宋_GB2312" w:eastAsia="仿宋_GB2312" w:cs="仿宋_GB2312"/>
          <w:b w:val="0"/>
          <w:color w:val="000000"/>
          <w:sz w:val="28"/>
          <w:szCs w:val="28"/>
        </w:rPr>
        <w:t>四、未落入专利权技术方案抗辩</w:t>
      </w:r>
      <w:bookmarkEnd w:id="178"/>
    </w:p>
    <w:p>
      <w:pPr>
        <w:pStyle w:val="2"/>
        <w:keepNext w:val="0"/>
        <w:keepLines w:val="0"/>
        <w:pageBreakBefore w:val="0"/>
        <w:widowControl w:val="0"/>
        <w:kinsoku/>
        <w:wordWrap/>
        <w:overflowPunct/>
        <w:topLinePunct w:val="0"/>
        <w:bidi w:val="0"/>
        <w:adjustRightInd/>
        <w:snapToGrid/>
        <w:spacing w:beforeAutospacing="0" w:afterAutospacing="0" w:line="500" w:lineRule="exact"/>
        <w:ind w:firstLine="522" w:firstLineChars="200"/>
        <w:textAlignment w:val="auto"/>
        <w:rPr>
          <w:rFonts w:hint="eastAsia" w:ascii="仿宋_GB2312" w:hAnsi="仿宋_GB2312" w:eastAsia="仿宋_GB2312" w:cs="仿宋_GB2312"/>
          <w:b w:val="0"/>
          <w:color w:val="000000"/>
          <w:sz w:val="28"/>
          <w:szCs w:val="28"/>
        </w:rPr>
      </w:pPr>
      <w:bookmarkStart w:id="179" w:name="_Toc31359"/>
      <w:r>
        <w:rPr>
          <w:rFonts w:hint="eastAsia" w:ascii="仿宋_GB2312" w:hAnsi="仿宋_GB2312" w:eastAsia="仿宋_GB2312" w:cs="仿宋_GB2312"/>
          <w:b w:val="0"/>
          <w:color w:val="000000"/>
          <w:sz w:val="28"/>
          <w:szCs w:val="28"/>
        </w:rPr>
        <w:t>五、不视为侵权的抗辩</w:t>
      </w:r>
      <w:bookmarkEnd w:id="179"/>
    </w:p>
    <w:p>
      <w:pPr>
        <w:pStyle w:val="2"/>
        <w:keepNext w:val="0"/>
        <w:keepLines w:val="0"/>
        <w:pageBreakBefore w:val="0"/>
        <w:widowControl w:val="0"/>
        <w:kinsoku/>
        <w:wordWrap/>
        <w:overflowPunct/>
        <w:topLinePunct w:val="0"/>
        <w:bidi w:val="0"/>
        <w:adjustRightInd/>
        <w:snapToGrid/>
        <w:spacing w:beforeAutospacing="0" w:afterAutospacing="0" w:line="500" w:lineRule="exact"/>
        <w:ind w:firstLine="522" w:firstLineChars="200"/>
        <w:textAlignment w:val="auto"/>
        <w:rPr>
          <w:rFonts w:hint="eastAsia" w:ascii="仿宋_GB2312" w:hAnsi="仿宋_GB2312" w:eastAsia="仿宋_GB2312" w:cs="仿宋_GB2312"/>
          <w:b w:val="0"/>
          <w:color w:val="000000"/>
          <w:sz w:val="28"/>
          <w:szCs w:val="28"/>
        </w:rPr>
      </w:pPr>
      <w:bookmarkStart w:id="180" w:name="_Toc9693"/>
      <w:r>
        <w:rPr>
          <w:rFonts w:hint="eastAsia" w:ascii="仿宋_GB2312" w:hAnsi="仿宋_GB2312" w:eastAsia="仿宋_GB2312" w:cs="仿宋_GB2312"/>
          <w:b w:val="0"/>
          <w:color w:val="000000"/>
          <w:sz w:val="28"/>
          <w:szCs w:val="28"/>
        </w:rPr>
        <w:t>六、现有技术抗辩及现有设计抗辩</w:t>
      </w:r>
      <w:bookmarkEnd w:id="180"/>
    </w:p>
    <w:p>
      <w:pPr>
        <w:pStyle w:val="2"/>
        <w:keepNext w:val="0"/>
        <w:keepLines w:val="0"/>
        <w:pageBreakBefore w:val="0"/>
        <w:widowControl w:val="0"/>
        <w:kinsoku/>
        <w:wordWrap/>
        <w:overflowPunct/>
        <w:topLinePunct w:val="0"/>
        <w:bidi w:val="0"/>
        <w:adjustRightInd/>
        <w:snapToGrid/>
        <w:spacing w:beforeAutospacing="0" w:afterAutospacing="0" w:line="500" w:lineRule="exact"/>
        <w:ind w:firstLine="522" w:firstLineChars="200"/>
        <w:textAlignment w:val="auto"/>
        <w:rPr>
          <w:rFonts w:hint="eastAsia" w:ascii="仿宋_GB2312" w:hAnsi="仿宋_GB2312" w:eastAsia="仿宋_GB2312" w:cs="仿宋_GB2312"/>
          <w:b w:val="0"/>
          <w:color w:val="000000"/>
          <w:sz w:val="28"/>
          <w:szCs w:val="28"/>
        </w:rPr>
      </w:pPr>
      <w:bookmarkStart w:id="181" w:name="_Toc27764"/>
      <w:r>
        <w:rPr>
          <w:rFonts w:hint="eastAsia" w:ascii="仿宋_GB2312" w:hAnsi="仿宋_GB2312" w:eastAsia="仿宋_GB2312" w:cs="仿宋_GB2312"/>
          <w:b w:val="0"/>
          <w:color w:val="000000"/>
          <w:sz w:val="28"/>
          <w:szCs w:val="28"/>
        </w:rPr>
        <w:t>七、合法来源抗辩</w:t>
      </w:r>
      <w:bookmarkEnd w:id="181"/>
    </w:p>
    <w:p>
      <w:pPr>
        <w:keepNext w:val="0"/>
        <w:keepLines w:val="0"/>
        <w:pageBreakBefore w:val="0"/>
        <w:widowControl w:val="0"/>
        <w:kinsoku/>
        <w:wordWrap/>
        <w:overflowPunct/>
        <w:topLinePunct w:val="0"/>
        <w:bidi w:val="0"/>
        <w:adjustRightInd/>
        <w:snapToGrid/>
        <w:spacing w:beforeAutospacing="0" w:afterAutospacing="0" w:line="500" w:lineRule="exact"/>
        <w:ind w:firstLine="522" w:firstLineChars="200"/>
        <w:jc w:val="both"/>
        <w:textAlignment w:val="auto"/>
        <w:rPr>
          <w:rFonts w:hint="eastAsia" w:ascii="黑体" w:hAnsi="黑体" w:eastAsia="黑体"/>
          <w:color w:val="000000"/>
          <w:sz w:val="20"/>
          <w:szCs w:val="21"/>
        </w:rPr>
      </w:pPr>
      <w:r>
        <w:rPr>
          <w:rFonts w:hint="eastAsia" w:ascii="仿宋_GB2312" w:hAnsi="仿宋_GB2312" w:eastAsia="仿宋_GB2312" w:cs="仿宋_GB2312"/>
          <w:color w:val="000000"/>
          <w:sz w:val="28"/>
          <w:szCs w:val="28"/>
        </w:rPr>
        <w:t>第六章  注意事项</w:t>
      </w:r>
    </w:p>
    <w:p>
      <w:pPr>
        <w:keepNext w:val="0"/>
        <w:keepLines w:val="0"/>
        <w:pageBreakBefore w:val="0"/>
        <w:widowControl w:val="0"/>
        <w:wordWrap/>
        <w:bidi w:val="0"/>
        <w:spacing w:after="0" w:line="500" w:lineRule="exact"/>
        <w:jc w:val="center"/>
        <w:rPr>
          <w:rFonts w:hint="eastAsia" w:ascii="方正小标宋简体" w:hAnsi="方正小标宋简体" w:eastAsia="方正小标宋简体" w:cs="方正小标宋简体"/>
          <w:bCs/>
          <w:color w:val="000000"/>
          <w:spacing w:val="6"/>
          <w:sz w:val="40"/>
          <w:szCs w:val="40"/>
        </w:rPr>
      </w:pPr>
      <w:r>
        <w:rPr>
          <w:rFonts w:hint="eastAsia" w:ascii="方正小标宋简体" w:hAnsi="方正小标宋简体" w:eastAsia="方正小标宋简体" w:cs="方正小标宋简体"/>
          <w:bCs/>
          <w:color w:val="000000"/>
          <w:spacing w:val="6"/>
          <w:sz w:val="40"/>
          <w:szCs w:val="40"/>
        </w:rPr>
        <w:br w:type="page"/>
      </w:r>
      <w:r>
        <w:rPr>
          <w:rFonts w:hint="eastAsia" w:ascii="方正小标宋简体" w:hAnsi="方正小标宋简体" w:eastAsia="方正小标宋简体" w:cs="方正小标宋简体"/>
          <w:bCs/>
          <w:color w:val="000000"/>
          <w:spacing w:val="6"/>
          <w:sz w:val="40"/>
          <w:szCs w:val="40"/>
        </w:rPr>
        <w:t>律师代理专利侵权案件诉讼</w:t>
      </w:r>
    </w:p>
    <w:p>
      <w:pPr>
        <w:keepNext w:val="0"/>
        <w:keepLines w:val="0"/>
        <w:pageBreakBefore w:val="0"/>
        <w:widowControl w:val="0"/>
        <w:wordWrap/>
        <w:bidi w:val="0"/>
        <w:spacing w:after="0" w:line="500" w:lineRule="exact"/>
        <w:jc w:val="center"/>
        <w:rPr>
          <w:rFonts w:ascii="方正小标宋简体" w:hAnsi="方正小标宋简体" w:eastAsia="方正小标宋简体" w:cs="方正小标宋简体"/>
          <w:bCs/>
          <w:color w:val="000000"/>
          <w:spacing w:val="6"/>
          <w:sz w:val="40"/>
          <w:szCs w:val="40"/>
        </w:rPr>
      </w:pPr>
      <w:r>
        <w:rPr>
          <w:rFonts w:hint="eastAsia" w:ascii="方正小标宋简体" w:hAnsi="方正小标宋简体" w:eastAsia="方正小标宋简体" w:cs="方正小标宋简体"/>
          <w:bCs/>
          <w:color w:val="000000"/>
          <w:spacing w:val="6"/>
          <w:sz w:val="40"/>
          <w:szCs w:val="40"/>
        </w:rPr>
        <w:t>业务操作指引</w:t>
      </w:r>
    </w:p>
    <w:p>
      <w:pPr>
        <w:pStyle w:val="2"/>
        <w:keepNext w:val="0"/>
        <w:keepLines w:val="0"/>
        <w:pageBreakBefore w:val="0"/>
        <w:widowControl w:val="0"/>
        <w:tabs>
          <w:tab w:val="left" w:pos="3422"/>
        </w:tabs>
        <w:kinsoku/>
        <w:wordWrap/>
        <w:overflowPunct/>
        <w:topLinePunct w:val="0"/>
        <w:bidi w:val="0"/>
        <w:adjustRightInd/>
        <w:snapToGrid/>
        <w:spacing w:beforeAutospacing="0" w:afterAutospacing="0" w:line="500" w:lineRule="exact"/>
        <w:ind w:firstLine="522" w:firstLineChars="200"/>
        <w:jc w:val="center"/>
        <w:textAlignment w:val="auto"/>
        <w:outlineLvl w:val="9"/>
        <w:rPr>
          <w:rFonts w:hint="eastAsia" w:ascii="黑体" w:hAnsi="黑体" w:eastAsia="黑体" w:cs="黑体"/>
          <w:b w:val="0"/>
          <w:bCs/>
          <w:color w:val="000000"/>
          <w:sz w:val="28"/>
          <w:szCs w:val="28"/>
        </w:rPr>
      </w:pPr>
    </w:p>
    <w:p>
      <w:pPr>
        <w:pStyle w:val="2"/>
        <w:keepNext w:val="0"/>
        <w:keepLines w:val="0"/>
        <w:pageBreakBefore w:val="0"/>
        <w:widowControl w:val="0"/>
        <w:tabs>
          <w:tab w:val="left" w:pos="3422"/>
        </w:tabs>
        <w:kinsoku/>
        <w:wordWrap/>
        <w:overflowPunct/>
        <w:topLinePunct w:val="0"/>
        <w:bidi w:val="0"/>
        <w:adjustRightInd/>
        <w:snapToGrid/>
        <w:spacing w:beforeAutospacing="0" w:afterAutospacing="0" w:line="500" w:lineRule="exact"/>
        <w:ind w:firstLine="522" w:firstLineChars="200"/>
        <w:jc w:val="center"/>
        <w:textAlignment w:val="auto"/>
        <w:rPr>
          <w:rFonts w:hint="eastAsia" w:ascii="黑体" w:hAnsi="黑体" w:eastAsia="黑体" w:cs="黑体"/>
          <w:b w:val="0"/>
          <w:bCs/>
          <w:color w:val="000000"/>
          <w:sz w:val="28"/>
          <w:szCs w:val="28"/>
        </w:rPr>
      </w:pPr>
      <w:bookmarkStart w:id="182" w:name="_Toc27784"/>
      <w:r>
        <w:rPr>
          <w:rFonts w:hint="eastAsia" w:ascii="黑体" w:hAnsi="黑体" w:eastAsia="黑体" w:cs="黑体"/>
          <w:b w:val="0"/>
          <w:bCs/>
          <w:color w:val="000000"/>
          <w:sz w:val="28"/>
          <w:szCs w:val="28"/>
        </w:rPr>
        <w:t>第一章  专利权及专利权稳定性判断</w:t>
      </w:r>
      <w:bookmarkEnd w:id="182"/>
    </w:p>
    <w:p>
      <w:pPr>
        <w:pStyle w:val="2"/>
        <w:keepNext w:val="0"/>
        <w:keepLines w:val="0"/>
        <w:pageBreakBefore w:val="0"/>
        <w:widowControl w:val="0"/>
        <w:tabs>
          <w:tab w:val="left" w:pos="3422"/>
        </w:tabs>
        <w:kinsoku/>
        <w:wordWrap/>
        <w:overflowPunct/>
        <w:topLinePunct w:val="0"/>
        <w:bidi w:val="0"/>
        <w:adjustRightInd/>
        <w:snapToGrid/>
        <w:spacing w:beforeAutospacing="0" w:afterAutospacing="0" w:line="500" w:lineRule="exact"/>
        <w:ind w:firstLine="522" w:firstLineChars="200"/>
        <w:textAlignment w:val="auto"/>
        <w:rPr>
          <w:rFonts w:hint="eastAsia" w:ascii="楷体" w:hAnsi="楷体" w:eastAsia="楷体" w:cs="仿宋"/>
          <w:color w:val="000000"/>
          <w:sz w:val="28"/>
          <w:szCs w:val="28"/>
        </w:rPr>
      </w:pPr>
      <w:bookmarkStart w:id="183" w:name="_Toc9973"/>
      <w:r>
        <w:rPr>
          <w:rFonts w:hint="eastAsia" w:ascii="楷体" w:hAnsi="楷体" w:eastAsia="楷体" w:cs="仿宋"/>
          <w:color w:val="000000"/>
          <w:sz w:val="28"/>
          <w:szCs w:val="28"/>
        </w:rPr>
        <w:t>一、专利权的概念</w:t>
      </w:r>
      <w:bookmarkEnd w:id="183"/>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专利权是指一项发明创造向国家审批机关提出专利申请，经</w:t>
      </w: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"https://baike.baidu.com/item/%E4%BE%9D%E6%B3%95" \h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依法</w:t>
      </w:r>
      <w:r>
        <w:rPr>
          <w:rFonts w:hint="eastAsia" w:ascii="仿宋_GB2312" w:hAnsi="仿宋" w:eastAsia="仿宋_GB2312" w:cs="仿宋"/>
          <w:color w:val="000000"/>
          <w:sz w:val="28"/>
          <w:szCs w:val="28"/>
        </w:rPr>
        <w:fldChar w:fldCharType="end"/>
      </w:r>
      <w:r>
        <w:rPr>
          <w:rFonts w:hint="eastAsia" w:ascii="仿宋_GB2312" w:hAnsi="仿宋" w:eastAsia="仿宋_GB2312" w:cs="仿宋"/>
          <w:color w:val="000000"/>
          <w:sz w:val="28"/>
          <w:szCs w:val="28"/>
        </w:rPr>
        <w:t>审查合格后向专利申请人授予的在规定的时间内对该项发明创造享有的专有权，是独占使用、收益、处分其发明创造，并排除他人干涉的权利。</w:t>
      </w:r>
    </w:p>
    <w:p>
      <w:pPr>
        <w:keepNext w:val="0"/>
        <w:keepLines w:val="0"/>
        <w:pageBreakBefore w:val="0"/>
        <w:widowControl w:val="0"/>
        <w:kinsoku/>
        <w:wordWrap/>
        <w:overflowPunct/>
        <w:topLinePunct w:val="0"/>
        <w:bidi w:val="0"/>
        <w:adjustRightInd/>
        <w:snapToGrid/>
        <w:spacing w:beforeAutospacing="0" w:afterAutospacing="0" w:line="500" w:lineRule="exact"/>
        <w:ind w:firstLine="522" w:firstLineChars="200"/>
        <w:jc w:val="both"/>
        <w:textAlignment w:val="auto"/>
        <w:rPr>
          <w:rFonts w:hint="eastAsia" w:ascii="楷体" w:hAnsi="楷体" w:eastAsia="楷体" w:cs="仿宋"/>
          <w:b/>
          <w:color w:val="000000"/>
          <w:sz w:val="28"/>
          <w:szCs w:val="28"/>
        </w:rPr>
      </w:pPr>
      <w:r>
        <w:rPr>
          <w:rFonts w:hint="eastAsia" w:ascii="楷体" w:hAnsi="楷体" w:eastAsia="楷体" w:cs="仿宋"/>
          <w:color w:val="000000"/>
          <w:sz w:val="28"/>
          <w:szCs w:val="28"/>
        </w:rPr>
        <w:t>二、</w:t>
      </w:r>
      <w:r>
        <w:rPr>
          <w:rFonts w:hint="eastAsia" w:ascii="楷体" w:hAnsi="楷体" w:eastAsia="楷体" w:cs="仿宋"/>
          <w:b/>
          <w:color w:val="000000"/>
          <w:sz w:val="28"/>
          <w:szCs w:val="28"/>
        </w:rPr>
        <w:t>专利分类</w:t>
      </w:r>
    </w:p>
    <w:p>
      <w:pPr>
        <w:pStyle w:val="7"/>
        <w:keepNext w:val="0"/>
        <w:keepLines w:val="0"/>
        <w:pageBreakBefore w:val="0"/>
        <w:widowControl w:val="0"/>
        <w:numPr>
          <w:ilvl w:val="0"/>
          <w:numId w:val="139"/>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发明专利：是指对产品、方法或者其改进所提出的新的技术方案。</w:t>
      </w:r>
    </w:p>
    <w:p>
      <w:pPr>
        <w:pStyle w:val="7"/>
        <w:keepNext w:val="0"/>
        <w:keepLines w:val="0"/>
        <w:pageBreakBefore w:val="0"/>
        <w:widowControl w:val="0"/>
        <w:numPr>
          <w:ilvl w:val="0"/>
          <w:numId w:val="139"/>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实用新型专利：是指对产品的形状、构造或者其结合所提出的适于实用的新的技术方案。</w:t>
      </w:r>
    </w:p>
    <w:p>
      <w:pPr>
        <w:pStyle w:val="7"/>
        <w:keepNext w:val="0"/>
        <w:keepLines w:val="0"/>
        <w:pageBreakBefore w:val="0"/>
        <w:widowControl w:val="0"/>
        <w:numPr>
          <w:ilvl w:val="0"/>
          <w:numId w:val="139"/>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外观设计专利：是指对产品的形状、图案或者其结合以及色彩与形状、图案的结合所作出的富有美感并适于工业应用的新设计。</w:t>
      </w:r>
    </w:p>
    <w:p>
      <w:pPr>
        <w:pStyle w:val="2"/>
        <w:keepNext w:val="0"/>
        <w:keepLines w:val="0"/>
        <w:pageBreakBefore w:val="0"/>
        <w:widowControl w:val="0"/>
        <w:kinsoku/>
        <w:wordWrap/>
        <w:overflowPunct/>
        <w:topLinePunct w:val="0"/>
        <w:bidi w:val="0"/>
        <w:adjustRightInd/>
        <w:snapToGrid/>
        <w:spacing w:beforeAutospacing="0" w:afterAutospacing="0" w:line="500" w:lineRule="exact"/>
        <w:ind w:firstLine="522" w:firstLineChars="200"/>
        <w:textAlignment w:val="auto"/>
        <w:rPr>
          <w:rFonts w:hint="eastAsia" w:ascii="楷体" w:hAnsi="楷体" w:eastAsia="楷体" w:cs="仿宋"/>
          <w:color w:val="000000"/>
          <w:sz w:val="28"/>
          <w:szCs w:val="28"/>
        </w:rPr>
      </w:pPr>
      <w:bookmarkStart w:id="184" w:name="_Toc25893"/>
      <w:r>
        <w:rPr>
          <w:rFonts w:hint="eastAsia" w:ascii="楷体" w:hAnsi="楷体" w:eastAsia="楷体" w:cs="仿宋"/>
          <w:color w:val="000000"/>
          <w:sz w:val="28"/>
          <w:szCs w:val="28"/>
        </w:rPr>
        <w:t>三、专利侵权的概念</w:t>
      </w:r>
      <w:bookmarkEnd w:id="184"/>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专利侵权是指未经专利权人许可，以生产经营为目的，实施了依法受保护的有效专利的违法行为。专利权被侵权的</w:t>
      </w: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"https://baike.baidu.com/item/%E8%87%AA%E7%84%B6%E4%BA%BA" \h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自然人</w:t>
      </w:r>
      <w:r>
        <w:rPr>
          <w:rFonts w:hint="eastAsia" w:ascii="仿宋_GB2312" w:hAnsi="仿宋" w:eastAsia="仿宋_GB2312" w:cs="仿宋"/>
          <w:color w:val="000000"/>
          <w:sz w:val="28"/>
          <w:szCs w:val="28"/>
        </w:rPr>
        <w:fldChar w:fldCharType="end"/>
      </w:r>
      <w:r>
        <w:rPr>
          <w:rFonts w:hint="eastAsia" w:ascii="仿宋_GB2312" w:hAnsi="仿宋" w:eastAsia="仿宋_GB2312" w:cs="仿宋"/>
          <w:color w:val="000000"/>
          <w:sz w:val="28"/>
          <w:szCs w:val="28"/>
        </w:rPr>
        <w:t>或者</w:t>
      </w: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"https://baike.baidu.com/item/%E6%B3%95%E4%BA%BA" \h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法人</w:t>
      </w:r>
      <w:r>
        <w:rPr>
          <w:rFonts w:hint="eastAsia" w:ascii="仿宋_GB2312" w:hAnsi="仿宋" w:eastAsia="仿宋_GB2312" w:cs="仿宋"/>
          <w:color w:val="000000"/>
          <w:sz w:val="28"/>
          <w:szCs w:val="28"/>
        </w:rPr>
        <w:fldChar w:fldCharType="end"/>
      </w:r>
      <w:r>
        <w:rPr>
          <w:rFonts w:hint="eastAsia" w:ascii="仿宋_GB2312" w:hAnsi="仿宋" w:eastAsia="仿宋_GB2312" w:cs="仿宋"/>
          <w:color w:val="000000"/>
          <w:sz w:val="28"/>
          <w:szCs w:val="28"/>
          <w:lang w:eastAsia="zh-CN"/>
        </w:rPr>
        <w:t>享</w:t>
      </w:r>
      <w:r>
        <w:rPr>
          <w:rFonts w:hint="eastAsia" w:ascii="仿宋_GB2312" w:hAnsi="仿宋" w:eastAsia="仿宋_GB2312" w:cs="仿宋"/>
          <w:color w:val="000000"/>
          <w:sz w:val="28"/>
          <w:szCs w:val="28"/>
        </w:rPr>
        <w:t>有要求侵权人</w:t>
      </w: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"https://baike.baidu.com/item/%E5%81%9C%E6%AD%A2%E4%BE%B5%E5%AE%B3" \h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停止侵害</w:t>
      </w:r>
      <w:r>
        <w:rPr>
          <w:rFonts w:hint="eastAsia" w:ascii="仿宋_GB2312" w:hAnsi="仿宋" w:eastAsia="仿宋_GB2312" w:cs="仿宋"/>
          <w:color w:val="000000"/>
          <w:sz w:val="28"/>
          <w:szCs w:val="28"/>
        </w:rPr>
        <w:fldChar w:fldCharType="end"/>
      </w:r>
      <w:r>
        <w:rPr>
          <w:rFonts w:hint="eastAsia" w:ascii="仿宋_GB2312" w:hAnsi="仿宋" w:eastAsia="仿宋_GB2312" w:cs="仿宋"/>
          <w:color w:val="000000"/>
          <w:sz w:val="28"/>
          <w:szCs w:val="28"/>
        </w:rPr>
        <w:t>、消除影响、赔偿损失</w:t>
      </w:r>
      <w:r>
        <w:rPr>
          <w:rFonts w:hint="eastAsia" w:ascii="仿宋_GB2312" w:hAnsi="仿宋" w:eastAsia="仿宋_GB2312" w:cs="仿宋"/>
          <w:color w:val="000000"/>
          <w:sz w:val="28"/>
          <w:szCs w:val="28"/>
          <w:lang w:eastAsia="zh-CN"/>
        </w:rPr>
        <w:t>等民事权利</w:t>
      </w:r>
      <w:r>
        <w:rPr>
          <w:rFonts w:hint="eastAsia" w:ascii="仿宋_GB2312" w:hAnsi="仿宋" w:eastAsia="仿宋_GB2312" w:cs="仿宋"/>
          <w:color w:val="000000"/>
          <w:sz w:val="28"/>
          <w:szCs w:val="28"/>
        </w:rPr>
        <w:t>。</w:t>
      </w:r>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4"/>
        <w:jc w:val="both"/>
        <w:textAlignment w:val="auto"/>
        <w:rPr>
          <w:rFonts w:hint="eastAsia" w:ascii="楷体" w:hAnsi="楷体" w:eastAsia="楷体" w:cs="仿宋"/>
          <w:b/>
          <w:bCs/>
          <w:color w:val="000000"/>
          <w:sz w:val="28"/>
          <w:szCs w:val="28"/>
          <w:lang w:eastAsia="zh-CN"/>
        </w:rPr>
      </w:pPr>
      <w:r>
        <w:rPr>
          <w:rFonts w:hint="eastAsia" w:ascii="楷体" w:hAnsi="楷体" w:eastAsia="楷体" w:cs="仿宋"/>
          <w:b/>
          <w:bCs/>
          <w:color w:val="000000"/>
          <w:sz w:val="28"/>
          <w:szCs w:val="28"/>
          <w:lang w:eastAsia="zh-CN"/>
        </w:rPr>
        <w:t>四、专利权稳定性判断</w:t>
      </w:r>
    </w:p>
    <w:p>
      <w:pPr>
        <w:pStyle w:val="7"/>
        <w:keepNext w:val="0"/>
        <w:keepLines w:val="0"/>
        <w:pageBreakBefore w:val="0"/>
        <w:widowControl w:val="0"/>
        <w:numPr>
          <w:ilvl w:val="0"/>
          <w:numId w:val="140"/>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lang w:eastAsia="zh-CN"/>
        </w:rPr>
      </w:pPr>
      <w:r>
        <w:rPr>
          <w:rFonts w:hint="eastAsia" w:ascii="仿宋_GB2312" w:hAnsi="仿宋" w:eastAsia="仿宋_GB2312" w:cs="仿宋"/>
          <w:color w:val="000000"/>
          <w:sz w:val="28"/>
          <w:szCs w:val="28"/>
          <w:lang w:eastAsia="zh-CN"/>
        </w:rPr>
        <w:t>对涉案的专利进行检索，审查其是否缴纳了专利年费，是否为有效的专利。</w:t>
      </w:r>
    </w:p>
    <w:p>
      <w:pPr>
        <w:pStyle w:val="7"/>
        <w:keepNext w:val="0"/>
        <w:keepLines w:val="0"/>
        <w:pageBreakBefore w:val="0"/>
        <w:widowControl w:val="0"/>
        <w:numPr>
          <w:ilvl w:val="0"/>
          <w:numId w:val="140"/>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lang w:eastAsia="zh-CN"/>
        </w:rPr>
      </w:pPr>
      <w:r>
        <w:rPr>
          <w:rFonts w:hint="eastAsia" w:ascii="仿宋_GB2312" w:hAnsi="仿宋" w:eastAsia="仿宋_GB2312" w:cs="仿宋"/>
          <w:color w:val="000000"/>
          <w:sz w:val="28"/>
          <w:szCs w:val="28"/>
          <w:lang w:eastAsia="zh-CN"/>
        </w:rPr>
        <w:t>审查专利是否在专利无效程序中，对专利权的稳定性进行初步的判断。</w:t>
      </w:r>
    </w:p>
    <w:p>
      <w:pPr>
        <w:pStyle w:val="7"/>
        <w:keepNext w:val="0"/>
        <w:keepLines w:val="0"/>
        <w:pageBreakBefore w:val="0"/>
        <w:widowControl w:val="0"/>
        <w:numPr>
          <w:ilvl w:val="0"/>
          <w:numId w:val="140"/>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eastAsia="zh-CN"/>
        </w:rPr>
        <w:t>实用新型专利及外观设计专利侵权案件中，要注意审查权利人是否向国家知识产权局申请出具专利权评价报告。</w:t>
      </w:r>
    </w:p>
    <w:p>
      <w:pPr>
        <w:pStyle w:val="2"/>
        <w:keepNext w:val="0"/>
        <w:keepLines w:val="0"/>
        <w:pageBreakBefore w:val="0"/>
        <w:widowControl w:val="0"/>
        <w:tabs>
          <w:tab w:val="left" w:pos="3422"/>
        </w:tabs>
        <w:kinsoku/>
        <w:wordWrap/>
        <w:overflowPunct/>
        <w:topLinePunct w:val="0"/>
        <w:bidi w:val="0"/>
        <w:adjustRightInd/>
        <w:snapToGrid/>
        <w:spacing w:beforeAutospacing="0" w:afterAutospacing="0" w:line="500" w:lineRule="exact"/>
        <w:jc w:val="center"/>
        <w:textAlignment w:val="auto"/>
        <w:outlineLvl w:val="9"/>
        <w:rPr>
          <w:rFonts w:hint="eastAsia" w:ascii="黑体" w:hAnsi="黑体" w:eastAsia="黑体" w:cs="黑体"/>
          <w:b w:val="0"/>
          <w:bCs/>
          <w:color w:val="000000"/>
          <w:sz w:val="28"/>
          <w:szCs w:val="28"/>
        </w:rPr>
      </w:pPr>
    </w:p>
    <w:p>
      <w:pPr>
        <w:pStyle w:val="2"/>
        <w:keepNext w:val="0"/>
        <w:keepLines w:val="0"/>
        <w:pageBreakBefore w:val="0"/>
        <w:widowControl w:val="0"/>
        <w:tabs>
          <w:tab w:val="left" w:pos="3422"/>
        </w:tabs>
        <w:kinsoku/>
        <w:wordWrap/>
        <w:overflowPunct/>
        <w:topLinePunct w:val="0"/>
        <w:bidi w:val="0"/>
        <w:adjustRightInd/>
        <w:snapToGrid/>
        <w:spacing w:beforeAutospacing="0" w:afterAutospacing="0" w:line="500" w:lineRule="exact"/>
        <w:jc w:val="center"/>
        <w:textAlignment w:val="auto"/>
        <w:rPr>
          <w:rFonts w:hint="eastAsia" w:ascii="黑体" w:hAnsi="黑体" w:eastAsia="黑体" w:cs="黑体"/>
          <w:b w:val="0"/>
          <w:bCs/>
          <w:color w:val="000000"/>
          <w:sz w:val="28"/>
          <w:szCs w:val="28"/>
        </w:rPr>
      </w:pPr>
      <w:bookmarkStart w:id="185" w:name="_Toc18914"/>
      <w:r>
        <w:rPr>
          <w:rFonts w:hint="eastAsia" w:ascii="黑体" w:hAnsi="黑体" w:eastAsia="黑体" w:cs="黑体"/>
          <w:b w:val="0"/>
          <w:bCs/>
          <w:color w:val="000000"/>
          <w:sz w:val="28"/>
          <w:szCs w:val="28"/>
        </w:rPr>
        <w:t>第二章  专利侵权的类型及侵权判定</w:t>
      </w:r>
      <w:bookmarkEnd w:id="185"/>
    </w:p>
    <w:p>
      <w:pPr>
        <w:keepNext w:val="0"/>
        <w:keepLines w:val="0"/>
        <w:pageBreakBefore w:val="0"/>
        <w:widowControl w:val="0"/>
        <w:kinsoku/>
        <w:wordWrap/>
        <w:overflowPunct/>
        <w:topLinePunct w:val="0"/>
        <w:autoSpaceDE w:val="0"/>
        <w:autoSpaceDN w:val="0"/>
        <w:bidi w:val="0"/>
        <w:adjustRightInd/>
        <w:snapToGrid/>
        <w:spacing w:beforeAutospacing="0" w:afterAutospacing="0" w:line="500" w:lineRule="exact"/>
        <w:ind w:firstLine="522" w:firstLineChars="200"/>
        <w:jc w:val="both"/>
        <w:textAlignment w:val="auto"/>
        <w:rPr>
          <w:rFonts w:hint="eastAsia" w:ascii="楷体" w:hAnsi="楷体" w:eastAsia="楷体" w:cs="仿宋"/>
          <w:b/>
          <w:color w:val="000000"/>
          <w:sz w:val="28"/>
          <w:szCs w:val="28"/>
        </w:rPr>
      </w:pPr>
      <w:r>
        <w:rPr>
          <w:rFonts w:hint="eastAsia" w:ascii="楷体" w:hAnsi="楷体" w:eastAsia="楷体" w:cs="仿宋"/>
          <w:b/>
          <w:color w:val="000000"/>
          <w:sz w:val="28"/>
          <w:szCs w:val="28"/>
        </w:rPr>
        <w:t>一、专利侵权的类型</w:t>
      </w:r>
    </w:p>
    <w:p>
      <w:pPr>
        <w:keepNext w:val="0"/>
        <w:keepLines w:val="0"/>
        <w:pageBreakBefore w:val="0"/>
        <w:widowControl w:val="0"/>
        <w:kinsoku/>
        <w:wordWrap/>
        <w:overflowPunct/>
        <w:topLinePunct w:val="0"/>
        <w:bidi w:val="0"/>
        <w:adjustRightInd/>
        <w:snapToGrid/>
        <w:spacing w:beforeAutospacing="0" w:afterAutospacing="0" w:line="500" w:lineRule="exact"/>
        <w:ind w:firstLine="522" w:firstLineChars="200"/>
        <w:jc w:val="both"/>
        <w:textAlignment w:val="auto"/>
        <w:rPr>
          <w:rFonts w:hint="eastAsia" w:ascii="仿宋_GB2312" w:hAnsi="仿宋" w:eastAsia="仿宋_GB2312" w:cs="仿宋"/>
          <w:bCs/>
          <w:color w:val="000000"/>
          <w:sz w:val="28"/>
          <w:szCs w:val="28"/>
        </w:rPr>
      </w:pPr>
      <w:r>
        <w:rPr>
          <w:rFonts w:hint="eastAsia" w:ascii="仿宋_GB2312" w:hAnsi="仿宋" w:eastAsia="仿宋_GB2312" w:cs="仿宋"/>
          <w:bCs/>
          <w:color w:val="000000"/>
          <w:sz w:val="28"/>
          <w:szCs w:val="28"/>
        </w:rPr>
        <w:t>根据《中华人民共和国专利法》第十一条之规定，发明和实用新型专利权被授予后，除本法另有规定的以外，任何单位或者个人未经专利权人许可，都不得实施其专利，即不得为生产经营目的制造、使用、许诺销售、销售、进口其专利产品，或者使用其专利方法以及使用、许诺销售、销售、进口依照该专利方法直接获得的产品。</w:t>
      </w:r>
    </w:p>
    <w:p>
      <w:pPr>
        <w:keepNext w:val="0"/>
        <w:keepLines w:val="0"/>
        <w:pageBreakBefore w:val="0"/>
        <w:widowControl w:val="0"/>
        <w:kinsoku/>
        <w:wordWrap/>
        <w:overflowPunct/>
        <w:topLinePunct w:val="0"/>
        <w:bidi w:val="0"/>
        <w:adjustRightInd/>
        <w:snapToGrid/>
        <w:spacing w:beforeAutospacing="0" w:afterAutospacing="0" w:line="500" w:lineRule="exact"/>
        <w:ind w:firstLine="522" w:firstLineChars="200"/>
        <w:jc w:val="both"/>
        <w:textAlignment w:val="auto"/>
        <w:rPr>
          <w:rFonts w:hint="eastAsia" w:ascii="仿宋_GB2312" w:hAnsi="仿宋" w:eastAsia="仿宋_GB2312" w:cs="仿宋"/>
          <w:bCs/>
          <w:color w:val="000000"/>
          <w:sz w:val="28"/>
          <w:szCs w:val="28"/>
        </w:rPr>
      </w:pPr>
      <w:r>
        <w:rPr>
          <w:rFonts w:hint="eastAsia" w:ascii="仿宋_GB2312" w:hAnsi="仿宋" w:eastAsia="仿宋_GB2312" w:cs="仿宋"/>
          <w:bCs/>
          <w:color w:val="000000"/>
          <w:sz w:val="28"/>
          <w:szCs w:val="28"/>
        </w:rPr>
        <w:t>外观设计专利权被授予后，任何单位或者个人未经专利权人许可，都不得实施其专利，即不得为生产经营目的制造、许诺销售、销售、进口其外观设计专利产品。</w:t>
      </w:r>
    </w:p>
    <w:p>
      <w:pPr>
        <w:keepNext w:val="0"/>
        <w:keepLines w:val="0"/>
        <w:pageBreakBefore w:val="0"/>
        <w:widowControl w:val="0"/>
        <w:kinsoku/>
        <w:wordWrap/>
        <w:overflowPunct/>
        <w:topLinePunct w:val="0"/>
        <w:bidi w:val="0"/>
        <w:adjustRightInd/>
        <w:snapToGrid/>
        <w:spacing w:beforeAutospacing="0" w:afterAutospacing="0" w:line="500" w:lineRule="exact"/>
        <w:ind w:firstLine="522" w:firstLineChars="200"/>
        <w:jc w:val="both"/>
        <w:textAlignment w:val="auto"/>
        <w:rPr>
          <w:rFonts w:hint="eastAsia" w:ascii="仿宋_GB2312" w:hAnsi="仿宋" w:eastAsia="仿宋_GB2312" w:cs="仿宋"/>
          <w:bCs/>
          <w:color w:val="000000"/>
          <w:sz w:val="28"/>
          <w:szCs w:val="28"/>
        </w:rPr>
      </w:pPr>
      <w:r>
        <w:rPr>
          <w:rFonts w:hint="eastAsia" w:ascii="仿宋_GB2312" w:hAnsi="仿宋" w:eastAsia="仿宋_GB2312" w:cs="仿宋"/>
          <w:bCs/>
          <w:color w:val="000000"/>
          <w:sz w:val="28"/>
          <w:szCs w:val="28"/>
        </w:rPr>
        <w:t>专利侵权的行为类型如下：</w:t>
      </w:r>
    </w:p>
    <w:p>
      <w:pPr>
        <w:keepNext w:val="0"/>
        <w:keepLines w:val="0"/>
        <w:pageBreakBefore w:val="0"/>
        <w:widowControl w:val="0"/>
        <w:numPr>
          <w:ilvl w:val="0"/>
          <w:numId w:val="141"/>
        </w:numPr>
        <w:kinsoku/>
        <w:wordWrap/>
        <w:overflowPunct/>
        <w:topLinePunct w:val="0"/>
        <w:bidi w:val="0"/>
        <w:adjustRightInd/>
        <w:snapToGrid/>
        <w:spacing w:beforeAutospacing="0" w:afterAutospacing="0" w:line="500" w:lineRule="exact"/>
        <w:ind w:firstLine="522" w:firstLineChars="200"/>
        <w:jc w:val="both"/>
        <w:textAlignment w:val="auto"/>
        <w:rPr>
          <w:rFonts w:hint="eastAsia" w:ascii="仿宋_GB2312" w:hAnsi="仿宋" w:eastAsia="仿宋_GB2312" w:cs="仿宋"/>
          <w:bCs/>
          <w:color w:val="000000"/>
          <w:sz w:val="28"/>
          <w:szCs w:val="28"/>
        </w:rPr>
      </w:pPr>
      <w:r>
        <w:rPr>
          <w:rFonts w:hint="eastAsia" w:ascii="仿宋_GB2312" w:hAnsi="仿宋" w:eastAsia="仿宋_GB2312" w:cs="仿宋"/>
          <w:bCs/>
          <w:color w:val="000000"/>
          <w:sz w:val="28"/>
          <w:szCs w:val="28"/>
        </w:rPr>
        <w:t>未经发明专利权人许可，以生产经营为目的制造、使用、许诺销售、销售、进口其专利产品，或者使用其专利方法以及使用、许诺销售、销售、进口依照该专利方法直接获得的产品；</w:t>
      </w:r>
    </w:p>
    <w:p>
      <w:pPr>
        <w:pStyle w:val="7"/>
        <w:keepNext w:val="0"/>
        <w:keepLines w:val="0"/>
        <w:pageBreakBefore w:val="0"/>
        <w:widowControl w:val="0"/>
        <w:numPr>
          <w:ilvl w:val="0"/>
          <w:numId w:val="141"/>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bCs/>
          <w:color w:val="000000"/>
          <w:sz w:val="28"/>
          <w:szCs w:val="28"/>
        </w:rPr>
      </w:pPr>
      <w:r>
        <w:rPr>
          <w:rFonts w:hint="eastAsia" w:ascii="仿宋_GB2312" w:hAnsi="仿宋" w:eastAsia="仿宋_GB2312" w:cs="仿宋"/>
          <w:bCs/>
          <w:color w:val="000000"/>
          <w:sz w:val="28"/>
          <w:szCs w:val="28"/>
        </w:rPr>
        <w:t>未经实用新型专利权人许可，以生产经营为目的制造、使用、许诺销售、销售、进口其专利产品，或者使用其专利方法以及使用、许诺销售、销售、进口依照该专利方法直接获得的产品；</w:t>
      </w:r>
    </w:p>
    <w:p>
      <w:pPr>
        <w:pStyle w:val="7"/>
        <w:keepNext w:val="0"/>
        <w:keepLines w:val="0"/>
        <w:pageBreakBefore w:val="0"/>
        <w:widowControl w:val="0"/>
        <w:numPr>
          <w:ilvl w:val="0"/>
          <w:numId w:val="141"/>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bCs/>
          <w:color w:val="000000"/>
          <w:sz w:val="28"/>
          <w:szCs w:val="28"/>
        </w:rPr>
      </w:pPr>
      <w:r>
        <w:rPr>
          <w:rFonts w:hint="eastAsia" w:ascii="仿宋_GB2312" w:hAnsi="仿宋" w:eastAsia="仿宋_GB2312" w:cs="仿宋"/>
          <w:bCs/>
          <w:color w:val="000000"/>
          <w:sz w:val="28"/>
          <w:szCs w:val="28"/>
        </w:rPr>
        <w:t>未经外观专利权人许可，实施其专利，即为生产经营目的制造、许诺销售、销售、进口其外观设计专利产品。</w:t>
      </w:r>
    </w:p>
    <w:p>
      <w:pPr>
        <w:pStyle w:val="2"/>
        <w:keepNext w:val="0"/>
        <w:keepLines w:val="0"/>
        <w:pageBreakBefore w:val="0"/>
        <w:widowControl w:val="0"/>
        <w:kinsoku/>
        <w:wordWrap/>
        <w:overflowPunct/>
        <w:topLinePunct w:val="0"/>
        <w:bidi w:val="0"/>
        <w:adjustRightInd/>
        <w:snapToGrid/>
        <w:spacing w:beforeAutospacing="0" w:afterAutospacing="0" w:line="500" w:lineRule="exact"/>
        <w:ind w:firstLine="522" w:firstLineChars="200"/>
        <w:textAlignment w:val="auto"/>
        <w:rPr>
          <w:rFonts w:hint="eastAsia" w:ascii="楷体" w:hAnsi="楷体" w:eastAsia="楷体" w:cs="仿宋"/>
          <w:color w:val="000000"/>
          <w:sz w:val="28"/>
          <w:szCs w:val="28"/>
        </w:rPr>
      </w:pPr>
      <w:bookmarkStart w:id="186" w:name="_Toc18098"/>
      <w:r>
        <w:rPr>
          <w:rFonts w:hint="eastAsia" w:ascii="楷体" w:hAnsi="楷体" w:eastAsia="楷体" w:cs="仿宋"/>
          <w:color w:val="000000"/>
          <w:sz w:val="28"/>
          <w:szCs w:val="28"/>
        </w:rPr>
        <w:t>二、专利侵权的判定</w:t>
      </w:r>
      <w:bookmarkEnd w:id="186"/>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根据专利法第</w:t>
      </w:r>
      <w:r>
        <w:rPr>
          <w:rFonts w:hint="eastAsia" w:ascii="仿宋_GB2312" w:hAnsi="仿宋" w:eastAsia="仿宋_GB2312" w:cs="仿宋"/>
          <w:color w:val="000000"/>
          <w:sz w:val="28"/>
          <w:szCs w:val="28"/>
          <w:lang w:eastAsia="zh-CN"/>
        </w:rPr>
        <w:t>六十四</w:t>
      </w:r>
      <w:r>
        <w:rPr>
          <w:rFonts w:hint="eastAsia" w:ascii="仿宋_GB2312" w:hAnsi="仿宋" w:eastAsia="仿宋_GB2312" w:cs="仿宋"/>
          <w:color w:val="000000"/>
          <w:sz w:val="28"/>
          <w:szCs w:val="28"/>
        </w:rPr>
        <w:t>条</w:t>
      </w:r>
      <w:r>
        <w:rPr>
          <w:rFonts w:hint="eastAsia" w:ascii="仿宋_GB2312" w:hAnsi="仿宋" w:eastAsia="仿宋_GB2312" w:cs="仿宋"/>
          <w:color w:val="000000"/>
          <w:sz w:val="28"/>
          <w:szCs w:val="28"/>
          <w:lang w:eastAsia="zh-CN"/>
        </w:rPr>
        <w:t>，</w:t>
      </w:r>
      <w:r>
        <w:rPr>
          <w:rFonts w:hint="eastAsia" w:ascii="仿宋_GB2312" w:hAnsi="仿宋" w:eastAsia="仿宋_GB2312" w:cs="仿宋"/>
          <w:color w:val="000000"/>
          <w:sz w:val="28"/>
          <w:szCs w:val="28"/>
        </w:rPr>
        <w:t>发明或者实用新型专利权的保护范围以其权利要求的内容为准，说明书及附图可以用于解释权利要求的内容。</w:t>
      </w:r>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外观设计专利权的保护范围以表示在图片或者照片中的该产品的外观设计为准，简要说明可以用于解释图片或者照片所表示的该产品的外观设计。</w:t>
      </w:r>
    </w:p>
    <w:p>
      <w:pPr>
        <w:pStyle w:val="2"/>
        <w:keepNext w:val="0"/>
        <w:keepLines w:val="0"/>
        <w:pageBreakBefore w:val="0"/>
        <w:widowControl w:val="0"/>
        <w:kinsoku/>
        <w:wordWrap/>
        <w:overflowPunct/>
        <w:topLinePunct w:val="0"/>
        <w:bidi w:val="0"/>
        <w:adjustRightInd/>
        <w:snapToGrid/>
        <w:spacing w:beforeAutospacing="0" w:afterAutospacing="0" w:line="500" w:lineRule="exact"/>
        <w:ind w:firstLine="522" w:firstLineChars="200"/>
        <w:textAlignment w:val="auto"/>
        <w:rPr>
          <w:rFonts w:hint="eastAsia" w:ascii="仿宋_GB2312" w:hAnsi="仿宋" w:eastAsia="仿宋_GB2312" w:cs="仿宋"/>
          <w:b w:val="0"/>
          <w:bCs/>
          <w:color w:val="000000"/>
          <w:sz w:val="28"/>
          <w:szCs w:val="28"/>
        </w:rPr>
      </w:pPr>
      <w:bookmarkStart w:id="187" w:name="_Toc29787"/>
      <w:r>
        <w:rPr>
          <w:rFonts w:hint="eastAsia" w:ascii="仿宋_GB2312" w:hAnsi="仿宋" w:eastAsia="仿宋_GB2312" w:cs="仿宋"/>
          <w:b w:val="0"/>
          <w:color w:val="000000"/>
          <w:sz w:val="28"/>
          <w:szCs w:val="28"/>
        </w:rPr>
        <w:t>（一）发明、实用新型专利权的侵权判定</w:t>
      </w:r>
      <w:bookmarkEnd w:id="187"/>
    </w:p>
    <w:p>
      <w:pPr>
        <w:keepNext w:val="0"/>
        <w:keepLines w:val="0"/>
        <w:pageBreakBefore w:val="0"/>
        <w:widowControl w:val="0"/>
        <w:kinsoku/>
        <w:wordWrap/>
        <w:overflowPunct/>
        <w:topLinePunct w:val="0"/>
        <w:bidi w:val="0"/>
        <w:adjustRightInd/>
        <w:snapToGrid/>
        <w:spacing w:beforeAutospacing="0" w:afterAutospacing="0" w:line="500" w:lineRule="exact"/>
        <w:ind w:firstLine="52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1.技术特征的比对原则及方法</w:t>
      </w:r>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全面覆盖原则。全面覆盖原则是判断一项技术方案是否侵犯发明或者实用新型专利权的基本原则。具体含义是指，在判定被诉侵权技术方案是否落入专利权的保护范围，应当审查权利人主张的权利要求所记载的全部技术特征，并以权利要求中记载的全部技术特征与被诉侵权技术方案所对应的全部技术特征逐一进行比较。被诉侵权技术方案包含与权利要求记载的全部技术特征相同或者等同的技术特征的， 应当认定其落入专利权的保护范围。</w:t>
      </w:r>
    </w:p>
    <w:p>
      <w:pPr>
        <w:pStyle w:val="2"/>
        <w:keepNext w:val="0"/>
        <w:keepLines w:val="0"/>
        <w:pageBreakBefore w:val="0"/>
        <w:widowControl w:val="0"/>
        <w:kinsoku/>
        <w:wordWrap/>
        <w:overflowPunct/>
        <w:topLinePunct w:val="0"/>
        <w:bidi w:val="0"/>
        <w:adjustRightInd/>
        <w:snapToGrid/>
        <w:spacing w:beforeAutospacing="0" w:afterAutospacing="0" w:line="500" w:lineRule="exact"/>
        <w:ind w:firstLine="522" w:firstLineChars="200"/>
        <w:textAlignment w:val="auto"/>
        <w:rPr>
          <w:rFonts w:hint="eastAsia" w:ascii="仿宋_GB2312" w:hAnsi="仿宋" w:eastAsia="仿宋_GB2312" w:cs="仿宋"/>
          <w:b w:val="0"/>
          <w:bCs/>
          <w:color w:val="000000"/>
          <w:sz w:val="28"/>
          <w:szCs w:val="28"/>
        </w:rPr>
      </w:pPr>
      <w:bookmarkStart w:id="188" w:name="_Toc20356"/>
      <w:r>
        <w:rPr>
          <w:rFonts w:hint="eastAsia" w:ascii="仿宋_GB2312" w:hAnsi="仿宋" w:eastAsia="仿宋_GB2312" w:cs="仿宋"/>
          <w:b w:val="0"/>
          <w:color w:val="000000"/>
          <w:sz w:val="28"/>
          <w:szCs w:val="28"/>
        </w:rPr>
        <w:t>2.相同侵权</w:t>
      </w:r>
      <w:bookmarkEnd w:id="188"/>
    </w:p>
    <w:p>
      <w:pPr>
        <w:pStyle w:val="7"/>
        <w:keepNext w:val="0"/>
        <w:keepLines w:val="0"/>
        <w:pageBreakBefore w:val="0"/>
        <w:widowControl w:val="0"/>
        <w:numPr>
          <w:ilvl w:val="0"/>
          <w:numId w:val="142"/>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被诉侵权技术方案包含了与权利要求限定的一项完整技术方案记载的全部技术特征相同的对应技术特征，属于相同侵权。</w:t>
      </w:r>
    </w:p>
    <w:p>
      <w:pPr>
        <w:pStyle w:val="7"/>
        <w:keepNext w:val="0"/>
        <w:keepLines w:val="0"/>
        <w:pageBreakBefore w:val="0"/>
        <w:widowControl w:val="0"/>
        <w:numPr>
          <w:ilvl w:val="0"/>
          <w:numId w:val="142"/>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被诉侵权技术方案在包含了权利要求中的全部技术特征的基础上，又增加了新的技术特征的，仍然落入专利权的保护范围，但专利文件明确排除该技术特征的除外。</w:t>
      </w:r>
    </w:p>
    <w:p>
      <w:pPr>
        <w:pStyle w:val="7"/>
        <w:keepNext w:val="0"/>
        <w:keepLines w:val="0"/>
        <w:pageBreakBefore w:val="0"/>
        <w:widowControl w:val="0"/>
        <w:numPr>
          <w:ilvl w:val="0"/>
          <w:numId w:val="142"/>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诉侵权技术方案在包含一项封闭式权利要求全部技术特征的基础上，增加其他技术特征的，应当认定被诉侵权技术方案未落入该权利要求的保护范围。但对于医药、化学领域中涉及组分的封闭式权利要求，该增加的技术特征属于不可避免的常规数量杂质的除外。</w:t>
      </w:r>
    </w:p>
    <w:p>
      <w:pPr>
        <w:pStyle w:val="7"/>
        <w:keepNext w:val="0"/>
        <w:keepLines w:val="0"/>
        <w:pageBreakBefore w:val="0"/>
        <w:widowControl w:val="0"/>
        <w:numPr>
          <w:ilvl w:val="0"/>
          <w:numId w:val="142"/>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对于包含功能性特征的权利要求，与权利要求书限定的结构、步骤特征相比，被诉侵权技术方案的相应结构、步骤特征是以相同的手段，实现了相同的功能，产生了相同的效果，或者虽有区别，但是以基本相同的手段，实现了相同的功能，达到相同的效果，而且本领域普通技术人员在专利申请日时无需经过创造性劳动就能够联想到 的，应当认定该相应结构、步骤特征与上述功能性特征相同。</w:t>
      </w:r>
    </w:p>
    <w:p>
      <w:pPr>
        <w:pStyle w:val="7"/>
        <w:keepNext w:val="0"/>
        <w:keepLines w:val="0"/>
        <w:pageBreakBefore w:val="0"/>
        <w:widowControl w:val="0"/>
        <w:numPr>
          <w:ilvl w:val="0"/>
          <w:numId w:val="142"/>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在判断上述结构、步骤特征是否构成相同特征时，应当将其作为一个技术特征，而不应将其区分为两个以上的技术特征。</w:t>
      </w:r>
    </w:p>
    <w:p>
      <w:pPr>
        <w:pStyle w:val="7"/>
        <w:keepNext w:val="0"/>
        <w:keepLines w:val="0"/>
        <w:pageBreakBefore w:val="0"/>
        <w:widowControl w:val="0"/>
        <w:numPr>
          <w:ilvl w:val="0"/>
          <w:numId w:val="142"/>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在后获得专利权的发明或实用新型是对在先发明或实用新型专利的改进，在后专利的某项权利要求记载了在先专利某项权利要求中记载的全部技术特征，又增加了另外的技术特征的，在后专利属于从属专利。实施从属专利落入在先专利的保护范围。</w:t>
      </w:r>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下列情形属于从属专利:</w:t>
      </w:r>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①在包含了在先产品专利权利要求的全部技术特征的基础上，增加了新的技术特征；</w:t>
      </w:r>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②在原有产品专利权利要求的基础上，发现了原来未曾发现的新的用途；</w:t>
      </w:r>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③在原有方法专利权利要求的基础上，增加了新的技术特征。</w:t>
      </w:r>
    </w:p>
    <w:p>
      <w:pPr>
        <w:pStyle w:val="2"/>
        <w:keepNext w:val="0"/>
        <w:keepLines w:val="0"/>
        <w:pageBreakBefore w:val="0"/>
        <w:widowControl w:val="0"/>
        <w:kinsoku/>
        <w:wordWrap/>
        <w:overflowPunct/>
        <w:topLinePunct w:val="0"/>
        <w:bidi w:val="0"/>
        <w:adjustRightInd/>
        <w:snapToGrid/>
        <w:spacing w:beforeAutospacing="0" w:afterAutospacing="0" w:line="500" w:lineRule="exact"/>
        <w:ind w:firstLine="522" w:firstLineChars="200"/>
        <w:textAlignment w:val="auto"/>
        <w:rPr>
          <w:rFonts w:hint="eastAsia" w:ascii="仿宋_GB2312" w:hAnsi="仿宋" w:eastAsia="仿宋_GB2312" w:cs="仿宋"/>
          <w:b w:val="0"/>
          <w:bCs/>
          <w:color w:val="000000"/>
          <w:sz w:val="28"/>
          <w:szCs w:val="28"/>
        </w:rPr>
      </w:pPr>
      <w:bookmarkStart w:id="189" w:name="_Toc24653"/>
      <w:r>
        <w:rPr>
          <w:rFonts w:hint="eastAsia" w:ascii="仿宋_GB2312" w:hAnsi="仿宋" w:eastAsia="仿宋_GB2312" w:cs="仿宋"/>
          <w:b w:val="0"/>
          <w:color w:val="000000"/>
          <w:sz w:val="28"/>
          <w:szCs w:val="28"/>
        </w:rPr>
        <w:t>3.等同侵权</w:t>
      </w:r>
      <w:bookmarkEnd w:id="189"/>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在专利侵权判定中，在相同侵权不成立的情况下，应当判断是否构成等同侵权。被诉侵权技术方案构成等同侵权应当有充分的证据支持，权利人应当举证或进行充分说明。被诉侵权技术方案有一个或者一个以上技术特征与权利要求中的相应技术特征从字面上看不相同，但是属于等同特征，在此基础上，被诉侵权技术方案被认定落入专利权保护范围的，属于等同侵权。</w:t>
      </w:r>
    </w:p>
    <w:p>
      <w:pPr>
        <w:pStyle w:val="7"/>
        <w:keepNext w:val="0"/>
        <w:keepLines w:val="0"/>
        <w:pageBreakBefore w:val="0"/>
        <w:widowControl w:val="0"/>
        <w:numPr>
          <w:ilvl w:val="0"/>
          <w:numId w:val="143"/>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等同特征，是指与权利要求所记载的技术特征以基本相同的 手段，实现基本相同的功能，达到基本相同的效果，并且本领域普通 技术人员无需经过创造性劳动就能够想到的技术特征。在是否构成等同特征的判断中，手段是技术特征本身的技术内容，功能和效果是技术特征的外部特性，技术特征的功能和效果取决于该技术特征的手段。</w:t>
      </w:r>
    </w:p>
    <w:p>
      <w:pPr>
        <w:pStyle w:val="7"/>
        <w:keepNext w:val="0"/>
        <w:keepLines w:val="0"/>
        <w:pageBreakBefore w:val="0"/>
        <w:widowControl w:val="0"/>
        <w:numPr>
          <w:ilvl w:val="0"/>
          <w:numId w:val="143"/>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基本相同的手段，是指被诉侵权技术方案中的技术特征与权利要求对应技术特征在技术内容上并无实质性差异。</w:t>
      </w:r>
    </w:p>
    <w:p>
      <w:pPr>
        <w:pStyle w:val="7"/>
        <w:keepNext w:val="0"/>
        <w:keepLines w:val="0"/>
        <w:pageBreakBefore w:val="0"/>
        <w:widowControl w:val="0"/>
        <w:numPr>
          <w:ilvl w:val="0"/>
          <w:numId w:val="143"/>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基本相同的功能，是指被诉侵权技术方案中的技术特征与权利要求对应技术特征在各自技术方案中所起的作用基本相同。被诉侵权技术方案中的技术特征与权利要求对应技术特征相比还有其他作用的，不予考虑。</w:t>
      </w:r>
    </w:p>
    <w:p>
      <w:pPr>
        <w:pStyle w:val="7"/>
        <w:keepNext w:val="0"/>
        <w:keepLines w:val="0"/>
        <w:pageBreakBefore w:val="0"/>
        <w:widowControl w:val="0"/>
        <w:numPr>
          <w:ilvl w:val="0"/>
          <w:numId w:val="143"/>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基本相同的效果，是指被诉侵权技术方案中的技术特征与权利要求对应技术特征在各自技术方案中所达到的技术效果基本相当。被诉侵权技术方案中的技术特征与权利要求对应技术特征相比还有 其他技术效果的，不予考虑。</w:t>
      </w:r>
    </w:p>
    <w:p>
      <w:pPr>
        <w:pStyle w:val="7"/>
        <w:keepNext w:val="0"/>
        <w:keepLines w:val="0"/>
        <w:pageBreakBefore w:val="0"/>
        <w:widowControl w:val="0"/>
        <w:numPr>
          <w:ilvl w:val="0"/>
          <w:numId w:val="143"/>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无需经过创造性劳动就能够想到，是指对于本领域普通技术人员而言，被诉侵权技术方案中的技术特征与权利要求对应技术特征相互替换是容易想到的。在具体判断时可考虑以下因素：两技术特征是否属于同一或相近的技术类别；两技术特征所利用的工作原理是否相同；两技术特征之间是否存在简单的直接替换关系，即两技术特征之间的替换是否需对其他部分作出重新设计，但简单的尺寸和接口位置的调整不属于重新设计。在判定是否构成等同侵权时，对手段、功能、效果以及是否需要创造性劳动应当依次进行判断，但手段、功能、效果的判断起主要作用。</w:t>
      </w:r>
    </w:p>
    <w:p>
      <w:pPr>
        <w:pStyle w:val="7"/>
        <w:keepNext w:val="0"/>
        <w:keepLines w:val="0"/>
        <w:pageBreakBefore w:val="0"/>
        <w:widowControl w:val="0"/>
        <w:numPr>
          <w:ilvl w:val="0"/>
          <w:numId w:val="143"/>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等同特征的替换应当是具体的、对应的技术特征之间的替换， 而不是完整技术方案之间的替换。等同特征，可以是权利要求中的若干技术特征对应于被诉侵权技术方案中的一个技术特征，也可以是权利要求中的一个技术特征对应于被诉侵权技术方案中的若干技术特 征的组合。</w:t>
      </w:r>
    </w:p>
    <w:p>
      <w:pPr>
        <w:pStyle w:val="7"/>
        <w:keepNext w:val="0"/>
        <w:keepLines w:val="0"/>
        <w:pageBreakBefore w:val="0"/>
        <w:widowControl w:val="0"/>
        <w:numPr>
          <w:ilvl w:val="0"/>
          <w:numId w:val="143"/>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等同特征替换，既包括对权利要求中区别技术特征的替换， 也包括对权利要求前序部分中的技术特征的替换。</w:t>
      </w:r>
    </w:p>
    <w:p>
      <w:pPr>
        <w:pStyle w:val="7"/>
        <w:keepNext w:val="0"/>
        <w:keepLines w:val="0"/>
        <w:pageBreakBefore w:val="0"/>
        <w:widowControl w:val="0"/>
        <w:numPr>
          <w:ilvl w:val="0"/>
          <w:numId w:val="143"/>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权利要求采用数值范围特征的，权利人主张与其不同的数值特征属于等同特征的，一般不予支持。但该不同的数值特征属于申请日后出现的技术内容的除外。</w:t>
      </w:r>
    </w:p>
    <w:p>
      <w:pPr>
        <w:pStyle w:val="7"/>
        <w:keepNext w:val="0"/>
        <w:keepLines w:val="0"/>
        <w:pageBreakBefore w:val="0"/>
        <w:widowControl w:val="0"/>
        <w:numPr>
          <w:ilvl w:val="0"/>
          <w:numId w:val="143"/>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对于发明权利要求中的非发明点技术特征、修改形成的技术特征或者实用新型权利要求中的技术特征，如果专利权人在专利申请或修改时明知或足以预见到存在替代性技术特征而未将其纳入专利权的保护范围，在侵权判定中，权利人以构成等同特征为由主张将该替代性技术方案纳入专利权的保护范围的，不予支持。</w:t>
      </w:r>
    </w:p>
    <w:p>
      <w:pPr>
        <w:pStyle w:val="7"/>
        <w:keepNext w:val="0"/>
        <w:keepLines w:val="0"/>
        <w:pageBreakBefore w:val="0"/>
        <w:widowControl w:val="0"/>
        <w:numPr>
          <w:ilvl w:val="0"/>
          <w:numId w:val="143"/>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被诉侵权技术方案中的技术特征与权利要求中的技术特征是否等同进行判断时，被诉侵权人可以以专利权人对该等同特征已经放弃、应当禁止其反悔为由进行抗辩。</w:t>
      </w:r>
    </w:p>
    <w:p>
      <w:pPr>
        <w:pStyle w:val="7"/>
        <w:keepNext w:val="0"/>
        <w:keepLines w:val="0"/>
        <w:pageBreakBefore w:val="0"/>
        <w:widowControl w:val="0"/>
        <w:numPr>
          <w:ilvl w:val="0"/>
          <w:numId w:val="143"/>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禁止反悔，是指在专利授权或者无效程序中，专利申请人或专利权人通过对权利要求、说明书的限缩性修改或者意见陈述的方式放弃的保护范围，在侵犯专利权诉讼中确定是否构成等同侵权时，禁止权利人将已放弃的内容重新纳入专利权的保护范围。</w:t>
      </w:r>
    </w:p>
    <w:p>
      <w:pPr>
        <w:pStyle w:val="7"/>
        <w:keepNext w:val="0"/>
        <w:keepLines w:val="0"/>
        <w:pageBreakBefore w:val="0"/>
        <w:widowControl w:val="0"/>
        <w:numPr>
          <w:ilvl w:val="0"/>
          <w:numId w:val="143"/>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专利申请人或专利权人限制或者部分放弃的保护范围，应当是基于克服缺乏新颖性或创造性、缺少必要技术特征和权利要求得不到说明书的支持以及说明书未充分公开等不能获得授权的实质性缺陷的需要。</w:t>
      </w:r>
    </w:p>
    <w:p>
      <w:pPr>
        <w:pStyle w:val="7"/>
        <w:keepNext w:val="0"/>
        <w:keepLines w:val="0"/>
        <w:pageBreakBefore w:val="0"/>
        <w:widowControl w:val="0"/>
        <w:numPr>
          <w:ilvl w:val="0"/>
          <w:numId w:val="143"/>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权利人不能说明专利申请人或专利权人修改专利文件原因的，可以推定其修改是为克服不能获得授权的实质性缺陷。</w:t>
      </w:r>
    </w:p>
    <w:p>
      <w:pPr>
        <w:pStyle w:val="7"/>
        <w:keepNext w:val="0"/>
        <w:keepLines w:val="0"/>
        <w:pageBreakBefore w:val="0"/>
        <w:widowControl w:val="0"/>
        <w:numPr>
          <w:ilvl w:val="0"/>
          <w:numId w:val="143"/>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专利申请人或专利权人对权利要求保护范围所作的限缩性修改或者陈述必须是明示的，而且已经被记录在书面陈述、专利审查档案、生效的法律文书中。</w:t>
      </w:r>
    </w:p>
    <w:p>
      <w:pPr>
        <w:pStyle w:val="7"/>
        <w:keepNext w:val="0"/>
        <w:keepLines w:val="0"/>
        <w:pageBreakBefore w:val="0"/>
        <w:widowControl w:val="0"/>
        <w:numPr>
          <w:ilvl w:val="0"/>
          <w:numId w:val="143"/>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权利人能够证明专利申请人、专利权人在专利授权确权程序中对权利要求书、说明书及附图的限缩性修改或者陈述被明确否定的，应当认定该修改或者陈述未导致技术方案的放弃。</w:t>
      </w:r>
    </w:p>
    <w:p>
      <w:pPr>
        <w:pStyle w:val="2"/>
        <w:keepNext w:val="0"/>
        <w:keepLines w:val="0"/>
        <w:pageBreakBefore w:val="0"/>
        <w:widowControl w:val="0"/>
        <w:kinsoku/>
        <w:wordWrap/>
        <w:overflowPunct/>
        <w:topLinePunct w:val="0"/>
        <w:bidi w:val="0"/>
        <w:adjustRightInd/>
        <w:snapToGrid/>
        <w:spacing w:beforeAutospacing="0" w:afterAutospacing="0" w:line="500" w:lineRule="exact"/>
        <w:ind w:firstLine="522" w:firstLineChars="200"/>
        <w:textAlignment w:val="auto"/>
        <w:rPr>
          <w:rFonts w:hint="eastAsia" w:ascii="仿宋_GB2312" w:hAnsi="仿宋" w:eastAsia="仿宋_GB2312" w:cs="仿宋"/>
          <w:b w:val="0"/>
          <w:bCs/>
          <w:color w:val="000000"/>
          <w:sz w:val="28"/>
          <w:szCs w:val="28"/>
        </w:rPr>
      </w:pPr>
      <w:bookmarkStart w:id="190" w:name="_Toc6932"/>
      <w:r>
        <w:rPr>
          <w:rFonts w:hint="eastAsia" w:ascii="仿宋_GB2312" w:hAnsi="仿宋" w:eastAsia="仿宋_GB2312" w:cs="仿宋"/>
          <w:b w:val="0"/>
          <w:color w:val="000000"/>
          <w:sz w:val="28"/>
          <w:szCs w:val="28"/>
        </w:rPr>
        <w:t>（二）外观设计专利的侵权判定</w:t>
      </w:r>
      <w:bookmarkEnd w:id="190"/>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在与外观设计产品相同或者相近种类产品上，采用与授权外观设计相同或者相近似外观设计的，应当认定被诉侵权外观设计落入外观设计专利的保护范围。</w:t>
      </w:r>
    </w:p>
    <w:p>
      <w:pPr>
        <w:pStyle w:val="7"/>
        <w:keepNext w:val="0"/>
        <w:keepLines w:val="0"/>
        <w:pageBreakBefore w:val="0"/>
        <w:widowControl w:val="0"/>
        <w:numPr>
          <w:ilvl w:val="0"/>
          <w:numId w:val="144"/>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进行外观设计侵权判定，应当以授权公告中表示该外观设计的图片或者照片为依据进行比较，而不应以权利人提交的外观设计专利产品实物为依据。但是，该专利产品实物与表示在专利公告文件的图片或照片中的外观设计产品完全一致，并且各方当事人均无异议的除外。</w:t>
      </w:r>
    </w:p>
    <w:p>
      <w:pPr>
        <w:pStyle w:val="7"/>
        <w:keepNext w:val="0"/>
        <w:keepLines w:val="0"/>
        <w:pageBreakBefore w:val="0"/>
        <w:widowControl w:val="0"/>
        <w:numPr>
          <w:ilvl w:val="0"/>
          <w:numId w:val="144"/>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进行外观设计侵权判定，应当通过一般消费者的视觉进行直接观察对比，不应通过放大镜、显微镜等其他工具进行比较。但是， 如果表示在图片或者照片中的产品外观设计在申请专利时是经过放大的，则在侵权比对时也应将被诉侵权产品进行相应放大进行比对。</w:t>
      </w:r>
    </w:p>
    <w:p>
      <w:pPr>
        <w:pStyle w:val="7"/>
        <w:keepNext w:val="0"/>
        <w:keepLines w:val="0"/>
        <w:pageBreakBefore w:val="0"/>
        <w:widowControl w:val="0"/>
        <w:numPr>
          <w:ilvl w:val="0"/>
          <w:numId w:val="144"/>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进行外观设计侵权判定，应当首先审查被诉侵权产品与外观设计产品是否属于相同或者相近种类产品。</w:t>
      </w:r>
    </w:p>
    <w:p>
      <w:pPr>
        <w:pStyle w:val="7"/>
        <w:keepNext w:val="0"/>
        <w:keepLines w:val="0"/>
        <w:pageBreakBefore w:val="0"/>
        <w:widowControl w:val="0"/>
        <w:numPr>
          <w:ilvl w:val="0"/>
          <w:numId w:val="144"/>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图形用户界面外观设计产品种类的确定应以使用该图形用户界面的产品为准。</w:t>
      </w:r>
    </w:p>
    <w:p>
      <w:pPr>
        <w:pStyle w:val="7"/>
        <w:keepNext w:val="0"/>
        <w:keepLines w:val="0"/>
        <w:pageBreakBefore w:val="0"/>
        <w:widowControl w:val="0"/>
        <w:numPr>
          <w:ilvl w:val="0"/>
          <w:numId w:val="144"/>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认定产品种类是否相同或者相近，应当以外观设计产品的功能、用途、使用环境为依据。</w:t>
      </w:r>
    </w:p>
    <w:p>
      <w:pPr>
        <w:pStyle w:val="7"/>
        <w:keepNext w:val="0"/>
        <w:keepLines w:val="0"/>
        <w:pageBreakBefore w:val="0"/>
        <w:widowControl w:val="0"/>
        <w:numPr>
          <w:ilvl w:val="0"/>
          <w:numId w:val="144"/>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确定产品的用途时，可以按照下列顺序参考相关因素综合确定：外观设计的简要说明、国际外观设计分类表、产品的功能以及产品销售、实际使用情况等因素。</w:t>
      </w:r>
    </w:p>
    <w:p>
      <w:pPr>
        <w:pStyle w:val="7"/>
        <w:keepNext w:val="0"/>
        <w:keepLines w:val="0"/>
        <w:pageBreakBefore w:val="0"/>
        <w:widowControl w:val="0"/>
        <w:numPr>
          <w:ilvl w:val="0"/>
          <w:numId w:val="144"/>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如果外观设计产品与被诉侵权外观设计产品的功能、用途、使用环境没有重叠，则外观设计产品与被诉侵权产品不属于相同或者相近类别产品。</w:t>
      </w:r>
    </w:p>
    <w:p>
      <w:pPr>
        <w:pStyle w:val="7"/>
        <w:keepNext w:val="0"/>
        <w:keepLines w:val="0"/>
        <w:pageBreakBefore w:val="0"/>
        <w:widowControl w:val="0"/>
        <w:numPr>
          <w:ilvl w:val="0"/>
          <w:numId w:val="144"/>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判定是否侵犯外观设计专利，应当以是否相同或者相近似为标准，而不以是否构成商标法意义上的混淆、误认为标准。</w:t>
      </w:r>
    </w:p>
    <w:p>
      <w:pPr>
        <w:pStyle w:val="7"/>
        <w:keepNext w:val="0"/>
        <w:keepLines w:val="0"/>
        <w:pageBreakBefore w:val="0"/>
        <w:widowControl w:val="0"/>
        <w:numPr>
          <w:ilvl w:val="0"/>
          <w:numId w:val="144"/>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判断外观设计是否相同或相近似时以全面观察设计特征、综合判断整体视觉效果为原则，即应当对授权外观设计、被诉侵权设计可视部分的全部设计特征进行逐个分析比对后，对能够影响产品外观设计整体视觉效果的所有因素进行综合考虑后作出判断。</w:t>
      </w:r>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下列情形通常对外观设计的整体视觉效果更具有影响：</w:t>
      </w:r>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eastAsia="zh-CN"/>
        </w:rPr>
        <w:t>（1）</w:t>
      </w:r>
      <w:r>
        <w:rPr>
          <w:rFonts w:hint="eastAsia" w:ascii="仿宋_GB2312" w:hAnsi="仿宋" w:eastAsia="仿宋_GB2312" w:cs="仿宋"/>
          <w:color w:val="000000"/>
          <w:sz w:val="28"/>
          <w:szCs w:val="28"/>
        </w:rPr>
        <w:t>产品正常使用时容易被直接观察到的部位相对于其他部位；</w:t>
      </w:r>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eastAsia="zh-CN"/>
        </w:rPr>
        <w:t>（2）</w:t>
      </w:r>
      <w:r>
        <w:rPr>
          <w:rFonts w:hint="eastAsia" w:ascii="仿宋_GB2312" w:hAnsi="仿宋" w:eastAsia="仿宋_GB2312" w:cs="仿宋"/>
          <w:color w:val="000000"/>
          <w:sz w:val="28"/>
          <w:szCs w:val="28"/>
        </w:rPr>
        <w:t>外观设计的设计要点相对于其他设计特征。</w:t>
      </w:r>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在比对时，可对外观设计和被诉侵权产品设计特征的异同点进行客观、全面的总结，逐一判断各异同点对整体视觉效果造成影响的显著程度，最终通过整体观察、综合判断进行认定。</w:t>
      </w:r>
    </w:p>
    <w:p>
      <w:pPr>
        <w:pStyle w:val="7"/>
        <w:keepNext w:val="0"/>
        <w:keepLines w:val="0"/>
        <w:pageBreakBefore w:val="0"/>
        <w:widowControl w:val="0"/>
        <w:numPr>
          <w:ilvl w:val="0"/>
          <w:numId w:val="145"/>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判断外观设计是否相同或者相近似，应当以具有一般消费者知识水平和认知能力的判断主体的整体视觉效果为标准，而不应以该外观设计产品的一般设计人员，或产品实际购买者的观察能力为标准。</w:t>
      </w:r>
    </w:p>
    <w:p>
      <w:pPr>
        <w:pStyle w:val="7"/>
        <w:keepNext w:val="0"/>
        <w:keepLines w:val="0"/>
        <w:pageBreakBefore w:val="0"/>
        <w:widowControl w:val="0"/>
        <w:numPr>
          <w:ilvl w:val="0"/>
          <w:numId w:val="145"/>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一般消费者，是一种假设的“人”，对其应当从知识水平和认知能力两方面进行界定，界定时应当考虑外观设计专利申请日时授权外观设计所属相同或者相近种类产品的设计空间。</w:t>
      </w:r>
    </w:p>
    <w:p>
      <w:pPr>
        <w:pStyle w:val="7"/>
        <w:keepNext w:val="0"/>
        <w:keepLines w:val="0"/>
        <w:pageBreakBefore w:val="0"/>
        <w:widowControl w:val="0"/>
        <w:numPr>
          <w:ilvl w:val="0"/>
          <w:numId w:val="145"/>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一般消费者的知识水平和认知能力取决于现有设计的状况。当事人应当依据现有设计的状况主张一般消费者的知识水平和认知能力。</w:t>
      </w:r>
    </w:p>
    <w:p>
      <w:pPr>
        <w:pStyle w:val="7"/>
        <w:keepNext w:val="0"/>
        <w:keepLines w:val="0"/>
        <w:pageBreakBefore w:val="0"/>
        <w:widowControl w:val="0"/>
        <w:numPr>
          <w:ilvl w:val="0"/>
          <w:numId w:val="145"/>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判断外观设计是否相同或者相近似时，可以要求当事人提交证据证明相关设计特征的设计空间及现有设计状况。设计空间是指设计者在创作特定产品外观设计时的自由度。设计空间受如下条件的限制：</w:t>
      </w:r>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eastAsia="zh-CN"/>
        </w:rPr>
        <w:t>（1）</w:t>
      </w:r>
      <w:r>
        <w:rPr>
          <w:rFonts w:hint="eastAsia" w:ascii="仿宋_GB2312" w:hAnsi="仿宋" w:eastAsia="仿宋_GB2312" w:cs="仿宋"/>
          <w:color w:val="000000"/>
          <w:sz w:val="28"/>
          <w:szCs w:val="28"/>
        </w:rPr>
        <w:t>产品或其中零部件的技术功能；</w:t>
      </w:r>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eastAsia="zh-CN"/>
        </w:rPr>
        <w:t>（2）</w:t>
      </w:r>
      <w:r>
        <w:rPr>
          <w:rFonts w:hint="eastAsia" w:ascii="仿宋_GB2312" w:hAnsi="仿宋" w:eastAsia="仿宋_GB2312" w:cs="仿宋"/>
          <w:color w:val="000000"/>
          <w:sz w:val="28"/>
          <w:szCs w:val="28"/>
        </w:rPr>
        <w:t>采用该类产品常见特征的必要性；</w:t>
      </w:r>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eastAsia="zh-CN"/>
        </w:rPr>
        <w:t>（3）</w:t>
      </w:r>
      <w:r>
        <w:rPr>
          <w:rFonts w:hint="eastAsia" w:ascii="仿宋_GB2312" w:hAnsi="仿宋" w:eastAsia="仿宋_GB2312" w:cs="仿宋"/>
          <w:color w:val="000000"/>
          <w:sz w:val="28"/>
          <w:szCs w:val="28"/>
        </w:rPr>
        <w:t>现有设计的拥挤程度；</w:t>
      </w:r>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eastAsia="zh-CN"/>
        </w:rPr>
        <w:t>（4）</w:t>
      </w:r>
      <w:r>
        <w:rPr>
          <w:rFonts w:hint="eastAsia" w:ascii="仿宋_GB2312" w:hAnsi="仿宋" w:eastAsia="仿宋_GB2312" w:cs="仿宋"/>
          <w:color w:val="000000"/>
          <w:sz w:val="28"/>
          <w:szCs w:val="28"/>
        </w:rPr>
        <w:t>其他可能对设计空间产生影响的因素，如经济因素（降低成本）等。</w:t>
      </w:r>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14</w:t>
      </w:r>
      <w:r>
        <w:rPr>
          <w:rFonts w:hint="eastAsia" w:ascii="仿宋_GB2312" w:hAnsi="仿宋" w:eastAsia="仿宋_GB2312" w:cs="仿宋"/>
          <w:color w:val="000000"/>
          <w:sz w:val="28"/>
          <w:szCs w:val="28"/>
          <w:lang w:eastAsia="zh-CN"/>
        </w:rPr>
        <w:t>.</w:t>
      </w:r>
      <w:r>
        <w:rPr>
          <w:rFonts w:hint="eastAsia" w:ascii="仿宋_GB2312" w:hAnsi="仿宋" w:eastAsia="仿宋_GB2312" w:cs="仿宋"/>
          <w:color w:val="000000"/>
          <w:sz w:val="28"/>
          <w:szCs w:val="28"/>
        </w:rPr>
        <w:t>某一设计特征对应的现有设计越多，对该特征设计空间挤占越显著，其设计空间越小，替代性设计方案越少，细微差异会对整体视觉效果产生较大的影响；反之，现有设计越少，对该特征设计空间挤占越轻微，其设计空间越大，替代性设计方案越多，细微差异不会对整体视觉效果产生明显的影响。</w:t>
      </w:r>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15</w:t>
      </w:r>
      <w:r>
        <w:rPr>
          <w:rFonts w:hint="eastAsia" w:ascii="仿宋_GB2312" w:hAnsi="仿宋" w:eastAsia="仿宋_GB2312" w:cs="仿宋"/>
          <w:color w:val="000000"/>
          <w:sz w:val="28"/>
          <w:szCs w:val="28"/>
          <w:lang w:eastAsia="zh-CN"/>
        </w:rPr>
        <w:t>.</w:t>
      </w:r>
      <w:r>
        <w:rPr>
          <w:rFonts w:hint="eastAsia" w:ascii="仿宋_GB2312" w:hAnsi="仿宋" w:eastAsia="仿宋_GB2312" w:cs="仿宋"/>
          <w:color w:val="000000"/>
          <w:sz w:val="28"/>
          <w:szCs w:val="28"/>
        </w:rPr>
        <w:t>现有设计状况是指在外观设计专利申请日之前在国内外为公众所知的相同或相近种类产品的外观设计的整体状况以及各设计特征的具体状况。有证据证明现有设计具有与设计特征相同或基本相同的设计的，则该设计特征对产品整体视觉效果影响较小。</w:t>
      </w:r>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16</w:t>
      </w:r>
      <w:r>
        <w:rPr>
          <w:rFonts w:hint="eastAsia" w:ascii="仿宋_GB2312" w:hAnsi="仿宋" w:eastAsia="仿宋_GB2312" w:cs="仿宋"/>
          <w:color w:val="000000"/>
          <w:sz w:val="28"/>
          <w:szCs w:val="28"/>
          <w:lang w:eastAsia="zh-CN"/>
        </w:rPr>
        <w:t>.</w:t>
      </w:r>
      <w:r>
        <w:rPr>
          <w:rFonts w:hint="eastAsia" w:ascii="仿宋_GB2312" w:hAnsi="仿宋" w:eastAsia="仿宋_GB2312" w:cs="仿宋"/>
          <w:color w:val="000000"/>
          <w:sz w:val="28"/>
          <w:szCs w:val="28"/>
        </w:rPr>
        <w:t>被诉侵权设计与授权外观设计在整体视觉效果上无差异的， 应当认定两者相同；在整体视觉效果上无实质性差异的，应当认定两者构成相近似。具体而言:</w:t>
      </w:r>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eastAsia="zh-CN"/>
        </w:rPr>
        <w:t>（1）</w:t>
      </w:r>
      <w:r>
        <w:rPr>
          <w:rFonts w:hint="eastAsia" w:ascii="仿宋_GB2312" w:hAnsi="仿宋" w:eastAsia="仿宋_GB2312" w:cs="仿宋"/>
          <w:color w:val="000000"/>
          <w:sz w:val="28"/>
          <w:szCs w:val="28"/>
        </w:rPr>
        <w:t>如果两者的形状、图案、色彩等整体上的视觉效果无差异， 则应当认为两者构成相同;</w:t>
      </w:r>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eastAsia="zh-CN"/>
        </w:rPr>
        <w:t>（2）</w:t>
      </w:r>
      <w:r>
        <w:rPr>
          <w:rFonts w:hint="eastAsia" w:ascii="仿宋_GB2312" w:hAnsi="仿宋" w:eastAsia="仿宋_GB2312" w:cs="仿宋"/>
          <w:color w:val="000000"/>
          <w:sz w:val="28"/>
          <w:szCs w:val="28"/>
        </w:rPr>
        <w:t>如果两者的形状、图案、色彩等整体上的视觉效果不完全相同，但是没有明显区别的，则应当认为两者相近似；</w:t>
      </w:r>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eastAsia="zh-CN"/>
        </w:rPr>
        <w:t>（3）</w:t>
      </w:r>
      <w:r>
        <w:rPr>
          <w:rFonts w:hint="eastAsia" w:ascii="仿宋_GB2312" w:hAnsi="仿宋" w:eastAsia="仿宋_GB2312" w:cs="仿宋"/>
          <w:color w:val="000000"/>
          <w:sz w:val="28"/>
          <w:szCs w:val="28"/>
        </w:rPr>
        <w:t>如果两者的形状、图案、色彩等整体上的视觉效果不同，且有明显区别的，则应当认为两者不相同且不相近似。</w:t>
      </w:r>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17</w:t>
      </w:r>
      <w:r>
        <w:rPr>
          <w:rFonts w:hint="eastAsia" w:ascii="仿宋_GB2312" w:hAnsi="仿宋" w:eastAsia="仿宋_GB2312" w:cs="仿宋"/>
          <w:color w:val="000000"/>
          <w:sz w:val="28"/>
          <w:szCs w:val="28"/>
          <w:lang w:eastAsia="zh-CN"/>
        </w:rPr>
        <w:t>.</w:t>
      </w:r>
      <w:r>
        <w:rPr>
          <w:rFonts w:hint="eastAsia" w:ascii="仿宋_GB2312" w:hAnsi="仿宋" w:eastAsia="仿宋_GB2312" w:cs="仿宋"/>
          <w:color w:val="000000"/>
          <w:sz w:val="28"/>
          <w:szCs w:val="28"/>
        </w:rPr>
        <w:t>在判断相同或相近似时，由产品功能决定的设计特征不予考虑。由产品功能决定的设计特征，是指由功能有限或唯一决定、不考虑美学因素而形成的设计特征。技术标准规定的或者为了实现机械上的配合关系必须采用的不可选择的设计特征属于功能性设计特征。</w:t>
      </w:r>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18</w:t>
      </w:r>
      <w:r>
        <w:rPr>
          <w:rFonts w:hint="eastAsia" w:ascii="仿宋_GB2312" w:hAnsi="仿宋" w:eastAsia="仿宋_GB2312" w:cs="仿宋"/>
          <w:color w:val="000000"/>
          <w:sz w:val="28"/>
          <w:szCs w:val="28"/>
          <w:lang w:eastAsia="zh-CN"/>
        </w:rPr>
        <w:t>.</w:t>
      </w:r>
      <w:r>
        <w:rPr>
          <w:rFonts w:hint="eastAsia" w:ascii="仿宋_GB2312" w:hAnsi="仿宋" w:eastAsia="仿宋_GB2312" w:cs="仿宋"/>
          <w:color w:val="000000"/>
          <w:sz w:val="28"/>
          <w:szCs w:val="28"/>
        </w:rPr>
        <w:t>对于静态图形用户界面外观设计，应当主要考虑产品的图形用户界面部分，兼顾其与产品其余部分的关系，如位置、比例、分布关系，与被诉侵权设计中对应的内容进行综合判断。被诉侵权产品的图形用户界面外观设计与专利设计相同或相近似，且与产品其余部分的关系对整体视觉效果不产生显著影响的，应认定被诉侵权设计落入专利权的保护范围。被诉侵权设计完整包含了静态图形用户界面外观设计，应认定被诉侵权设计落入专利权的保护范围。</w:t>
      </w:r>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19</w:t>
      </w:r>
      <w:r>
        <w:rPr>
          <w:rFonts w:hint="eastAsia" w:ascii="仿宋_GB2312" w:hAnsi="仿宋" w:eastAsia="仿宋_GB2312" w:cs="仿宋"/>
          <w:color w:val="000000"/>
          <w:sz w:val="28"/>
          <w:szCs w:val="28"/>
          <w:lang w:eastAsia="zh-CN"/>
        </w:rPr>
        <w:t>.</w:t>
      </w:r>
      <w:r>
        <w:rPr>
          <w:rFonts w:hint="eastAsia" w:ascii="仿宋_GB2312" w:hAnsi="仿宋" w:eastAsia="仿宋_GB2312" w:cs="仿宋"/>
          <w:color w:val="000000"/>
          <w:sz w:val="28"/>
          <w:szCs w:val="28"/>
        </w:rPr>
        <w:t>对于动态的图形用户界面外观设计，被诉侵权设计与动态的图形用户界面外观设计各视图均相同或者相近似的，应当认定被诉侵权设计落入专利权的保护范围。具体判断时也要考虑到图形用户界面部分与产品其余部分位置、大小、分布的关系。</w:t>
      </w:r>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20</w:t>
      </w:r>
      <w:r>
        <w:rPr>
          <w:rFonts w:hint="eastAsia" w:ascii="仿宋_GB2312" w:hAnsi="仿宋" w:eastAsia="仿宋_GB2312" w:cs="仿宋"/>
          <w:color w:val="000000"/>
          <w:sz w:val="28"/>
          <w:szCs w:val="28"/>
          <w:lang w:eastAsia="zh-CN"/>
        </w:rPr>
        <w:t>.</w:t>
      </w:r>
      <w:r>
        <w:rPr>
          <w:rFonts w:hint="eastAsia" w:ascii="仿宋_GB2312" w:hAnsi="仿宋" w:eastAsia="仿宋_GB2312" w:cs="仿宋"/>
          <w:color w:val="000000"/>
          <w:sz w:val="28"/>
          <w:szCs w:val="28"/>
        </w:rPr>
        <w:t>被诉侵权设计缺少部分状态的视图，导致无法体现出与专利设计一致的变化过程的，应当认定被诉侵权设计未落入专利权的保护范围，但仍能唯一确定与专利设计一致的变化过程的除外。</w:t>
      </w:r>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21</w:t>
      </w:r>
      <w:r>
        <w:rPr>
          <w:rFonts w:hint="eastAsia" w:ascii="仿宋_GB2312" w:hAnsi="仿宋" w:eastAsia="仿宋_GB2312" w:cs="仿宋"/>
          <w:color w:val="000000"/>
          <w:sz w:val="28"/>
          <w:szCs w:val="28"/>
          <w:lang w:eastAsia="zh-CN"/>
        </w:rPr>
        <w:t>.</w:t>
      </w:r>
      <w:r>
        <w:rPr>
          <w:rFonts w:hint="eastAsia" w:ascii="仿宋_GB2312" w:hAnsi="仿宋" w:eastAsia="仿宋_GB2312" w:cs="仿宋"/>
          <w:color w:val="000000"/>
          <w:sz w:val="28"/>
          <w:szCs w:val="28"/>
        </w:rPr>
        <w:t>被诉侵权设计使用了部分动态的图形用户界面外观设计或其关键帧，如果该部分或该关键帧属于图形用户界面外观设计的设计要点，则被诉侵权设计落入专利权的保护范围。但被诉侵权设计整体视觉效果与动态的图形用户界面外观设计不相同且不相近似的除外。</w:t>
      </w:r>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22</w:t>
      </w:r>
      <w:r>
        <w:rPr>
          <w:rFonts w:hint="eastAsia" w:ascii="仿宋_GB2312" w:hAnsi="仿宋" w:eastAsia="仿宋_GB2312" w:cs="仿宋"/>
          <w:color w:val="000000"/>
          <w:sz w:val="28"/>
          <w:szCs w:val="28"/>
          <w:lang w:eastAsia="zh-CN"/>
        </w:rPr>
        <w:t>.</w:t>
      </w:r>
      <w:r>
        <w:rPr>
          <w:rFonts w:hint="eastAsia" w:ascii="仿宋_GB2312" w:hAnsi="仿宋" w:eastAsia="仿宋_GB2312" w:cs="仿宋"/>
          <w:color w:val="000000"/>
          <w:sz w:val="28"/>
          <w:szCs w:val="28"/>
        </w:rPr>
        <w:t>对于立体产品的外观设计，通常形状对整体视觉效果更具有影响，在进行相同相近似判断时，应以形状为重点；但如果其形状属于惯常设计，则图案、色彩对整体视觉效果更具有影响。当非图形用户界面的设计特征为惯常设计时，则图形用户界面对整体视觉效果更具有显著影响。惯常设计，是指现有设计中一般消费者所熟知的、只要提到产品名称就能想到的相应设计。在外观设计产品领域，各个相互独立的产品制造商均采用的设计特征一般属于惯常设计。惯常设计对外观设计专利的整体视觉效果一般不具有显著影响，但惯常设计的组合能够带来独特视觉效果的除外。</w:t>
      </w:r>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23</w:t>
      </w:r>
      <w:r>
        <w:rPr>
          <w:rFonts w:hint="eastAsia" w:ascii="仿宋_GB2312" w:hAnsi="仿宋" w:eastAsia="仿宋_GB2312" w:cs="仿宋"/>
          <w:color w:val="000000"/>
          <w:sz w:val="28"/>
          <w:szCs w:val="28"/>
          <w:lang w:eastAsia="zh-CN"/>
        </w:rPr>
        <w:t>.</w:t>
      </w:r>
      <w:r>
        <w:rPr>
          <w:rFonts w:hint="eastAsia" w:ascii="仿宋_GB2312" w:hAnsi="仿宋" w:eastAsia="仿宋_GB2312" w:cs="仿宋"/>
          <w:color w:val="000000"/>
          <w:sz w:val="28"/>
          <w:szCs w:val="28"/>
        </w:rPr>
        <w:t>对于平面产品的外观设计，通常图案、色彩对整体视觉效果更具有影响，在进行相同相近似判断时，应以图案、色彩为重点。</w:t>
      </w:r>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24</w:t>
      </w:r>
      <w:r>
        <w:rPr>
          <w:rFonts w:hint="eastAsia" w:ascii="仿宋_GB2312" w:hAnsi="仿宋" w:eastAsia="仿宋_GB2312" w:cs="仿宋"/>
          <w:color w:val="000000"/>
          <w:sz w:val="28"/>
          <w:szCs w:val="28"/>
          <w:lang w:eastAsia="zh-CN"/>
        </w:rPr>
        <w:t>.</w:t>
      </w:r>
      <w:r>
        <w:rPr>
          <w:rFonts w:hint="eastAsia" w:ascii="仿宋_GB2312" w:hAnsi="仿宋" w:eastAsia="仿宋_GB2312" w:cs="仿宋"/>
          <w:color w:val="000000"/>
          <w:sz w:val="28"/>
          <w:szCs w:val="28"/>
        </w:rPr>
        <w:t>对要求保护色彩的外观设计,应当先确定该外观设计是否属于惯常设计,如果是惯常设计,则应当仅对其图案、色彩作出判定；如果形状、图案、色彩均为新设计，则应当对形状、图案、色彩三者的结合作出判定。</w:t>
      </w:r>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25</w:t>
      </w:r>
      <w:r>
        <w:rPr>
          <w:rFonts w:hint="eastAsia" w:ascii="仿宋_GB2312" w:hAnsi="仿宋" w:eastAsia="仿宋_GB2312" w:cs="仿宋"/>
          <w:color w:val="000000"/>
          <w:sz w:val="28"/>
          <w:szCs w:val="28"/>
          <w:lang w:eastAsia="zh-CN"/>
        </w:rPr>
        <w:t>.</w:t>
      </w:r>
      <w:r>
        <w:rPr>
          <w:rFonts w:hint="eastAsia" w:ascii="仿宋_GB2312" w:hAnsi="仿宋" w:eastAsia="仿宋_GB2312" w:cs="仿宋"/>
          <w:color w:val="000000"/>
          <w:sz w:val="28"/>
          <w:szCs w:val="28"/>
        </w:rPr>
        <w:t>将不透明材料替换为透明材料,或者将透明材料替换为不透明材料,且仅属于材料特征的变换,未导致产品外观设计发生明显变化的,在判断外观设计的相同相近似时,应不予考虑。但是，如果透明材料使得该产品外观设计的美感发生了变化,导致一般消费者对该产品的整体视觉效果发生变化的,则应当予以考虑。被诉侵权产品系将不透明材料替换为透明材料，通过透明材料可以观察到的产品内部的形状、图案和色彩，应当视为该产品的外观设计的一部分。</w:t>
      </w:r>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26</w:t>
      </w:r>
      <w:r>
        <w:rPr>
          <w:rFonts w:hint="eastAsia" w:ascii="仿宋_GB2312" w:hAnsi="仿宋" w:eastAsia="仿宋_GB2312" w:cs="仿宋"/>
          <w:color w:val="000000"/>
          <w:sz w:val="28"/>
          <w:szCs w:val="28"/>
          <w:lang w:eastAsia="zh-CN"/>
        </w:rPr>
        <w:t>.</w:t>
      </w:r>
      <w:r>
        <w:rPr>
          <w:rFonts w:hint="eastAsia" w:ascii="仿宋_GB2312" w:hAnsi="仿宋" w:eastAsia="仿宋_GB2312" w:cs="仿宋"/>
          <w:color w:val="000000"/>
          <w:sz w:val="28"/>
          <w:szCs w:val="28"/>
        </w:rPr>
        <w:t>对于变化状态产品的外观设计专利，其各种变化状态图均应纳入保护范围，被诉侵权设计与变化状态图所示的各种使用状态的外观设计均相同或者相近似的，应当认定被诉侵权设计落入专利权的保护范围。被诉侵权设计缺少部分使用状态的外观设计或者与其不相同也不相近似的，应当认定被诉侵权设计未落入专利权的保护范围。参考图通常用于表明使用外观设计的产品的用途、使用方法或者使用场所等，不能用于确定变化状态产品外观设计专利的保护范围。</w:t>
      </w:r>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27</w:t>
      </w:r>
      <w:r>
        <w:rPr>
          <w:rFonts w:hint="eastAsia" w:ascii="仿宋_GB2312" w:hAnsi="仿宋" w:eastAsia="仿宋_GB2312" w:cs="仿宋"/>
          <w:color w:val="000000"/>
          <w:sz w:val="28"/>
          <w:szCs w:val="28"/>
          <w:lang w:eastAsia="zh-CN"/>
        </w:rPr>
        <w:t>.</w:t>
      </w:r>
      <w:r>
        <w:rPr>
          <w:rFonts w:hint="eastAsia" w:ascii="仿宋_GB2312" w:hAnsi="仿宋" w:eastAsia="仿宋_GB2312" w:cs="仿宋"/>
          <w:color w:val="000000"/>
          <w:sz w:val="28"/>
          <w:szCs w:val="28"/>
        </w:rPr>
        <w:t>涉案专利为相似外观设计或成套产品外观设计等包含多项独立的外观设计时，权利人应当明确其主张的外观设计。主张多项外观设计作为权利基础时，应当将被诉侵权产品的相关设计内容与其主张的各项外观设计分别单独进行对比。被诉侵权设计与相似外观设计或成套产品中一项外观设计相同或者相近似的，应当认定被诉侵权设计落入专利权的保护范围。</w:t>
      </w:r>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28</w:t>
      </w:r>
      <w:r>
        <w:rPr>
          <w:rFonts w:hint="eastAsia" w:ascii="仿宋_GB2312" w:hAnsi="仿宋" w:eastAsia="仿宋_GB2312" w:cs="仿宋"/>
          <w:color w:val="000000"/>
          <w:sz w:val="28"/>
          <w:szCs w:val="28"/>
          <w:lang w:eastAsia="zh-CN"/>
        </w:rPr>
        <w:t>.</w:t>
      </w:r>
      <w:r>
        <w:rPr>
          <w:rFonts w:hint="eastAsia" w:ascii="仿宋_GB2312" w:hAnsi="仿宋" w:eastAsia="仿宋_GB2312" w:cs="仿宋"/>
          <w:color w:val="000000"/>
          <w:sz w:val="28"/>
          <w:szCs w:val="28"/>
        </w:rPr>
        <w:t>对于组装关系唯一的组件产品的外观设计专利，被诉侵权设计与该组件产品在组合状态下的整体外观设计相同或者近似的，应当认定被诉侵权设计落入专利权的保护范围。对于各构件之间无组装关系或者组装关系不唯一的组件产品的外观设计专利，被诉侵权设计与其全部单个构件的外观设计均相同或者近似的，应当认定被诉侵权设计落入专利权的保护范围；被诉侵权设计缺少部分单个构件的外观设计或者与其不相同也不相近似的，应当认定被诉侵权设计未落入专利权的保护范围，但该部分单个构件的外观设计对于全部单个构件的外观设计整体视觉效果未产生显著影响的除外。</w:t>
      </w:r>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29</w:t>
      </w:r>
      <w:r>
        <w:rPr>
          <w:rFonts w:hint="eastAsia" w:ascii="仿宋_GB2312" w:hAnsi="仿宋" w:eastAsia="仿宋_GB2312" w:cs="仿宋"/>
          <w:color w:val="000000"/>
          <w:sz w:val="28"/>
          <w:szCs w:val="28"/>
          <w:lang w:eastAsia="zh-CN"/>
        </w:rPr>
        <w:t>.</w:t>
      </w:r>
      <w:r>
        <w:rPr>
          <w:rFonts w:hint="eastAsia" w:ascii="仿宋_GB2312" w:hAnsi="仿宋" w:eastAsia="仿宋_GB2312" w:cs="仿宋"/>
          <w:color w:val="000000"/>
          <w:sz w:val="28"/>
          <w:szCs w:val="28"/>
        </w:rPr>
        <w:t>专利权人、被诉侵权人的外观设计专利申请均已被授权，且专利权人的外观设计专利的申请日早于被诉侵权人的外观设计专利 的申请日，如果被诉侵权人的外观设计与专利权人的外观设计构成相同或相近似的，则可以认定被诉侵权人实施其外观设计专利的行为，侵犯了在先的外观设计专利。</w:t>
      </w:r>
    </w:p>
    <w:p>
      <w:pPr>
        <w:pStyle w:val="2"/>
        <w:keepNext w:val="0"/>
        <w:keepLines w:val="0"/>
        <w:pageBreakBefore w:val="0"/>
        <w:widowControl w:val="0"/>
        <w:tabs>
          <w:tab w:val="left" w:pos="3422"/>
        </w:tabs>
        <w:kinsoku/>
        <w:wordWrap/>
        <w:overflowPunct/>
        <w:topLinePunct w:val="0"/>
        <w:bidi w:val="0"/>
        <w:adjustRightInd/>
        <w:snapToGrid/>
        <w:spacing w:beforeAutospacing="0" w:afterAutospacing="0" w:line="500" w:lineRule="exact"/>
        <w:jc w:val="center"/>
        <w:textAlignment w:val="auto"/>
        <w:outlineLvl w:val="9"/>
        <w:rPr>
          <w:rFonts w:hint="eastAsia" w:ascii="黑体" w:hAnsi="黑体" w:eastAsia="黑体" w:cs="黑体"/>
          <w:b w:val="0"/>
          <w:bCs/>
          <w:color w:val="000000"/>
          <w:sz w:val="28"/>
          <w:szCs w:val="28"/>
        </w:rPr>
      </w:pPr>
    </w:p>
    <w:p>
      <w:pPr>
        <w:pStyle w:val="2"/>
        <w:keepNext w:val="0"/>
        <w:keepLines w:val="0"/>
        <w:pageBreakBefore w:val="0"/>
        <w:widowControl w:val="0"/>
        <w:tabs>
          <w:tab w:val="left" w:pos="3422"/>
        </w:tabs>
        <w:kinsoku/>
        <w:wordWrap/>
        <w:overflowPunct/>
        <w:topLinePunct w:val="0"/>
        <w:bidi w:val="0"/>
        <w:adjustRightInd/>
        <w:snapToGrid/>
        <w:spacing w:beforeAutospacing="0" w:afterAutospacing="0" w:line="500" w:lineRule="exact"/>
        <w:jc w:val="center"/>
        <w:textAlignment w:val="auto"/>
        <w:rPr>
          <w:rFonts w:hint="eastAsia" w:ascii="黑体" w:hAnsi="黑体" w:eastAsia="黑体" w:cs="黑体"/>
          <w:b w:val="0"/>
          <w:bCs/>
          <w:color w:val="000000"/>
          <w:sz w:val="28"/>
          <w:szCs w:val="28"/>
        </w:rPr>
      </w:pPr>
      <w:bookmarkStart w:id="191" w:name="_Toc26502"/>
      <w:r>
        <w:rPr>
          <w:rFonts w:hint="eastAsia" w:ascii="黑体" w:hAnsi="黑体" w:eastAsia="黑体" w:cs="黑体"/>
          <w:b w:val="0"/>
          <w:bCs/>
          <w:color w:val="000000"/>
          <w:sz w:val="28"/>
          <w:szCs w:val="28"/>
        </w:rPr>
        <w:t>第三章  专利侵权案件常用取证方式及取证内容</w:t>
      </w:r>
      <w:bookmarkEnd w:id="191"/>
    </w:p>
    <w:p>
      <w:pPr>
        <w:pStyle w:val="2"/>
        <w:keepNext w:val="0"/>
        <w:keepLines w:val="0"/>
        <w:pageBreakBefore w:val="0"/>
        <w:widowControl w:val="0"/>
        <w:tabs>
          <w:tab w:val="left" w:pos="3148"/>
        </w:tabs>
        <w:kinsoku/>
        <w:wordWrap/>
        <w:overflowPunct/>
        <w:topLinePunct w:val="0"/>
        <w:bidi w:val="0"/>
        <w:adjustRightInd/>
        <w:snapToGrid/>
        <w:spacing w:beforeAutospacing="0" w:afterAutospacing="0" w:line="500" w:lineRule="exact"/>
        <w:ind w:firstLine="522" w:firstLineChars="200"/>
        <w:textAlignment w:val="auto"/>
        <w:rPr>
          <w:rFonts w:hint="eastAsia" w:ascii="楷体" w:hAnsi="楷体" w:eastAsia="楷体" w:cs="仿宋"/>
          <w:color w:val="000000"/>
          <w:sz w:val="28"/>
          <w:szCs w:val="28"/>
        </w:rPr>
      </w:pPr>
      <w:bookmarkStart w:id="192" w:name="_Toc32591"/>
      <w:r>
        <w:rPr>
          <w:rFonts w:hint="eastAsia" w:ascii="楷体" w:hAnsi="楷体" w:eastAsia="楷体" w:cs="仿宋"/>
          <w:color w:val="000000"/>
          <w:sz w:val="28"/>
          <w:szCs w:val="28"/>
        </w:rPr>
        <w:t>一、专利侵权案件常用取证方式</w:t>
      </w:r>
      <w:bookmarkEnd w:id="192"/>
    </w:p>
    <w:p>
      <w:pPr>
        <w:pStyle w:val="2"/>
        <w:keepNext w:val="0"/>
        <w:keepLines w:val="0"/>
        <w:pageBreakBefore w:val="0"/>
        <w:widowControl w:val="0"/>
        <w:tabs>
          <w:tab w:val="left" w:pos="3148"/>
        </w:tabs>
        <w:kinsoku/>
        <w:wordWrap/>
        <w:overflowPunct/>
        <w:topLinePunct w:val="0"/>
        <w:bidi w:val="0"/>
        <w:adjustRightInd/>
        <w:snapToGrid/>
        <w:spacing w:beforeAutospacing="0" w:afterAutospacing="0" w:line="500" w:lineRule="exact"/>
        <w:ind w:firstLine="522" w:firstLineChars="200"/>
        <w:textAlignment w:val="auto"/>
        <w:rPr>
          <w:rFonts w:hint="eastAsia" w:ascii="仿宋" w:hAnsi="仿宋" w:eastAsia="仿宋" w:cs="仿宋"/>
          <w:bCs/>
          <w:color w:val="000000"/>
          <w:sz w:val="28"/>
          <w:szCs w:val="28"/>
        </w:rPr>
      </w:pPr>
      <w:bookmarkStart w:id="193" w:name="_Toc9802"/>
      <w:r>
        <w:rPr>
          <w:rFonts w:hint="eastAsia" w:ascii="仿宋" w:hAnsi="仿宋" w:eastAsia="仿宋" w:cs="仿宋"/>
          <w:color w:val="000000"/>
          <w:sz w:val="28"/>
          <w:szCs w:val="28"/>
        </w:rPr>
        <w:t>（一）公证取证</w:t>
      </w:r>
      <w:bookmarkEnd w:id="193"/>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根据《</w:t>
      </w:r>
      <w:r>
        <w:rPr>
          <w:rFonts w:hint="eastAsia" w:ascii="仿宋_GB2312" w:hAnsi="仿宋" w:eastAsia="仿宋_GB2312" w:cs="仿宋"/>
          <w:color w:val="000000"/>
          <w:sz w:val="28"/>
          <w:szCs w:val="28"/>
          <w:lang w:eastAsia="zh-CN"/>
        </w:rPr>
        <w:t>中华人民共和国</w:t>
      </w:r>
      <w:r>
        <w:rPr>
          <w:rFonts w:hint="eastAsia" w:ascii="仿宋_GB2312" w:hAnsi="仿宋" w:eastAsia="仿宋_GB2312" w:cs="仿宋"/>
          <w:color w:val="000000"/>
          <w:sz w:val="28"/>
          <w:szCs w:val="28"/>
        </w:rPr>
        <w:t>民事诉讼法》第六十九条之规定经过法定程序公证证明的法律事实和文书，人民法院应当作为认定事实的根据，但有相反证据足以推翻公证证明的除外。公证证据具有推定为真的效果，一般为法院直接采信，除非有相反证据足以推翻公证证明的除外。公证机关对证据进行保全，其效果与法院依职权所进行的保全，是基本相等的。因此，当发现侵犯专利权行为事实存在</w:t>
      </w:r>
      <w:r>
        <w:rPr>
          <w:rFonts w:hint="eastAsia" w:ascii="仿宋_GB2312" w:hAnsi="仿宋" w:eastAsia="仿宋_GB2312" w:cs="仿宋"/>
          <w:color w:val="000000"/>
          <w:sz w:val="28"/>
          <w:szCs w:val="28"/>
          <w:lang w:eastAsia="zh-CN"/>
        </w:rPr>
        <w:t>时</w:t>
      </w:r>
      <w:r>
        <w:rPr>
          <w:rFonts w:hint="eastAsia" w:ascii="仿宋_GB2312" w:hAnsi="仿宋" w:eastAsia="仿宋_GB2312" w:cs="仿宋"/>
          <w:color w:val="000000"/>
          <w:sz w:val="28"/>
          <w:szCs w:val="28"/>
        </w:rPr>
        <w:t>，可向公证机关申请公证保全侵权事实的证据，以便诉讼之需。</w:t>
      </w:r>
    </w:p>
    <w:p>
      <w:pPr>
        <w:pStyle w:val="2"/>
        <w:keepNext w:val="0"/>
        <w:keepLines w:val="0"/>
        <w:pageBreakBefore w:val="0"/>
        <w:widowControl w:val="0"/>
        <w:kinsoku/>
        <w:wordWrap/>
        <w:overflowPunct/>
        <w:topLinePunct w:val="0"/>
        <w:bidi w:val="0"/>
        <w:adjustRightInd/>
        <w:snapToGrid/>
        <w:spacing w:beforeAutospacing="0" w:afterAutospacing="0" w:line="500" w:lineRule="exact"/>
        <w:ind w:firstLine="522" w:firstLineChars="200"/>
        <w:textAlignment w:val="auto"/>
        <w:rPr>
          <w:rFonts w:hint="eastAsia" w:ascii="仿宋" w:hAnsi="仿宋" w:eastAsia="仿宋" w:cs="仿宋"/>
          <w:bCs/>
          <w:color w:val="000000"/>
          <w:sz w:val="28"/>
          <w:szCs w:val="28"/>
        </w:rPr>
      </w:pPr>
      <w:bookmarkStart w:id="194" w:name="_Toc30020"/>
      <w:r>
        <w:rPr>
          <w:rFonts w:hint="eastAsia" w:ascii="仿宋" w:hAnsi="仿宋" w:eastAsia="仿宋" w:cs="仿宋"/>
          <w:color w:val="000000"/>
          <w:sz w:val="28"/>
          <w:szCs w:val="28"/>
        </w:rPr>
        <w:t>（二）可信时间戳取证</w:t>
      </w:r>
      <w:bookmarkEnd w:id="194"/>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lang w:eastAsia="zh-CN"/>
        </w:rPr>
      </w:pPr>
      <w:r>
        <w:rPr>
          <w:rFonts w:hint="eastAsia" w:ascii="仿宋_GB2312" w:hAnsi="仿宋" w:eastAsia="仿宋_GB2312" w:cs="仿宋"/>
          <w:color w:val="000000"/>
          <w:sz w:val="28"/>
          <w:szCs w:val="28"/>
        </w:rPr>
        <w:t>可信时间戳是由权威可信时间戳服务中心签发的一个能证明数 据电文(电子文件）在一个时间点是已经存在的、完整的、可验证的，具备法律效力的电子凭证，可信时间戳主要用于电子文件防篡改和事后抵赖，确定电子文件产生的准确时间。针对互联网上的侵权事实，如网页、电子邮箱、网络图片、音频、视频影像、微信、微博等可通过可信时间戳进行证据保全。</w:t>
      </w:r>
      <w:r>
        <w:rPr>
          <w:rFonts w:hint="eastAsia" w:ascii="仿宋_GB2312" w:hAnsi="仿宋" w:eastAsia="仿宋_GB2312" w:cs="仿宋"/>
          <w:color w:val="000000"/>
          <w:sz w:val="28"/>
          <w:szCs w:val="28"/>
          <w:lang w:eastAsia="zh-CN"/>
        </w:rPr>
        <w:t>可信时间戳取证网址为https://www.tsa.cn/；取证流程为：注册/登录可信时间戳网站——登录取证系统取证——证据确认——下载可信时间戳证据包。</w:t>
      </w:r>
    </w:p>
    <w:p>
      <w:pPr>
        <w:pStyle w:val="2"/>
        <w:keepNext w:val="0"/>
        <w:keepLines w:val="0"/>
        <w:pageBreakBefore w:val="0"/>
        <w:widowControl w:val="0"/>
        <w:kinsoku/>
        <w:wordWrap/>
        <w:overflowPunct/>
        <w:topLinePunct w:val="0"/>
        <w:bidi w:val="0"/>
        <w:adjustRightInd/>
        <w:snapToGrid/>
        <w:spacing w:beforeAutospacing="0" w:afterAutospacing="0" w:line="500" w:lineRule="exact"/>
        <w:ind w:firstLine="522" w:firstLineChars="200"/>
        <w:textAlignment w:val="auto"/>
        <w:rPr>
          <w:rFonts w:hint="eastAsia" w:ascii="仿宋" w:hAnsi="仿宋" w:eastAsia="仿宋" w:cs="仿宋"/>
          <w:bCs/>
          <w:color w:val="000000"/>
          <w:sz w:val="28"/>
          <w:szCs w:val="28"/>
        </w:rPr>
      </w:pPr>
      <w:bookmarkStart w:id="195" w:name="_Toc20421"/>
      <w:r>
        <w:rPr>
          <w:rFonts w:hint="eastAsia" w:ascii="仿宋" w:hAnsi="仿宋" w:eastAsia="仿宋" w:cs="仿宋"/>
          <w:color w:val="000000"/>
          <w:sz w:val="28"/>
          <w:szCs w:val="28"/>
        </w:rPr>
        <w:t>（三）行政投诉取证</w:t>
      </w:r>
      <w:bookmarkEnd w:id="195"/>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我国的《专利行政执法办法》第五章对调查取证有专章规定。管理专利工作的部门在查处案件的过程中，可以根据需要依职权调查收集有关证据。可以查阅、复制与案件有关的合同、帐册等有关文件;询问当事人和证人;采用测量、拍照、摄像等方式进行现场勘验。涉嫌侵犯制造方法专利权的，管理专利工作的部门可以要求被调查人进行现场演示。涉及产品专利的，可以从涉嫌侵权的产品中抽取样品。</w:t>
      </w:r>
    </w:p>
    <w:p>
      <w:pPr>
        <w:pStyle w:val="2"/>
        <w:keepNext w:val="0"/>
        <w:keepLines w:val="0"/>
        <w:pageBreakBefore w:val="0"/>
        <w:widowControl w:val="0"/>
        <w:kinsoku/>
        <w:wordWrap/>
        <w:overflowPunct/>
        <w:topLinePunct w:val="0"/>
        <w:bidi w:val="0"/>
        <w:adjustRightInd/>
        <w:snapToGrid/>
        <w:spacing w:beforeAutospacing="0" w:afterAutospacing="0" w:line="500" w:lineRule="exact"/>
        <w:ind w:firstLine="522" w:firstLineChars="200"/>
        <w:textAlignment w:val="auto"/>
        <w:rPr>
          <w:rFonts w:hint="eastAsia" w:ascii="楷体" w:hAnsi="楷体" w:eastAsia="楷体" w:cs="仿宋"/>
          <w:color w:val="000000"/>
          <w:sz w:val="28"/>
          <w:szCs w:val="28"/>
        </w:rPr>
      </w:pPr>
      <w:bookmarkStart w:id="196" w:name="_Toc28773"/>
      <w:r>
        <w:rPr>
          <w:rFonts w:hint="eastAsia" w:ascii="楷体" w:hAnsi="楷体" w:eastAsia="楷体" w:cs="仿宋"/>
          <w:color w:val="000000"/>
          <w:sz w:val="28"/>
          <w:szCs w:val="28"/>
        </w:rPr>
        <w:t>二、取证内容</w:t>
      </w:r>
      <w:bookmarkEnd w:id="196"/>
    </w:p>
    <w:p>
      <w:pPr>
        <w:pStyle w:val="2"/>
        <w:keepNext w:val="0"/>
        <w:keepLines w:val="0"/>
        <w:pageBreakBefore w:val="0"/>
        <w:widowControl w:val="0"/>
        <w:tabs>
          <w:tab w:val="left" w:pos="3851"/>
        </w:tabs>
        <w:kinsoku/>
        <w:wordWrap/>
        <w:overflowPunct/>
        <w:topLinePunct w:val="0"/>
        <w:bidi w:val="0"/>
        <w:adjustRightInd/>
        <w:snapToGrid/>
        <w:spacing w:beforeAutospacing="0" w:afterAutospacing="0" w:line="500" w:lineRule="exact"/>
        <w:ind w:firstLine="522" w:firstLineChars="200"/>
        <w:textAlignment w:val="auto"/>
        <w:rPr>
          <w:rFonts w:hint="eastAsia" w:ascii="仿宋_GB2312" w:hAnsi="仿宋" w:eastAsia="仿宋_GB2312" w:cs="仿宋"/>
          <w:color w:val="000000"/>
          <w:sz w:val="28"/>
          <w:szCs w:val="28"/>
        </w:rPr>
      </w:pPr>
      <w:bookmarkStart w:id="197" w:name="_Toc10954"/>
      <w:r>
        <w:rPr>
          <w:rFonts w:hint="eastAsia" w:ascii="仿宋_GB2312" w:hAnsi="仿宋" w:eastAsia="仿宋_GB2312" w:cs="仿宋"/>
          <w:b w:val="0"/>
          <w:color w:val="000000"/>
          <w:sz w:val="28"/>
          <w:szCs w:val="28"/>
        </w:rPr>
        <w:t>侵害专利权纠纷案件，在进行取证时需要注意取得侵权产品实物或清楚体现被控侵权产品技术结构或外观的照片、图片，以便在案件中进行有效的侵权比对，在取证过程中也要注意收集体现侵权规模、时间等相关证据材料，同时向侵权商产品的提供者索要发票或收据等可以证明侵权产品提供者及反映权利人损失或侵权人获利情况的证据。</w:t>
      </w:r>
      <w:bookmarkEnd w:id="197"/>
    </w:p>
    <w:p>
      <w:pPr>
        <w:pStyle w:val="2"/>
        <w:keepNext w:val="0"/>
        <w:keepLines w:val="0"/>
        <w:pageBreakBefore w:val="0"/>
        <w:widowControl w:val="0"/>
        <w:tabs>
          <w:tab w:val="left" w:pos="3422"/>
        </w:tabs>
        <w:kinsoku/>
        <w:wordWrap/>
        <w:overflowPunct/>
        <w:topLinePunct w:val="0"/>
        <w:bidi w:val="0"/>
        <w:adjustRightInd/>
        <w:snapToGrid/>
        <w:spacing w:beforeAutospacing="0" w:afterAutospacing="0" w:line="500" w:lineRule="exact"/>
        <w:textAlignment w:val="auto"/>
        <w:outlineLvl w:val="9"/>
        <w:rPr>
          <w:rFonts w:hint="eastAsia" w:ascii="黑体" w:hAnsi="黑体" w:eastAsia="黑体" w:cs="黑体"/>
          <w:b w:val="0"/>
          <w:bCs/>
          <w:color w:val="000000"/>
          <w:sz w:val="28"/>
          <w:szCs w:val="28"/>
        </w:rPr>
      </w:pPr>
    </w:p>
    <w:p>
      <w:pPr>
        <w:pStyle w:val="2"/>
        <w:keepNext w:val="0"/>
        <w:keepLines w:val="0"/>
        <w:pageBreakBefore w:val="0"/>
        <w:widowControl w:val="0"/>
        <w:tabs>
          <w:tab w:val="left" w:pos="3422"/>
        </w:tabs>
        <w:kinsoku/>
        <w:wordWrap/>
        <w:overflowPunct/>
        <w:topLinePunct w:val="0"/>
        <w:bidi w:val="0"/>
        <w:adjustRightInd/>
        <w:snapToGrid/>
        <w:spacing w:beforeAutospacing="0" w:afterAutospacing="0" w:line="500" w:lineRule="exact"/>
        <w:jc w:val="center"/>
        <w:textAlignment w:val="auto"/>
        <w:rPr>
          <w:rFonts w:hint="eastAsia" w:ascii="黑体" w:hAnsi="黑体" w:eastAsia="黑体" w:cs="黑体"/>
          <w:b w:val="0"/>
          <w:bCs/>
          <w:color w:val="000000"/>
          <w:sz w:val="28"/>
          <w:szCs w:val="28"/>
        </w:rPr>
      </w:pPr>
      <w:bookmarkStart w:id="198" w:name="_Toc24764"/>
      <w:r>
        <w:rPr>
          <w:rFonts w:hint="eastAsia" w:ascii="黑体" w:hAnsi="黑体" w:eastAsia="黑体" w:cs="黑体"/>
          <w:b w:val="0"/>
          <w:bCs/>
          <w:color w:val="000000"/>
          <w:sz w:val="28"/>
          <w:szCs w:val="28"/>
        </w:rPr>
        <w:t>第四章  专利侵权的诉讼请求</w:t>
      </w:r>
      <w:bookmarkEnd w:id="198"/>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4"/>
        <w:jc w:val="both"/>
        <w:textAlignment w:val="auto"/>
        <w:rPr>
          <w:rFonts w:hint="eastAsia" w:ascii="楷体" w:hAnsi="楷体" w:eastAsia="楷体" w:cs="仿宋"/>
          <w:b/>
          <w:bCs/>
          <w:color w:val="000000"/>
          <w:sz w:val="28"/>
          <w:szCs w:val="28"/>
        </w:rPr>
      </w:pPr>
      <w:r>
        <w:rPr>
          <w:rFonts w:hint="eastAsia" w:ascii="楷体" w:hAnsi="楷体" w:eastAsia="楷体" w:cs="仿宋"/>
          <w:b/>
          <w:bCs/>
          <w:color w:val="000000"/>
          <w:sz w:val="28"/>
          <w:szCs w:val="28"/>
          <w:lang w:eastAsia="zh-CN"/>
        </w:rPr>
        <w:t>一、</w:t>
      </w:r>
      <w:r>
        <w:rPr>
          <w:rFonts w:hint="eastAsia" w:ascii="楷体" w:hAnsi="楷体" w:eastAsia="楷体" w:cs="仿宋"/>
          <w:b/>
          <w:bCs/>
          <w:color w:val="000000"/>
          <w:sz w:val="28"/>
          <w:szCs w:val="28"/>
        </w:rPr>
        <w:t>停止侵害</w:t>
      </w:r>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对于行为人实施的侵害权利人专利权的行为，依据《</w:t>
      </w:r>
      <w:r>
        <w:rPr>
          <w:rFonts w:hint="eastAsia" w:ascii="仿宋_GB2312" w:hAnsi="仿宋" w:eastAsia="仿宋_GB2312" w:cs="仿宋"/>
          <w:color w:val="000000"/>
          <w:sz w:val="28"/>
          <w:szCs w:val="28"/>
          <w:lang w:eastAsia="zh-CN"/>
        </w:rPr>
        <w:t>中华人民共和国</w:t>
      </w:r>
      <w:r>
        <w:rPr>
          <w:rFonts w:hint="eastAsia" w:ascii="仿宋_GB2312" w:hAnsi="仿宋" w:eastAsia="仿宋_GB2312" w:cs="仿宋"/>
          <w:color w:val="000000"/>
          <w:sz w:val="28"/>
          <w:szCs w:val="28"/>
        </w:rPr>
        <w:t>民法典》第1167条规定，权利人有权主张其停止侵权行为。</w:t>
      </w:r>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4"/>
        <w:jc w:val="both"/>
        <w:textAlignment w:val="auto"/>
        <w:rPr>
          <w:rFonts w:hint="eastAsia" w:ascii="楷体" w:hAnsi="楷体" w:eastAsia="楷体" w:cs="仿宋"/>
          <w:b/>
          <w:bCs/>
          <w:color w:val="000000"/>
          <w:sz w:val="28"/>
          <w:szCs w:val="28"/>
          <w:lang w:eastAsia="zh-CN"/>
        </w:rPr>
      </w:pPr>
      <w:r>
        <w:rPr>
          <w:rFonts w:hint="eastAsia" w:ascii="楷体" w:hAnsi="楷体" w:eastAsia="楷体" w:cs="仿宋"/>
          <w:b/>
          <w:bCs/>
          <w:color w:val="000000"/>
          <w:sz w:val="28"/>
          <w:szCs w:val="28"/>
          <w:lang w:eastAsia="zh-CN"/>
        </w:rPr>
        <w:t>二、赔偿损失</w:t>
      </w:r>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对于行为人实施的侵害权利人</w:t>
      </w:r>
      <w:r>
        <w:rPr>
          <w:rFonts w:hint="eastAsia" w:ascii="仿宋_GB2312" w:hAnsi="仿宋" w:eastAsia="仿宋_GB2312" w:cs="仿宋"/>
          <w:color w:val="000000"/>
          <w:sz w:val="28"/>
          <w:szCs w:val="28"/>
          <w:lang w:eastAsia="zh-CN"/>
        </w:rPr>
        <w:t>专利权</w:t>
      </w:r>
      <w:r>
        <w:rPr>
          <w:rFonts w:hint="eastAsia" w:ascii="仿宋_GB2312" w:hAnsi="仿宋" w:eastAsia="仿宋_GB2312" w:cs="仿宋"/>
          <w:color w:val="000000"/>
          <w:sz w:val="28"/>
          <w:szCs w:val="28"/>
        </w:rPr>
        <w:t>的行为，根据《</w:t>
      </w:r>
      <w:r>
        <w:rPr>
          <w:rFonts w:hint="eastAsia" w:ascii="仿宋_GB2312" w:hAnsi="仿宋" w:eastAsia="仿宋_GB2312" w:cs="仿宋"/>
          <w:color w:val="000000"/>
          <w:sz w:val="28"/>
          <w:szCs w:val="28"/>
          <w:lang w:eastAsia="zh-CN"/>
        </w:rPr>
        <w:t>中华人民共和国</w:t>
      </w:r>
      <w:r>
        <w:rPr>
          <w:rFonts w:hint="eastAsia" w:ascii="仿宋_GB2312" w:hAnsi="仿宋" w:eastAsia="仿宋_GB2312" w:cs="仿宋"/>
          <w:color w:val="000000"/>
          <w:sz w:val="28"/>
          <w:szCs w:val="28"/>
        </w:rPr>
        <w:t>民法典》1167、1184条的规定，权利人可主张行为人赔偿财产损失</w:t>
      </w:r>
      <w:r>
        <w:rPr>
          <w:rFonts w:hint="eastAsia" w:ascii="仿宋_GB2312" w:hAnsi="仿宋" w:eastAsia="仿宋_GB2312" w:cs="仿宋"/>
          <w:color w:val="000000"/>
          <w:sz w:val="28"/>
          <w:szCs w:val="28"/>
          <w:lang w:eastAsia="zh-CN"/>
        </w:rPr>
        <w:t>。同时依据《中华人民共和国专利法》第7条规定，侵犯专利权的赔偿</w:t>
      </w:r>
      <w:r>
        <w:rPr>
          <w:rFonts w:hint="eastAsia" w:ascii="仿宋_GB2312" w:hAnsi="仿宋" w:eastAsia="仿宋_GB2312" w:cs="仿宋"/>
          <w:color w:val="000000"/>
          <w:sz w:val="28"/>
          <w:szCs w:val="28"/>
        </w:rPr>
        <w:t>数额按照权利人因被侵权所受到的实际损失或者侵权人因侵权所获得的利益确定；权利人的损失或者侵权人获得的利益难以确定的，参照该专利许可使用费的倍数合理确定。对故意侵犯专利权，情节严重的，可以在按照上述方法确定数额的一倍以上五倍以下确定赔偿数额。</w:t>
      </w:r>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权利人的损失、侵权人获得的利益和专利许可使用费均难以确定的，人民法院可以根据专利权的类型、侵权行为的性质和情节等因素，确定给予三万元以上五百万元以下的赔偿。赔偿数额还应当包括权利人为制止侵权行为所支付的合理开支。</w:t>
      </w:r>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人民法院为确定赔偿数额，在权利人已经尽力举证，而与侵权行为相关的账簿、资料主要由侵权人掌握的情况下，可以责令侵权人提供与侵权行为相关的账簿、资料；侵权人不提供或者提供虚假的账簿、资料的，人民法院可以参考权利人的主张和提供的证据判定赔偿数额。</w:t>
      </w:r>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4"/>
        <w:jc w:val="both"/>
        <w:textAlignment w:val="auto"/>
        <w:rPr>
          <w:rFonts w:hint="eastAsia" w:ascii="仿宋" w:hAnsi="仿宋" w:eastAsia="仿宋" w:cs="仿宋"/>
          <w:b/>
          <w:bCs/>
          <w:color w:val="000000"/>
          <w:sz w:val="28"/>
          <w:szCs w:val="28"/>
        </w:rPr>
      </w:pPr>
    </w:p>
    <w:p>
      <w:pPr>
        <w:pStyle w:val="2"/>
        <w:keepNext w:val="0"/>
        <w:keepLines w:val="0"/>
        <w:pageBreakBefore w:val="0"/>
        <w:widowControl w:val="0"/>
        <w:tabs>
          <w:tab w:val="left" w:pos="3422"/>
        </w:tabs>
        <w:kinsoku/>
        <w:wordWrap/>
        <w:overflowPunct/>
        <w:topLinePunct w:val="0"/>
        <w:bidi w:val="0"/>
        <w:adjustRightInd/>
        <w:snapToGrid/>
        <w:spacing w:beforeAutospacing="0" w:afterAutospacing="0" w:line="500" w:lineRule="exact"/>
        <w:jc w:val="center"/>
        <w:textAlignment w:val="auto"/>
        <w:rPr>
          <w:rFonts w:hint="eastAsia" w:ascii="黑体" w:hAnsi="黑体" w:eastAsia="黑体" w:cs="黑体"/>
          <w:b w:val="0"/>
          <w:bCs/>
          <w:color w:val="000000"/>
          <w:sz w:val="28"/>
          <w:szCs w:val="28"/>
        </w:rPr>
      </w:pPr>
      <w:bookmarkStart w:id="199" w:name="_Toc8633"/>
      <w:r>
        <w:rPr>
          <w:rFonts w:hint="eastAsia" w:ascii="黑体" w:hAnsi="黑体" w:eastAsia="黑体" w:cs="黑体"/>
          <w:b w:val="0"/>
          <w:bCs/>
          <w:color w:val="000000"/>
          <w:sz w:val="28"/>
          <w:szCs w:val="28"/>
        </w:rPr>
        <w:t>第五章  专利侵权的被诉抗辩</w:t>
      </w:r>
      <w:bookmarkEnd w:id="199"/>
    </w:p>
    <w:p>
      <w:pPr>
        <w:pStyle w:val="2"/>
        <w:keepNext w:val="0"/>
        <w:keepLines w:val="0"/>
        <w:pageBreakBefore w:val="0"/>
        <w:widowControl w:val="0"/>
        <w:tabs>
          <w:tab w:val="left" w:pos="3851"/>
        </w:tabs>
        <w:kinsoku/>
        <w:wordWrap/>
        <w:overflowPunct/>
        <w:topLinePunct w:val="0"/>
        <w:bidi w:val="0"/>
        <w:adjustRightInd/>
        <w:snapToGrid/>
        <w:spacing w:beforeAutospacing="0" w:afterAutospacing="0" w:line="500" w:lineRule="exact"/>
        <w:ind w:firstLine="522" w:firstLineChars="200"/>
        <w:textAlignment w:val="auto"/>
        <w:rPr>
          <w:rFonts w:hint="eastAsia" w:ascii="楷体" w:hAnsi="楷体" w:eastAsia="楷体" w:cs="仿宋"/>
          <w:color w:val="000000"/>
          <w:sz w:val="28"/>
          <w:szCs w:val="28"/>
        </w:rPr>
      </w:pPr>
      <w:bookmarkStart w:id="200" w:name="_Toc16310"/>
      <w:r>
        <w:rPr>
          <w:rFonts w:hint="eastAsia" w:ascii="楷体" w:hAnsi="楷体" w:eastAsia="楷体" w:cs="仿宋"/>
          <w:bCs/>
          <w:color w:val="000000"/>
          <w:sz w:val="28"/>
          <w:szCs w:val="28"/>
          <w:lang w:eastAsia="en-US"/>
        </w:rPr>
        <w:t>一、诉讼主体不适格抗辩</w:t>
      </w:r>
      <w:bookmarkEnd w:id="200"/>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未经专利权人许可，实施其专利，即侵犯其专利权，引起纠纷的，由当事人协商解决；不愿协商或者协商不成的，专利权人或者利害关系人可以向人民法院起诉</w:t>
      </w:r>
      <w:r>
        <w:rPr>
          <w:rFonts w:hint="eastAsia" w:ascii="仿宋_GB2312" w:hAnsi="仿宋" w:eastAsia="仿宋_GB2312" w:cs="仿宋"/>
          <w:color w:val="000000"/>
          <w:sz w:val="28"/>
          <w:szCs w:val="28"/>
          <w:lang w:eastAsia="zh-CN"/>
        </w:rPr>
        <w:t>。</w:t>
      </w:r>
      <w:r>
        <w:rPr>
          <w:rFonts w:hint="eastAsia" w:ascii="仿宋_GB2312" w:hAnsi="仿宋" w:eastAsia="仿宋_GB2312" w:cs="仿宋"/>
          <w:color w:val="000000"/>
          <w:sz w:val="28"/>
          <w:szCs w:val="28"/>
        </w:rPr>
        <w:t>《最高人民法院关于审理商标</w:t>
      </w: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"https://www.66law.cn/special/msjf/" \t "https://www.66law.cn/laws/_blank" \o "民事纠纷"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民事纠纷</w:t>
      </w:r>
      <w:r>
        <w:rPr>
          <w:rFonts w:hint="eastAsia" w:ascii="仿宋_GB2312" w:hAnsi="仿宋" w:eastAsia="仿宋_GB2312" w:cs="仿宋"/>
          <w:color w:val="000000"/>
          <w:sz w:val="28"/>
          <w:szCs w:val="28"/>
        </w:rPr>
        <w:fldChar w:fldCharType="end"/>
      </w:r>
      <w:r>
        <w:rPr>
          <w:rFonts w:hint="eastAsia" w:ascii="仿宋_GB2312" w:hAnsi="仿宋" w:eastAsia="仿宋_GB2312" w:cs="仿宋"/>
          <w:color w:val="000000"/>
          <w:sz w:val="28"/>
          <w:szCs w:val="28"/>
        </w:rPr>
        <w:t>案件适用法律若干问题的解释》第四条确立了独占许可人的独立诉权、排他许可人在一定条件下的独立诉权和经原权利人授权的普通许可人的诉权</w:t>
      </w:r>
      <w:r>
        <w:rPr>
          <w:rFonts w:hint="eastAsia" w:ascii="仿宋_GB2312" w:hAnsi="仿宋" w:eastAsia="仿宋_GB2312" w:cs="仿宋"/>
          <w:color w:val="000000"/>
          <w:sz w:val="28"/>
          <w:szCs w:val="28"/>
          <w:lang w:eastAsia="zh-CN"/>
        </w:rPr>
        <w:t>。</w:t>
      </w:r>
      <w:r>
        <w:rPr>
          <w:rFonts w:hint="eastAsia" w:ascii="仿宋_GB2312" w:hAnsi="仿宋" w:eastAsia="仿宋_GB2312" w:cs="仿宋"/>
          <w:color w:val="000000"/>
          <w:sz w:val="28"/>
          <w:szCs w:val="28"/>
        </w:rPr>
        <w:t>虽然专利权的相关规定中没有具体类似条款对继受权利人诉权作出具体规定，但由于专利权许可实施合同的种类和许可的权限与</w:t>
      </w:r>
      <w:r>
        <w:rPr>
          <w:rFonts w:hint="eastAsia" w:ascii="仿宋_GB2312" w:hAnsi="仿宋" w:eastAsia="仿宋_GB2312" w:cs="仿宋"/>
          <w:color w:val="000000"/>
          <w:sz w:val="28"/>
          <w:szCs w:val="28"/>
          <w:lang w:eastAsia="zh-CN"/>
        </w:rPr>
        <w:t>商标许可</w:t>
      </w:r>
      <w:r>
        <w:rPr>
          <w:rFonts w:hint="eastAsia" w:ascii="仿宋_GB2312" w:hAnsi="仿宋" w:eastAsia="仿宋_GB2312" w:cs="仿宋"/>
          <w:color w:val="000000"/>
          <w:sz w:val="28"/>
          <w:szCs w:val="28"/>
        </w:rPr>
        <w:t>中的含义基本一致，可以类推认为专利权侵权案件中被许可使用人诉权也可依此认定</w:t>
      </w:r>
      <w:r>
        <w:rPr>
          <w:rFonts w:hint="eastAsia" w:ascii="仿宋_GB2312" w:hAnsi="仿宋" w:eastAsia="仿宋_GB2312" w:cs="仿宋"/>
          <w:color w:val="000000"/>
          <w:sz w:val="28"/>
          <w:szCs w:val="28"/>
          <w:lang w:eastAsia="zh-CN"/>
        </w:rPr>
        <w:t>。</w:t>
      </w:r>
      <w:r>
        <w:rPr>
          <w:rFonts w:hint="eastAsia" w:ascii="仿宋_GB2312" w:hAnsi="仿宋" w:eastAsia="仿宋_GB2312" w:cs="仿宋"/>
          <w:color w:val="000000"/>
          <w:sz w:val="28"/>
          <w:szCs w:val="28"/>
        </w:rPr>
        <w:t>因此，原告的主体应当符合上述规定，如果原告不符合上述规定，被告可以提出原告诉讼主体不适格的抗辩。</w:t>
      </w:r>
    </w:p>
    <w:p>
      <w:pPr>
        <w:pStyle w:val="2"/>
        <w:keepNext w:val="0"/>
        <w:keepLines w:val="0"/>
        <w:pageBreakBefore w:val="0"/>
        <w:widowControl w:val="0"/>
        <w:kinsoku/>
        <w:wordWrap/>
        <w:overflowPunct/>
        <w:topLinePunct w:val="0"/>
        <w:bidi w:val="0"/>
        <w:adjustRightInd/>
        <w:snapToGrid/>
        <w:spacing w:beforeAutospacing="0" w:afterAutospacing="0" w:line="500" w:lineRule="exact"/>
        <w:ind w:firstLine="522" w:firstLineChars="200"/>
        <w:textAlignment w:val="auto"/>
        <w:rPr>
          <w:rFonts w:hint="eastAsia" w:ascii="楷体" w:hAnsi="楷体" w:eastAsia="楷体" w:cs="仿宋"/>
          <w:color w:val="000000"/>
          <w:sz w:val="28"/>
          <w:szCs w:val="28"/>
        </w:rPr>
      </w:pPr>
      <w:bookmarkStart w:id="201" w:name="_Toc26256"/>
      <w:r>
        <w:rPr>
          <w:rFonts w:hint="eastAsia" w:ascii="楷体" w:hAnsi="楷体" w:eastAsia="楷体" w:cs="仿宋"/>
          <w:color w:val="000000"/>
          <w:sz w:val="28"/>
          <w:szCs w:val="28"/>
        </w:rPr>
        <w:t>二、专利权效力抗辩</w:t>
      </w:r>
      <w:bookmarkEnd w:id="201"/>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诉侵权人提供证据证明涉案专利权未生效、失效、已被依法宣告无效的，可以裁定驳回原告的起诉。在侵犯专利权诉讼中，被诉侵权人以专利权不符合专利授权条件、应当被宣告无效进行抗辩的，其无效宣告请求应当向专利复审委员会提出。</w:t>
      </w:r>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4"/>
        <w:jc w:val="both"/>
        <w:textAlignment w:val="auto"/>
        <w:rPr>
          <w:rFonts w:hint="eastAsia" w:ascii="楷体" w:hAnsi="楷体" w:eastAsia="楷体" w:cs="仿宋"/>
          <w:b/>
          <w:bCs/>
          <w:color w:val="000000"/>
          <w:sz w:val="28"/>
          <w:szCs w:val="28"/>
        </w:rPr>
      </w:pPr>
      <w:r>
        <w:rPr>
          <w:rFonts w:hint="eastAsia" w:ascii="楷体" w:hAnsi="楷体" w:eastAsia="楷体" w:cs="仿宋"/>
          <w:b/>
          <w:bCs/>
          <w:color w:val="000000"/>
          <w:sz w:val="28"/>
          <w:szCs w:val="28"/>
          <w:lang w:eastAsia="zh-CN"/>
        </w:rPr>
        <w:t>三</w:t>
      </w:r>
      <w:r>
        <w:rPr>
          <w:rFonts w:hint="eastAsia" w:ascii="楷体" w:hAnsi="楷体" w:eastAsia="楷体" w:cs="仿宋"/>
          <w:b/>
          <w:bCs/>
          <w:color w:val="000000"/>
          <w:sz w:val="28"/>
          <w:szCs w:val="28"/>
        </w:rPr>
        <w:t>、滥用专利权抗辩</w:t>
      </w:r>
    </w:p>
    <w:p>
      <w:pPr>
        <w:pStyle w:val="7"/>
        <w:keepNext w:val="0"/>
        <w:keepLines w:val="0"/>
        <w:pageBreakBefore w:val="0"/>
        <w:widowControl w:val="0"/>
        <w:numPr>
          <w:ilvl w:val="0"/>
          <w:numId w:val="146"/>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被诉侵权人提供证据证明涉案专利为专利权人恶意取得的， 可以判决驳回原告的诉讼请求。在侵犯专利权诉讼中，专利权被宣告无效的，不宜轻易认定为滥用专利权。</w:t>
      </w:r>
    </w:p>
    <w:p>
      <w:pPr>
        <w:pStyle w:val="7"/>
        <w:keepNext w:val="0"/>
        <w:keepLines w:val="0"/>
        <w:pageBreakBefore w:val="0"/>
        <w:widowControl w:val="0"/>
        <w:numPr>
          <w:ilvl w:val="0"/>
          <w:numId w:val="146"/>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恶意取得专利权，是指将明知不应当获得专利保护的发明创造申请专利并获得了专利权的行为，包括下述情形：</w:t>
      </w:r>
    </w:p>
    <w:p>
      <w:pPr>
        <w:pStyle w:val="25"/>
        <w:keepNext w:val="0"/>
        <w:keepLines w:val="0"/>
        <w:pageBreakBefore w:val="0"/>
        <w:widowControl w:val="0"/>
        <w:numPr>
          <w:ilvl w:val="0"/>
          <w:numId w:val="147"/>
        </w:numPr>
        <w:tabs>
          <w:tab w:val="left" w:pos="1382"/>
        </w:tabs>
        <w:kinsoku/>
        <w:wordWrap/>
        <w:overflowPunct/>
        <w:topLinePunct w:val="0"/>
        <w:autoSpaceDE w:val="0"/>
        <w:autoSpaceDN w:val="0"/>
        <w:bidi w:val="0"/>
        <w:adjustRightInd/>
        <w:snapToGrid/>
        <w:spacing w:beforeAutospacing="0" w:after="0" w:afterAutospacing="0" w:line="500" w:lineRule="exact"/>
        <w:ind w:firstLine="52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将申请日前专利权人明确知悉的国家标准、行业标准等技术标准中的技术方案申请专利并取得专利权的；</w:t>
      </w:r>
    </w:p>
    <w:p>
      <w:pPr>
        <w:pStyle w:val="25"/>
        <w:keepNext w:val="0"/>
        <w:keepLines w:val="0"/>
        <w:pageBreakBefore w:val="0"/>
        <w:widowControl w:val="0"/>
        <w:numPr>
          <w:ilvl w:val="0"/>
          <w:numId w:val="147"/>
        </w:numPr>
        <w:tabs>
          <w:tab w:val="left" w:pos="1382"/>
        </w:tabs>
        <w:kinsoku/>
        <w:wordWrap/>
        <w:overflowPunct/>
        <w:topLinePunct w:val="0"/>
        <w:autoSpaceDE w:val="0"/>
        <w:autoSpaceDN w:val="0"/>
        <w:bidi w:val="0"/>
        <w:adjustRightInd/>
        <w:snapToGrid/>
        <w:spacing w:beforeAutospacing="0" w:after="0" w:afterAutospacing="0" w:line="500" w:lineRule="exact"/>
        <w:ind w:firstLine="52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国家标准、行业标准等技术标准的制定参与人，将在上述标准的起草、制定等过程中明确知悉的他人技术方案申请专利并取得专利权的；</w:t>
      </w:r>
    </w:p>
    <w:p>
      <w:pPr>
        <w:pStyle w:val="25"/>
        <w:keepNext w:val="0"/>
        <w:keepLines w:val="0"/>
        <w:pageBreakBefore w:val="0"/>
        <w:widowControl w:val="0"/>
        <w:numPr>
          <w:ilvl w:val="0"/>
          <w:numId w:val="147"/>
        </w:numPr>
        <w:tabs>
          <w:tab w:val="left" w:pos="1382"/>
        </w:tabs>
        <w:kinsoku/>
        <w:wordWrap/>
        <w:overflowPunct/>
        <w:topLinePunct w:val="0"/>
        <w:autoSpaceDE w:val="0"/>
        <w:autoSpaceDN w:val="0"/>
        <w:bidi w:val="0"/>
        <w:adjustRightInd/>
        <w:snapToGrid/>
        <w:spacing w:beforeAutospacing="0" w:after="0" w:afterAutospacing="0" w:line="500" w:lineRule="exact"/>
        <w:ind w:firstLine="52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将明知为某一地区广为制造或使用的产品申请专利并取得专利权的；</w:t>
      </w:r>
    </w:p>
    <w:p>
      <w:pPr>
        <w:pStyle w:val="25"/>
        <w:keepNext w:val="0"/>
        <w:keepLines w:val="0"/>
        <w:pageBreakBefore w:val="0"/>
        <w:widowControl w:val="0"/>
        <w:numPr>
          <w:ilvl w:val="0"/>
          <w:numId w:val="147"/>
        </w:numPr>
        <w:tabs>
          <w:tab w:val="left" w:pos="1382"/>
        </w:tabs>
        <w:kinsoku/>
        <w:wordWrap/>
        <w:overflowPunct/>
        <w:topLinePunct w:val="0"/>
        <w:autoSpaceDE w:val="0"/>
        <w:autoSpaceDN w:val="0"/>
        <w:bidi w:val="0"/>
        <w:adjustRightInd/>
        <w:snapToGrid/>
        <w:spacing w:beforeAutospacing="0" w:after="0" w:afterAutospacing="0" w:line="500" w:lineRule="exact"/>
        <w:ind w:firstLine="52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采用编造实验数据、虚构技术效果等手段使涉案专利满足专利法的授权条件并取得专利权的；</w:t>
      </w:r>
    </w:p>
    <w:p>
      <w:pPr>
        <w:pStyle w:val="25"/>
        <w:keepNext w:val="0"/>
        <w:keepLines w:val="0"/>
        <w:pageBreakBefore w:val="0"/>
        <w:widowControl w:val="0"/>
        <w:numPr>
          <w:ilvl w:val="0"/>
          <w:numId w:val="147"/>
        </w:numPr>
        <w:tabs>
          <w:tab w:val="left" w:pos="1382"/>
        </w:tabs>
        <w:kinsoku/>
        <w:wordWrap/>
        <w:overflowPunct/>
        <w:topLinePunct w:val="0"/>
        <w:autoSpaceDE w:val="0"/>
        <w:autoSpaceDN w:val="0"/>
        <w:bidi w:val="0"/>
        <w:adjustRightInd/>
        <w:snapToGrid/>
        <w:spacing w:beforeAutospacing="0" w:after="0" w:afterAutospacing="0" w:line="500" w:lineRule="exact"/>
        <w:ind w:firstLine="52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将域外公开的专利申请文件所披露的技术方案在中国申请并获得专利权的。</w:t>
      </w:r>
    </w:p>
    <w:p>
      <w:pPr>
        <w:pStyle w:val="2"/>
        <w:keepNext w:val="0"/>
        <w:keepLines w:val="0"/>
        <w:pageBreakBefore w:val="0"/>
        <w:widowControl w:val="0"/>
        <w:kinsoku/>
        <w:wordWrap/>
        <w:overflowPunct/>
        <w:topLinePunct w:val="0"/>
        <w:bidi w:val="0"/>
        <w:adjustRightInd/>
        <w:snapToGrid/>
        <w:spacing w:beforeAutospacing="0" w:afterAutospacing="0" w:line="500" w:lineRule="exact"/>
        <w:ind w:firstLine="522" w:firstLineChars="200"/>
        <w:textAlignment w:val="auto"/>
        <w:rPr>
          <w:rFonts w:hint="eastAsia" w:ascii="楷体" w:hAnsi="楷体" w:eastAsia="楷体" w:cs="仿宋"/>
          <w:color w:val="000000"/>
          <w:sz w:val="28"/>
          <w:szCs w:val="28"/>
        </w:rPr>
      </w:pPr>
      <w:bookmarkStart w:id="202" w:name="_Toc17535"/>
      <w:r>
        <w:rPr>
          <w:rFonts w:hint="eastAsia" w:ascii="楷体" w:hAnsi="楷体" w:eastAsia="楷体" w:cs="仿宋"/>
          <w:color w:val="000000"/>
          <w:sz w:val="28"/>
          <w:szCs w:val="28"/>
        </w:rPr>
        <w:t>四、未落入专利权技术方案抗辩</w:t>
      </w:r>
      <w:bookmarkEnd w:id="202"/>
    </w:p>
    <w:p>
      <w:pPr>
        <w:pStyle w:val="7"/>
        <w:keepNext w:val="0"/>
        <w:keepLines w:val="0"/>
        <w:pageBreakBefore w:val="0"/>
        <w:widowControl w:val="0"/>
        <w:numPr>
          <w:ilvl w:val="0"/>
          <w:numId w:val="148"/>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被诉侵权技术方案的技术特征与权利要求记载的全部技术特征相比，缺少权利要求中记载的一项或一项以上技术特征的，不构成侵犯专利权。</w:t>
      </w:r>
    </w:p>
    <w:p>
      <w:pPr>
        <w:pStyle w:val="7"/>
        <w:keepNext w:val="0"/>
        <w:keepLines w:val="0"/>
        <w:pageBreakBefore w:val="0"/>
        <w:widowControl w:val="0"/>
        <w:numPr>
          <w:ilvl w:val="0"/>
          <w:numId w:val="148"/>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被诉侵权技术方案的技术特征与权利要求中对应技术特征相比，有一项或者一项以上的技术特征既不相同也不等同的，不构成侵犯专利权。下列情况可以认定为不相同也不等同：</w:t>
      </w:r>
    </w:p>
    <w:p>
      <w:pPr>
        <w:pStyle w:val="7"/>
        <w:keepNext w:val="0"/>
        <w:keepLines w:val="0"/>
        <w:pageBreakBefore w:val="0"/>
        <w:widowControl w:val="0"/>
        <w:numPr>
          <w:ilvl w:val="0"/>
          <w:numId w:val="149"/>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该技术特征使被诉侵权技术方案构成了一项新的技术方案；</w:t>
      </w:r>
    </w:p>
    <w:p>
      <w:pPr>
        <w:pStyle w:val="7"/>
        <w:keepNext w:val="0"/>
        <w:keepLines w:val="0"/>
        <w:pageBreakBefore w:val="0"/>
        <w:widowControl w:val="0"/>
        <w:numPr>
          <w:ilvl w:val="0"/>
          <w:numId w:val="149"/>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该技术特征在功能、效果上明显优于权利要求中对应的技术特征，并且所属技术领域的普通技术人员认为这种变化具有实质性的改进。</w:t>
      </w:r>
    </w:p>
    <w:p>
      <w:pPr>
        <w:pStyle w:val="25"/>
        <w:keepNext w:val="0"/>
        <w:keepLines w:val="0"/>
        <w:pageBreakBefore w:val="0"/>
        <w:widowControl w:val="0"/>
        <w:numPr>
          <w:ilvl w:val="0"/>
          <w:numId w:val="149"/>
        </w:numPr>
        <w:tabs>
          <w:tab w:val="left" w:pos="1382"/>
          <w:tab w:val="clear" w:pos="420"/>
        </w:tabs>
        <w:kinsoku/>
        <w:wordWrap/>
        <w:overflowPunct/>
        <w:topLinePunct w:val="0"/>
        <w:bidi w:val="0"/>
        <w:adjustRightInd/>
        <w:snapToGrid/>
        <w:spacing w:beforeAutospacing="0" w:after="0" w:afterAutospacing="0" w:line="500" w:lineRule="exact"/>
        <w:ind w:firstLine="52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被诉侵权技术方案省略权利要求中个别技术特征或者以简单或低级的技术特征替换权利要求中相应技术特征，舍弃或显著降低权利要求中与该技术特征对应的性能和效果从而形成变劣技术方案的。</w:t>
      </w:r>
    </w:p>
    <w:p>
      <w:pPr>
        <w:pStyle w:val="7"/>
        <w:keepNext w:val="0"/>
        <w:keepLines w:val="0"/>
        <w:pageBreakBefore w:val="0"/>
        <w:widowControl w:val="0"/>
        <w:numPr>
          <w:ilvl w:val="0"/>
          <w:numId w:val="148"/>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为私人利用等非生产经营目的实施他人专利的，不构成侵犯专利权。</w:t>
      </w:r>
    </w:p>
    <w:p>
      <w:pPr>
        <w:pStyle w:val="2"/>
        <w:keepNext w:val="0"/>
        <w:keepLines w:val="0"/>
        <w:pageBreakBefore w:val="0"/>
        <w:widowControl w:val="0"/>
        <w:kinsoku/>
        <w:wordWrap/>
        <w:overflowPunct/>
        <w:topLinePunct w:val="0"/>
        <w:bidi w:val="0"/>
        <w:adjustRightInd/>
        <w:snapToGrid/>
        <w:spacing w:beforeAutospacing="0" w:afterAutospacing="0" w:line="500" w:lineRule="exact"/>
        <w:ind w:firstLine="522" w:firstLineChars="200"/>
        <w:textAlignment w:val="auto"/>
        <w:rPr>
          <w:rFonts w:hint="eastAsia" w:ascii="楷体" w:hAnsi="楷体" w:eastAsia="楷体" w:cs="仿宋"/>
          <w:color w:val="000000"/>
          <w:sz w:val="28"/>
          <w:szCs w:val="28"/>
        </w:rPr>
      </w:pPr>
      <w:bookmarkStart w:id="203" w:name="_Toc29799"/>
      <w:r>
        <w:rPr>
          <w:rFonts w:hint="eastAsia" w:ascii="楷体" w:hAnsi="楷体" w:eastAsia="楷体" w:cs="仿宋"/>
          <w:color w:val="000000"/>
          <w:sz w:val="28"/>
          <w:szCs w:val="28"/>
        </w:rPr>
        <w:t>五、不视为侵权的抗辩</w:t>
      </w:r>
      <w:bookmarkEnd w:id="203"/>
    </w:p>
    <w:p>
      <w:pPr>
        <w:pStyle w:val="7"/>
        <w:keepNext w:val="0"/>
        <w:keepLines w:val="0"/>
        <w:pageBreakBefore w:val="0"/>
        <w:widowControl w:val="0"/>
        <w:numPr>
          <w:ilvl w:val="0"/>
          <w:numId w:val="150"/>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专利产品或者依照专利方法直接获得的产品，由专利权人或者经其许可的单位、个人售出后，使用、许诺销售、销售、进口该产品的，不视为侵犯专利权，包括：</w:t>
      </w:r>
    </w:p>
    <w:p>
      <w:pPr>
        <w:pStyle w:val="25"/>
        <w:keepNext w:val="0"/>
        <w:keepLines w:val="0"/>
        <w:pageBreakBefore w:val="0"/>
        <w:widowControl w:val="0"/>
        <w:numPr>
          <w:ilvl w:val="0"/>
          <w:numId w:val="151"/>
        </w:numPr>
        <w:tabs>
          <w:tab w:val="left" w:pos="1377"/>
        </w:tabs>
        <w:kinsoku/>
        <w:wordWrap/>
        <w:overflowPunct/>
        <w:topLinePunct w:val="0"/>
        <w:autoSpaceDE w:val="0"/>
        <w:autoSpaceDN w:val="0"/>
        <w:bidi w:val="0"/>
        <w:adjustRightInd/>
        <w:snapToGrid/>
        <w:spacing w:beforeAutospacing="0" w:after="0" w:afterAutospacing="0" w:line="500" w:lineRule="exact"/>
        <w:ind w:firstLine="52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专利权人或者其被许可人在中国境内售出其专利产品或者依照专利方法直接获得的产品后，购买者在中国境内使用、许诺销售、销售该产品；</w:t>
      </w:r>
    </w:p>
    <w:p>
      <w:pPr>
        <w:pStyle w:val="7"/>
        <w:keepNext w:val="0"/>
        <w:keepLines w:val="0"/>
        <w:pageBreakBefore w:val="0"/>
        <w:widowControl w:val="0"/>
        <w:numPr>
          <w:ilvl w:val="0"/>
          <w:numId w:val="151"/>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专利权人或者其被许可人在中国境外售出其专利产品或者依照专利方法直接获得的产品后，购买者将该产品进口到中国境内以及随后在中国境内使用、许诺销售、销售该产品；</w:t>
      </w:r>
    </w:p>
    <w:p>
      <w:pPr>
        <w:pStyle w:val="25"/>
        <w:keepNext w:val="0"/>
        <w:keepLines w:val="0"/>
        <w:pageBreakBefore w:val="0"/>
        <w:widowControl w:val="0"/>
        <w:numPr>
          <w:ilvl w:val="0"/>
          <w:numId w:val="151"/>
        </w:numPr>
        <w:tabs>
          <w:tab w:val="left" w:pos="1382"/>
        </w:tabs>
        <w:kinsoku/>
        <w:wordWrap/>
        <w:overflowPunct/>
        <w:topLinePunct w:val="0"/>
        <w:autoSpaceDE w:val="0"/>
        <w:autoSpaceDN w:val="0"/>
        <w:bidi w:val="0"/>
        <w:adjustRightInd/>
        <w:snapToGrid/>
        <w:spacing w:beforeAutospacing="0" w:after="0" w:afterAutospacing="0" w:line="500" w:lineRule="exact"/>
        <w:ind w:firstLine="52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专利权人或者其被许可人售出其专利产品的专用部件后， 使用、许诺销售、销售该部件或将其组装制造专利产品；</w:t>
      </w:r>
    </w:p>
    <w:p>
      <w:pPr>
        <w:pStyle w:val="25"/>
        <w:keepNext w:val="0"/>
        <w:keepLines w:val="0"/>
        <w:pageBreakBefore w:val="0"/>
        <w:widowControl w:val="0"/>
        <w:numPr>
          <w:ilvl w:val="0"/>
          <w:numId w:val="151"/>
        </w:numPr>
        <w:tabs>
          <w:tab w:val="left" w:pos="1382"/>
        </w:tabs>
        <w:kinsoku/>
        <w:wordWrap/>
        <w:overflowPunct/>
        <w:topLinePunct w:val="0"/>
        <w:autoSpaceDE w:val="0"/>
        <w:autoSpaceDN w:val="0"/>
        <w:bidi w:val="0"/>
        <w:adjustRightInd/>
        <w:snapToGrid/>
        <w:spacing w:beforeAutospacing="0" w:after="0" w:afterAutospacing="0" w:line="500" w:lineRule="exact"/>
        <w:ind w:firstLine="52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方法专利的专利权人或者其被许可人售出专门用于实施其专利方法的设备后，使用该设备实施该方法专利。</w:t>
      </w:r>
    </w:p>
    <w:p>
      <w:pPr>
        <w:pStyle w:val="7"/>
        <w:keepNext w:val="0"/>
        <w:keepLines w:val="0"/>
        <w:pageBreakBefore w:val="0"/>
        <w:widowControl w:val="0"/>
        <w:numPr>
          <w:ilvl w:val="0"/>
          <w:numId w:val="150"/>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在专利申请日前已经制造相同产品、使用相同方法或者已经做好制造、使用的必要准备，并且仅在原有范围内继续制造、使用的， 不视为侵犯专利权。使用、许诺销售、销售上述情形下制造的专利产品或者依照专利方法直接获得的产品的，也不视为侵犯专利权。</w:t>
      </w:r>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享有先用权的条件是：</w:t>
      </w:r>
    </w:p>
    <w:p>
      <w:pPr>
        <w:pStyle w:val="25"/>
        <w:keepNext w:val="0"/>
        <w:keepLines w:val="0"/>
        <w:pageBreakBefore w:val="0"/>
        <w:widowControl w:val="0"/>
        <w:numPr>
          <w:ilvl w:val="0"/>
          <w:numId w:val="152"/>
        </w:numPr>
        <w:tabs>
          <w:tab w:val="left" w:pos="1382"/>
        </w:tabs>
        <w:kinsoku/>
        <w:wordWrap/>
        <w:overflowPunct/>
        <w:topLinePunct w:val="0"/>
        <w:autoSpaceDE w:val="0"/>
        <w:autoSpaceDN w:val="0"/>
        <w:bidi w:val="0"/>
        <w:adjustRightInd/>
        <w:snapToGrid/>
        <w:spacing w:beforeAutospacing="0" w:after="0" w:afterAutospacing="0" w:line="500" w:lineRule="exact"/>
        <w:ind w:firstLine="52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做好了制造、使用的必要准备。即已经完成实施发明创造所必需的主要技术图纸或者工艺文件，或者已经制造或者购买实施发明创造所必需的主要设备或者原材料。</w:t>
      </w:r>
    </w:p>
    <w:p>
      <w:pPr>
        <w:pStyle w:val="25"/>
        <w:keepNext w:val="0"/>
        <w:keepLines w:val="0"/>
        <w:pageBreakBefore w:val="0"/>
        <w:widowControl w:val="0"/>
        <w:numPr>
          <w:ilvl w:val="0"/>
          <w:numId w:val="152"/>
        </w:numPr>
        <w:tabs>
          <w:tab w:val="left" w:pos="1382"/>
        </w:tabs>
        <w:kinsoku/>
        <w:wordWrap/>
        <w:overflowPunct/>
        <w:topLinePunct w:val="0"/>
        <w:autoSpaceDE w:val="0"/>
        <w:autoSpaceDN w:val="0"/>
        <w:bidi w:val="0"/>
        <w:adjustRightInd/>
        <w:snapToGrid/>
        <w:spacing w:beforeAutospacing="0" w:after="0" w:afterAutospacing="0" w:line="500" w:lineRule="exact"/>
        <w:ind w:firstLine="522" w:firstLineChars="200"/>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仅在原有范围内继续制造、使用。“原有范围”包括：专利申请日前已有的生产规模以及利用已有的生产设备或者根据已有的生产准备可以达到的生产规模。</w:t>
      </w:r>
    </w:p>
    <w:p>
      <w:pPr>
        <w:pStyle w:val="7"/>
        <w:keepNext w:val="0"/>
        <w:keepLines w:val="0"/>
        <w:pageBreakBefore w:val="0"/>
        <w:widowControl w:val="0"/>
        <w:numPr>
          <w:ilvl w:val="0"/>
          <w:numId w:val="152"/>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在先制造产品或者在先使用的方法或设计，应是先用权人自己独立研究完成或者以合法手段从专利权人或其他独立研究完成者处取得的，而不是在专利申请日前抄袭、窃取或者以其他不正当手段获取的。被诉侵权人以非法获得的技术或者设计主张先用权抗辩的， 不应予以支持。</w:t>
      </w:r>
    </w:p>
    <w:p>
      <w:pPr>
        <w:pStyle w:val="7"/>
        <w:keepNext w:val="0"/>
        <w:keepLines w:val="0"/>
        <w:pageBreakBefore w:val="0"/>
        <w:widowControl w:val="0"/>
        <w:numPr>
          <w:ilvl w:val="0"/>
          <w:numId w:val="152"/>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先用权人对于自己在先实施的技术不能转让，除非连同所属企业一并转让。即先用权人在专利申请日后将其已经实施或作好实施必要准备的技术或设计转让或者许可他人实施，被诉侵权人主张该实施行为属于在原有范围内继续实施的，不应予以支持，但该技术或设计与原有企业一并转让或者承继的除外。</w:t>
      </w:r>
    </w:p>
    <w:p>
      <w:pPr>
        <w:pStyle w:val="7"/>
        <w:keepNext w:val="0"/>
        <w:keepLines w:val="0"/>
        <w:pageBreakBefore w:val="0"/>
        <w:widowControl w:val="0"/>
        <w:numPr>
          <w:ilvl w:val="0"/>
          <w:numId w:val="150"/>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临时通过中国领土、领水、领空的外国运输工具，依照其所属国同中国签订的协议，或者共同参加的国际条约，或者依照互惠原则，为运输工具自身需要而在其装置和设备中使用有关专利的，不视为侵犯专利权。但是临时过境不包括用交通运输工具对专利产品的“转运”，即从一个交通运输工具转到另一个交通运输工具的行为。</w:t>
      </w:r>
    </w:p>
    <w:p>
      <w:pPr>
        <w:pStyle w:val="7"/>
        <w:keepNext w:val="0"/>
        <w:keepLines w:val="0"/>
        <w:pageBreakBefore w:val="0"/>
        <w:widowControl w:val="0"/>
        <w:numPr>
          <w:ilvl w:val="0"/>
          <w:numId w:val="150"/>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专为科学研究和实验而使用有关专利，不视为侵犯专利权。</w:t>
      </w:r>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专为科学研究和实验,是指专门针对专利技术方案本身进行的科学研究和实验，其目的是研究、验证、改进他人专利技术，在已有专利技术的基础上产生新的技术成果。</w:t>
      </w:r>
    </w:p>
    <w:p>
      <w:pPr>
        <w:pStyle w:val="7"/>
        <w:keepNext w:val="0"/>
        <w:keepLines w:val="0"/>
        <w:pageBreakBefore w:val="0"/>
        <w:widowControl w:val="0"/>
        <w:numPr>
          <w:ilvl w:val="0"/>
          <w:numId w:val="150"/>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为提供行政审批所需要的信息，而制造、使用、进口专利药品或者专利医疗器械的，以及专门为其制造、进口专利药品或者专利医疗器械，不视为侵犯专利权。</w:t>
      </w:r>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行政审批所需要的信息，是指《中华人民共和国药品管理法》、《中华人民共和国药品管理法实施条例》以及《药品注册管理办法》等相关药品管理法律法规、部门规章等规定的实验资料、研究报告、科技文献等相关材料。</w:t>
      </w:r>
    </w:p>
    <w:p>
      <w:pPr>
        <w:pStyle w:val="2"/>
        <w:keepNext w:val="0"/>
        <w:keepLines w:val="0"/>
        <w:pageBreakBefore w:val="0"/>
        <w:widowControl w:val="0"/>
        <w:kinsoku/>
        <w:wordWrap/>
        <w:overflowPunct/>
        <w:topLinePunct w:val="0"/>
        <w:bidi w:val="0"/>
        <w:adjustRightInd/>
        <w:snapToGrid/>
        <w:spacing w:beforeAutospacing="0" w:afterAutospacing="0" w:line="500" w:lineRule="exact"/>
        <w:ind w:firstLine="522" w:firstLineChars="200"/>
        <w:textAlignment w:val="auto"/>
        <w:rPr>
          <w:rFonts w:hint="eastAsia" w:ascii="楷体" w:hAnsi="楷体" w:eastAsia="楷体" w:cs="仿宋"/>
          <w:color w:val="000000"/>
          <w:sz w:val="28"/>
          <w:szCs w:val="28"/>
        </w:rPr>
      </w:pPr>
      <w:bookmarkStart w:id="204" w:name="_Toc1026"/>
      <w:r>
        <w:rPr>
          <w:rFonts w:hint="eastAsia" w:ascii="楷体" w:hAnsi="楷体" w:eastAsia="楷体" w:cs="仿宋"/>
          <w:color w:val="000000"/>
          <w:sz w:val="28"/>
          <w:szCs w:val="28"/>
        </w:rPr>
        <w:t>六、现有技术抗辩及现有设计抗辩</w:t>
      </w:r>
      <w:bookmarkEnd w:id="204"/>
    </w:p>
    <w:p>
      <w:pPr>
        <w:pStyle w:val="7"/>
        <w:keepNext w:val="0"/>
        <w:keepLines w:val="0"/>
        <w:pageBreakBefore w:val="0"/>
        <w:widowControl w:val="0"/>
        <w:numPr>
          <w:ilvl w:val="0"/>
          <w:numId w:val="153"/>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现有技术抗辩，是指被诉落入专利权保护范围的全部技术特征，与一项现有技术方案中的相应技术特征相同或者等同，或者所属技术领域的普通技术人员认为被诉侵权技术方案是一项现有技术与所属领域公知常识的简单组合的，应当认定被诉侵权人实施的技术属于现有技术，被诉侵权人的行为不构成侵犯专利权。</w:t>
      </w:r>
    </w:p>
    <w:p>
      <w:pPr>
        <w:pStyle w:val="7"/>
        <w:keepNext w:val="0"/>
        <w:keepLines w:val="0"/>
        <w:pageBreakBefore w:val="0"/>
        <w:widowControl w:val="0"/>
        <w:numPr>
          <w:ilvl w:val="0"/>
          <w:numId w:val="153"/>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现有技术，是指专利申请日以前在国内外为公众所知的技术， 既包括进入公有领域、公众可以自由使用的技术，也包括尚处于他人专利权保护范围内的非公有技术，还包括专利权人拥有的其他在先专利技术；但是，根据专利法第二十四条的规定享受新颖性宽限期的技术不得作为现有技术援引用于抗辩。</w:t>
      </w:r>
    </w:p>
    <w:p>
      <w:pPr>
        <w:pStyle w:val="7"/>
        <w:keepNext w:val="0"/>
        <w:keepLines w:val="0"/>
        <w:pageBreakBefore w:val="0"/>
        <w:widowControl w:val="0"/>
        <w:numPr>
          <w:ilvl w:val="0"/>
          <w:numId w:val="153"/>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现有设计抗辩，是指被诉侵权外观与一项现有设计相同或者相近似，或者被诉侵权产品的外观设计是一项现有外观设计与该产品的惯常设计的简单组合，则被诉侵权外观构成现有设计，被诉侵权人的行为不构成侵犯外观设计专利。</w:t>
      </w:r>
    </w:p>
    <w:p>
      <w:pPr>
        <w:pStyle w:val="7"/>
        <w:keepNext w:val="0"/>
        <w:keepLines w:val="0"/>
        <w:pageBreakBefore w:val="0"/>
        <w:widowControl w:val="0"/>
        <w:numPr>
          <w:ilvl w:val="0"/>
          <w:numId w:val="153"/>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现有设计是指申请日以前在国内外为公众所知的设计，包括在国内外以出版物形式公开和以使用等方式公开的设计。</w:t>
      </w:r>
    </w:p>
    <w:p>
      <w:pPr>
        <w:pStyle w:val="7"/>
        <w:keepNext w:val="0"/>
        <w:keepLines w:val="0"/>
        <w:pageBreakBefore w:val="0"/>
        <w:widowControl w:val="0"/>
        <w:numPr>
          <w:ilvl w:val="0"/>
          <w:numId w:val="153"/>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对于依据 2008 年修订的专利法实施之前专利法规定申请并获得授权的专利权，其现有技术或现有设计应当依据修改前专利法的规定确定。</w:t>
      </w:r>
    </w:p>
    <w:p>
      <w:pPr>
        <w:pStyle w:val="7"/>
        <w:keepNext w:val="0"/>
        <w:keepLines w:val="0"/>
        <w:pageBreakBefore w:val="0"/>
        <w:widowControl w:val="0"/>
        <w:numPr>
          <w:ilvl w:val="0"/>
          <w:numId w:val="153"/>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lang w:eastAsia="zh-CN"/>
        </w:rPr>
      </w:pPr>
      <w:r>
        <w:rPr>
          <w:rFonts w:hint="eastAsia" w:ascii="仿宋_GB2312" w:hAnsi="仿宋" w:eastAsia="仿宋_GB2312" w:cs="仿宋"/>
          <w:color w:val="000000"/>
          <w:sz w:val="28"/>
          <w:szCs w:val="28"/>
        </w:rPr>
        <w:t>抵触申请不属于现有技术或现有设计，不能作为现有技术抗辩或现有设计抗辩的理由</w:t>
      </w:r>
      <w:r>
        <w:rPr>
          <w:rFonts w:hint="eastAsia" w:ascii="仿宋_GB2312" w:hAnsi="仿宋" w:eastAsia="仿宋_GB2312" w:cs="仿宋"/>
          <w:color w:val="000000"/>
          <w:sz w:val="28"/>
          <w:szCs w:val="28"/>
          <w:lang w:eastAsia="zh-CN"/>
        </w:rPr>
        <w:t>，但可以作为专利无效的理由。</w:t>
      </w:r>
    </w:p>
    <w:p>
      <w:pPr>
        <w:pStyle w:val="7"/>
        <w:keepNext w:val="0"/>
        <w:keepLines w:val="0"/>
        <w:pageBreakBefore w:val="0"/>
        <w:widowControl w:val="0"/>
        <w:numPr>
          <w:ilvl w:val="0"/>
          <w:numId w:val="153"/>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审查现有技术抗辩是否成立，应当判断被诉落入专利权保护范围的技术特征与现有技术方案中的相应技术特征是否相同或等同， 而不应将涉案专利与现有技术进行比对。</w:t>
      </w:r>
    </w:p>
    <w:p>
      <w:pPr>
        <w:pStyle w:val="7"/>
        <w:keepNext w:val="0"/>
        <w:keepLines w:val="0"/>
        <w:pageBreakBefore w:val="0"/>
        <w:widowControl w:val="0"/>
        <w:numPr>
          <w:ilvl w:val="0"/>
          <w:numId w:val="153"/>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现有设计抗辩是否成立，应当判断被诉侵权设计是否与现有设计相同或相近似，而不应将专利外观设计与现有设计比对。但是，当被诉侵权设计与专利外观设计相同或相近似，且被诉侵权设计与现有设计视觉差异较小的情况下，如果被诉侵权设计使用了专利外观设计的设计要点，则应当认定现有设计抗辩不能成立；否则，现有设计抗辩成立。</w:t>
      </w:r>
    </w:p>
    <w:p>
      <w:pPr>
        <w:pStyle w:val="2"/>
        <w:keepNext w:val="0"/>
        <w:keepLines w:val="0"/>
        <w:pageBreakBefore w:val="0"/>
        <w:widowControl w:val="0"/>
        <w:kinsoku/>
        <w:wordWrap/>
        <w:overflowPunct/>
        <w:topLinePunct w:val="0"/>
        <w:bidi w:val="0"/>
        <w:adjustRightInd/>
        <w:snapToGrid/>
        <w:spacing w:beforeAutospacing="0" w:afterAutospacing="0" w:line="500" w:lineRule="exact"/>
        <w:ind w:firstLine="522" w:firstLineChars="200"/>
        <w:textAlignment w:val="auto"/>
        <w:rPr>
          <w:rFonts w:hint="eastAsia" w:ascii="楷体" w:hAnsi="楷体" w:eastAsia="楷体" w:cs="仿宋"/>
          <w:color w:val="000000"/>
          <w:sz w:val="28"/>
          <w:szCs w:val="28"/>
        </w:rPr>
      </w:pPr>
      <w:bookmarkStart w:id="205" w:name="_Toc16873"/>
      <w:r>
        <w:rPr>
          <w:rFonts w:hint="eastAsia" w:ascii="楷体" w:hAnsi="楷体" w:eastAsia="楷体" w:cs="仿宋"/>
          <w:color w:val="000000"/>
          <w:sz w:val="28"/>
          <w:szCs w:val="28"/>
        </w:rPr>
        <w:t>七、合法来源抗辩</w:t>
      </w:r>
      <w:bookmarkEnd w:id="205"/>
    </w:p>
    <w:p>
      <w:pPr>
        <w:pStyle w:val="7"/>
        <w:keepNext w:val="0"/>
        <w:keepLines w:val="0"/>
        <w:pageBreakBefore w:val="0"/>
        <w:widowControl w:val="0"/>
        <w:numPr>
          <w:ilvl w:val="0"/>
          <w:numId w:val="154"/>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为生产经营目的，使用、许诺销售或者销售不知道且不应知道是未经专利权人许可而制造并售出的专利侵权产品、且举证证明该产品合法来源的，不承担赔偿责任，对于权利人请求停止上述使用、许诺销售、销售行为的主张，应予支持。</w:t>
      </w:r>
    </w:p>
    <w:p>
      <w:pPr>
        <w:pStyle w:val="7"/>
        <w:keepNext w:val="0"/>
        <w:keepLines w:val="0"/>
        <w:pageBreakBefore w:val="0"/>
        <w:widowControl w:val="0"/>
        <w:numPr>
          <w:ilvl w:val="0"/>
          <w:numId w:val="154"/>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合法来源是指通过合法的销售渠道、通常的买卖合同等正常商业方式取得被诉侵权产品。</w:t>
      </w:r>
    </w:p>
    <w:p>
      <w:pPr>
        <w:pStyle w:val="7"/>
        <w:keepNext w:val="0"/>
        <w:keepLines w:val="0"/>
        <w:pageBreakBefore w:val="0"/>
        <w:widowControl w:val="0"/>
        <w:numPr>
          <w:ilvl w:val="0"/>
          <w:numId w:val="154"/>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对于合法来源的证明事项，被诉侵权产品的使用者、许诺销售者或销售者应当提供符合交易习惯的票据等作为证据，但权利人明确认可被诉侵权产品具有合法来源的除外。</w:t>
      </w:r>
    </w:p>
    <w:p>
      <w:pPr>
        <w:pStyle w:val="2"/>
        <w:keepNext w:val="0"/>
        <w:keepLines w:val="0"/>
        <w:pageBreakBefore w:val="0"/>
        <w:widowControl w:val="0"/>
        <w:tabs>
          <w:tab w:val="left" w:pos="3422"/>
        </w:tabs>
        <w:kinsoku/>
        <w:wordWrap/>
        <w:overflowPunct/>
        <w:topLinePunct w:val="0"/>
        <w:bidi w:val="0"/>
        <w:adjustRightInd/>
        <w:snapToGrid/>
        <w:spacing w:beforeAutospacing="0" w:afterAutospacing="0" w:line="500" w:lineRule="exact"/>
        <w:jc w:val="center"/>
        <w:textAlignment w:val="auto"/>
        <w:rPr>
          <w:rFonts w:hint="eastAsia" w:ascii="黑体" w:hAnsi="黑体" w:eastAsia="黑体" w:cs="黑体"/>
          <w:b w:val="0"/>
          <w:bCs/>
          <w:color w:val="000000"/>
          <w:sz w:val="28"/>
          <w:szCs w:val="28"/>
        </w:rPr>
      </w:pPr>
      <w:bookmarkStart w:id="206" w:name="_Toc8704"/>
      <w:r>
        <w:rPr>
          <w:rFonts w:hint="eastAsia" w:ascii="黑体" w:hAnsi="黑体" w:eastAsia="黑体" w:cs="黑体"/>
          <w:b w:val="0"/>
          <w:bCs/>
          <w:color w:val="000000"/>
          <w:sz w:val="28"/>
          <w:szCs w:val="28"/>
        </w:rPr>
        <w:t xml:space="preserve">第六章  </w:t>
      </w:r>
      <w:r>
        <w:rPr>
          <w:rFonts w:hint="eastAsia" w:ascii="黑体" w:hAnsi="黑体" w:eastAsia="黑体" w:cs="黑体"/>
          <w:b w:val="0"/>
          <w:bCs/>
          <w:color w:val="000000"/>
          <w:sz w:val="28"/>
          <w:szCs w:val="28"/>
          <w:lang w:eastAsia="en-US"/>
        </w:rPr>
        <w:t>注意事项</w:t>
      </w:r>
      <w:bookmarkEnd w:id="206"/>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4"/>
        <w:jc w:val="both"/>
        <w:textAlignment w:val="auto"/>
        <w:rPr>
          <w:rFonts w:hint="eastAsia" w:ascii="楷体" w:hAnsi="楷体" w:eastAsia="楷体" w:cs="仿宋"/>
          <w:b/>
          <w:color w:val="000000"/>
          <w:sz w:val="28"/>
          <w:szCs w:val="28"/>
        </w:rPr>
      </w:pPr>
      <w:r>
        <w:rPr>
          <w:rFonts w:hint="eastAsia" w:ascii="楷体" w:hAnsi="楷体" w:eastAsia="楷体" w:cs="仿宋"/>
          <w:b/>
          <w:color w:val="000000"/>
          <w:sz w:val="28"/>
          <w:szCs w:val="28"/>
        </w:rPr>
        <w:t>一、侵权比对过程中适用全面覆盖原则的注意事项</w:t>
      </w:r>
    </w:p>
    <w:p>
      <w:pPr>
        <w:pStyle w:val="7"/>
        <w:keepNext w:val="0"/>
        <w:keepLines w:val="0"/>
        <w:pageBreakBefore w:val="0"/>
        <w:widowControl w:val="0"/>
        <w:numPr>
          <w:ilvl w:val="0"/>
          <w:numId w:val="155"/>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进行侵权判定，不应以当事人提供的专利产品与被诉侵权技术方案直接进行比对，但专利产品可以帮助理解有关技术特征与技术方案。</w:t>
      </w:r>
    </w:p>
    <w:p>
      <w:pPr>
        <w:pStyle w:val="7"/>
        <w:keepNext w:val="0"/>
        <w:keepLines w:val="0"/>
        <w:pageBreakBefore w:val="0"/>
        <w:widowControl w:val="0"/>
        <w:numPr>
          <w:ilvl w:val="0"/>
          <w:numId w:val="155"/>
        </w:numPr>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权利人、被诉侵权人均有专利权时，一般不能将双方专利产品或者双方专利的权利要求进行比对。</w:t>
      </w:r>
    </w:p>
    <w:p>
      <w:pPr>
        <w:pStyle w:val="2"/>
        <w:keepNext w:val="0"/>
        <w:keepLines w:val="0"/>
        <w:pageBreakBefore w:val="0"/>
        <w:widowControl w:val="0"/>
        <w:kinsoku/>
        <w:wordWrap/>
        <w:overflowPunct/>
        <w:topLinePunct w:val="0"/>
        <w:bidi w:val="0"/>
        <w:adjustRightInd/>
        <w:snapToGrid/>
        <w:spacing w:beforeAutospacing="0" w:afterAutospacing="0" w:line="500" w:lineRule="exact"/>
        <w:ind w:firstLine="522" w:firstLineChars="200"/>
        <w:textAlignment w:val="auto"/>
        <w:rPr>
          <w:rFonts w:hint="eastAsia" w:ascii="楷体" w:hAnsi="楷体" w:eastAsia="楷体" w:cs="仿宋"/>
          <w:color w:val="000000"/>
          <w:sz w:val="28"/>
          <w:szCs w:val="28"/>
        </w:rPr>
      </w:pPr>
      <w:bookmarkStart w:id="207" w:name="_Toc21644"/>
      <w:r>
        <w:rPr>
          <w:rFonts w:hint="eastAsia" w:ascii="楷体" w:hAnsi="楷体" w:eastAsia="楷体" w:cs="仿宋"/>
          <w:color w:val="000000"/>
          <w:sz w:val="28"/>
          <w:szCs w:val="28"/>
        </w:rPr>
        <w:t>二、判定被诉侵权技术方案的技术特征与权利要求的技术特征是 否等同的时间点界限。</w:t>
      </w:r>
      <w:bookmarkEnd w:id="207"/>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判定被诉侵权技术方案的技术特征与权利要求的技术特征是否 等同的时间点，应当以被诉侵权行为发生时为界限。权利要求与被诉侵权技术方案存在多个等同特征，如果该多个等同特征的叠加导致被诉侵权技术方案形成了与权利要求技术构思不同的技术方案，或者被诉侵权技术方案取得了预料不到的技术效果的，则一般不宜认定构成等同侵权。对于包含功能性特征的权利要求，被诉侵权技术方案的相应结构、步骤特征是以基本相同的手段，实现相同的功能，达到相同的效果，且本领域普通技术人员在涉案专利申请日后至被诉侵权行为发生时无需经过创造性劳动就能够联想到的，应当认定该相应结构、步骤特征与功能性特征等同。在判断上述结构、步骤特征是否构成等同特征时，应当将其作为一个技术特征，而不应将其区分为两个以上的技术特征。</w:t>
      </w:r>
    </w:p>
    <w:p>
      <w:pPr>
        <w:pStyle w:val="2"/>
        <w:keepNext w:val="0"/>
        <w:keepLines w:val="0"/>
        <w:pageBreakBefore w:val="0"/>
        <w:widowControl w:val="0"/>
        <w:kinsoku/>
        <w:wordWrap/>
        <w:overflowPunct/>
        <w:topLinePunct w:val="0"/>
        <w:bidi w:val="0"/>
        <w:adjustRightInd/>
        <w:snapToGrid/>
        <w:spacing w:beforeAutospacing="0" w:afterAutospacing="0" w:line="500" w:lineRule="exact"/>
        <w:ind w:firstLine="522" w:firstLineChars="200"/>
        <w:textAlignment w:val="auto"/>
        <w:rPr>
          <w:rFonts w:hint="eastAsia" w:ascii="楷体" w:hAnsi="楷体" w:eastAsia="楷体" w:cs="仿宋"/>
          <w:color w:val="000000"/>
          <w:sz w:val="28"/>
          <w:szCs w:val="28"/>
        </w:rPr>
      </w:pPr>
      <w:bookmarkStart w:id="208" w:name="_Toc9187"/>
      <w:r>
        <w:rPr>
          <w:rFonts w:hint="eastAsia" w:ascii="楷体" w:hAnsi="楷体" w:eastAsia="楷体" w:cs="仿宋"/>
          <w:color w:val="000000"/>
          <w:sz w:val="28"/>
          <w:szCs w:val="28"/>
        </w:rPr>
        <w:t>三、禁止反悔原则适用的注意事项</w:t>
      </w:r>
      <w:bookmarkEnd w:id="208"/>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2"/>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禁止反悔的适用以被诉侵权人提出请求为前提，并由被诉侵权人提供专利申请人或专利权人反悔的相应证据。在已经取得记载有专利申请人或专利权人反悔的证据的情况下，可以根据业已查明的事实，通过适用禁止反悔对权利要求的保护范围予以必要的限制，合理确定专利权的保护范围。</w:t>
      </w:r>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4"/>
        <w:jc w:val="both"/>
        <w:textAlignment w:val="auto"/>
        <w:rPr>
          <w:rFonts w:hint="eastAsia" w:ascii="楷体" w:hAnsi="楷体" w:eastAsia="楷体" w:cs="仿宋"/>
          <w:b/>
          <w:bCs/>
          <w:color w:val="000000"/>
          <w:sz w:val="28"/>
          <w:szCs w:val="28"/>
          <w:lang w:eastAsia="zh-CN"/>
        </w:rPr>
      </w:pPr>
      <w:r>
        <w:rPr>
          <w:rFonts w:hint="eastAsia" w:ascii="楷体" w:hAnsi="楷体" w:eastAsia="楷体" w:cs="仿宋"/>
          <w:b/>
          <w:bCs/>
          <w:color w:val="000000"/>
          <w:sz w:val="28"/>
          <w:szCs w:val="28"/>
          <w:lang w:eastAsia="zh-CN"/>
        </w:rPr>
        <w:t>四、专利侵权案件管辖</w:t>
      </w:r>
    </w:p>
    <w:p>
      <w:pPr>
        <w:pStyle w:val="14"/>
        <w:keepNext w:val="0"/>
        <w:keepLines w:val="0"/>
        <w:pageBreakBefore w:val="0"/>
        <w:widowControl w:val="0"/>
        <w:kinsoku/>
        <w:wordWrap/>
        <w:overflowPunct/>
        <w:topLinePunct w:val="0"/>
        <w:bidi w:val="0"/>
        <w:adjustRightInd/>
        <w:snapToGrid/>
        <w:spacing w:before="0" w:beforeAutospacing="0" w:after="0" w:afterAutospacing="0" w:line="500" w:lineRule="exact"/>
        <w:ind w:firstLine="522" w:firstLineChars="200"/>
        <w:jc w:val="both"/>
        <w:textAlignment w:val="auto"/>
        <w:rPr>
          <w:rFonts w:hint="eastAsia" w:ascii="仿宋_GB2312" w:hAnsi="仿宋" w:eastAsia="仿宋_GB2312" w:cs="仿宋"/>
          <w:color w:val="000000"/>
          <w:sz w:val="28"/>
          <w:szCs w:val="28"/>
          <w:lang w:eastAsia="en-US"/>
        </w:rPr>
      </w:pPr>
      <w:r>
        <w:rPr>
          <w:rFonts w:hint="eastAsia" w:ascii="仿宋_GB2312" w:hAnsi="仿宋" w:eastAsia="仿宋_GB2312" w:cs="仿宋"/>
          <w:color w:val="000000"/>
          <w:sz w:val="28"/>
          <w:szCs w:val="28"/>
          <w:lang w:eastAsia="en-US"/>
        </w:rPr>
        <w:t>专利侵权纠纷第一审案件，由各省、自治区、直辖市人民政府所在地的中级人民法院和最高人民法院指定的人民法院管辖。侵犯专利权行为提起的诉讼，由侵权行为地或者被告住所地人民法院管辖。</w:t>
      </w:r>
    </w:p>
    <w:p>
      <w:pPr>
        <w:pStyle w:val="14"/>
        <w:keepNext w:val="0"/>
        <w:keepLines w:val="0"/>
        <w:pageBreakBefore w:val="0"/>
        <w:widowControl w:val="0"/>
        <w:numPr>
          <w:ilvl w:val="0"/>
          <w:numId w:val="156"/>
        </w:numPr>
        <w:kinsoku/>
        <w:wordWrap/>
        <w:overflowPunct/>
        <w:topLinePunct w:val="0"/>
        <w:bidi w:val="0"/>
        <w:adjustRightInd/>
        <w:snapToGrid/>
        <w:spacing w:before="0" w:beforeAutospacing="0" w:after="0" w:afterAutospacing="0" w:line="500" w:lineRule="exact"/>
        <w:ind w:firstLine="522" w:firstLineChars="200"/>
        <w:jc w:val="both"/>
        <w:textAlignment w:val="auto"/>
        <w:rPr>
          <w:rFonts w:hint="eastAsia" w:ascii="仿宋_GB2312" w:hAnsi="仿宋" w:eastAsia="仿宋_GB2312" w:cs="仿宋"/>
          <w:color w:val="000000"/>
          <w:sz w:val="28"/>
          <w:szCs w:val="28"/>
          <w:lang w:eastAsia="en-US"/>
        </w:rPr>
      </w:pPr>
      <w:r>
        <w:rPr>
          <w:rFonts w:hint="eastAsia" w:ascii="仿宋_GB2312" w:hAnsi="仿宋" w:eastAsia="仿宋_GB2312" w:cs="仿宋"/>
          <w:color w:val="000000"/>
          <w:sz w:val="28"/>
          <w:szCs w:val="28"/>
          <w:lang w:eastAsia="en-US"/>
        </w:rPr>
        <w:t>依被告住所地确定管辖法院。</w:t>
      </w:r>
    </w:p>
    <w:p>
      <w:pPr>
        <w:pStyle w:val="14"/>
        <w:keepNext w:val="0"/>
        <w:keepLines w:val="0"/>
        <w:pageBreakBefore w:val="0"/>
        <w:widowControl w:val="0"/>
        <w:kinsoku/>
        <w:wordWrap/>
        <w:overflowPunct/>
        <w:topLinePunct w:val="0"/>
        <w:bidi w:val="0"/>
        <w:adjustRightInd/>
        <w:snapToGrid/>
        <w:spacing w:before="0" w:beforeAutospacing="0" w:after="0" w:afterAutospacing="0" w:line="500" w:lineRule="exact"/>
        <w:ind w:firstLine="522" w:firstLineChars="200"/>
        <w:jc w:val="both"/>
        <w:textAlignment w:val="auto"/>
        <w:rPr>
          <w:rFonts w:hint="eastAsia" w:ascii="仿宋_GB2312" w:hAnsi="仿宋" w:eastAsia="仿宋_GB2312" w:cs="仿宋"/>
          <w:color w:val="000000"/>
          <w:sz w:val="28"/>
          <w:szCs w:val="28"/>
          <w:lang w:eastAsia="en-US"/>
        </w:rPr>
      </w:pPr>
      <w:r>
        <w:rPr>
          <w:rFonts w:hint="eastAsia" w:ascii="仿宋_GB2312" w:hAnsi="仿宋" w:eastAsia="仿宋_GB2312" w:cs="仿宋"/>
          <w:color w:val="000000"/>
          <w:sz w:val="28"/>
          <w:szCs w:val="28"/>
          <w:lang w:eastAsia="en-US"/>
        </w:rPr>
        <w:t>被告住所地的人民法院具有专利案件管辖权的，由被告住所地的人民法院管辖。如果被告住所地的人民法院没有管辖权的，由被告住所地的省、自治区、</w:t>
      </w: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"https://www.66law.cn/hlzzq/" \t "https://www.66law.cn/laws/_blank" \o "直辖市"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lang w:eastAsia="en-US"/>
        </w:rPr>
        <w:t>直辖市</w:t>
      </w:r>
      <w:r>
        <w:rPr>
          <w:rFonts w:hint="eastAsia" w:ascii="仿宋_GB2312" w:hAnsi="仿宋" w:eastAsia="仿宋_GB2312" w:cs="仿宋"/>
          <w:color w:val="000000"/>
          <w:sz w:val="28"/>
          <w:szCs w:val="28"/>
          <w:lang w:eastAsia="en-US"/>
        </w:rPr>
        <w:fldChar w:fldCharType="end"/>
      </w:r>
      <w:r>
        <w:rPr>
          <w:rFonts w:hint="eastAsia" w:ascii="仿宋_GB2312" w:hAnsi="仿宋" w:eastAsia="仿宋_GB2312" w:cs="仿宋"/>
          <w:color w:val="000000"/>
          <w:sz w:val="28"/>
          <w:szCs w:val="28"/>
          <w:lang w:eastAsia="en-US"/>
        </w:rPr>
        <w:t>人民政府所在地的中级人民法院管辖。</w:t>
      </w:r>
    </w:p>
    <w:p>
      <w:pPr>
        <w:pStyle w:val="14"/>
        <w:keepNext w:val="0"/>
        <w:keepLines w:val="0"/>
        <w:pageBreakBefore w:val="0"/>
        <w:widowControl w:val="0"/>
        <w:numPr>
          <w:ilvl w:val="0"/>
          <w:numId w:val="156"/>
        </w:numPr>
        <w:kinsoku/>
        <w:wordWrap/>
        <w:overflowPunct/>
        <w:topLinePunct w:val="0"/>
        <w:bidi w:val="0"/>
        <w:adjustRightInd/>
        <w:snapToGrid/>
        <w:spacing w:before="0" w:beforeAutospacing="0" w:after="0" w:afterAutospacing="0" w:line="500" w:lineRule="exact"/>
        <w:ind w:firstLine="522" w:firstLineChars="200"/>
        <w:jc w:val="both"/>
        <w:textAlignment w:val="auto"/>
        <w:rPr>
          <w:rFonts w:hint="eastAsia" w:ascii="仿宋_GB2312" w:hAnsi="仿宋" w:eastAsia="仿宋_GB2312" w:cs="仿宋"/>
          <w:color w:val="000000"/>
          <w:sz w:val="28"/>
          <w:szCs w:val="28"/>
          <w:lang w:eastAsia="en-US"/>
        </w:rPr>
      </w:pPr>
      <w:r>
        <w:rPr>
          <w:rFonts w:hint="eastAsia" w:ascii="仿宋_GB2312" w:hAnsi="仿宋" w:eastAsia="仿宋_GB2312" w:cs="仿宋"/>
          <w:color w:val="000000"/>
          <w:sz w:val="28"/>
          <w:szCs w:val="28"/>
          <w:lang w:eastAsia="en-US"/>
        </w:rPr>
        <w:t>依侵权行为地确定管辖法院。</w:t>
      </w: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"https://www.66law.cn/qinquan/" \t "https://www.66law.cn/laws/_blank" \o "侵权"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lang w:eastAsia="en-US"/>
        </w:rPr>
        <w:t>侵权</w:t>
      </w:r>
      <w:r>
        <w:rPr>
          <w:rFonts w:hint="eastAsia" w:ascii="仿宋_GB2312" w:hAnsi="仿宋" w:eastAsia="仿宋_GB2312" w:cs="仿宋"/>
          <w:color w:val="000000"/>
          <w:sz w:val="28"/>
          <w:szCs w:val="28"/>
          <w:lang w:eastAsia="en-US"/>
        </w:rPr>
        <w:fldChar w:fldCharType="end"/>
      </w:r>
      <w:r>
        <w:rPr>
          <w:rFonts w:hint="eastAsia" w:ascii="仿宋_GB2312" w:hAnsi="仿宋" w:eastAsia="仿宋_GB2312" w:cs="仿宋"/>
          <w:color w:val="000000"/>
          <w:sz w:val="28"/>
          <w:szCs w:val="28"/>
          <w:lang w:eastAsia="en-US"/>
        </w:rPr>
        <w:t>行为地包括侵权行为的实施地，也包括侵权结果的发生地。</w:t>
      </w:r>
    </w:p>
    <w:p>
      <w:pPr>
        <w:pStyle w:val="14"/>
        <w:keepNext w:val="0"/>
        <w:keepLines w:val="0"/>
        <w:pageBreakBefore w:val="0"/>
        <w:widowControl w:val="0"/>
        <w:numPr>
          <w:ilvl w:val="0"/>
          <w:numId w:val="157"/>
        </w:numPr>
        <w:kinsoku/>
        <w:wordWrap/>
        <w:overflowPunct/>
        <w:topLinePunct w:val="0"/>
        <w:bidi w:val="0"/>
        <w:adjustRightInd/>
        <w:snapToGrid/>
        <w:spacing w:before="0" w:beforeAutospacing="0" w:after="0" w:afterAutospacing="0" w:line="500" w:lineRule="exact"/>
        <w:ind w:firstLine="522" w:firstLineChars="200"/>
        <w:jc w:val="both"/>
        <w:textAlignment w:val="auto"/>
        <w:rPr>
          <w:rFonts w:hint="eastAsia" w:ascii="仿宋_GB2312" w:hAnsi="仿宋" w:eastAsia="仿宋_GB2312" w:cs="仿宋"/>
          <w:color w:val="000000"/>
          <w:sz w:val="28"/>
          <w:szCs w:val="28"/>
          <w:lang w:eastAsia="en-US"/>
        </w:rPr>
      </w:pPr>
      <w:r>
        <w:rPr>
          <w:rFonts w:hint="eastAsia" w:ascii="仿宋_GB2312" w:hAnsi="仿宋" w:eastAsia="仿宋_GB2312" w:cs="仿宋"/>
          <w:color w:val="000000"/>
          <w:sz w:val="28"/>
          <w:szCs w:val="28"/>
          <w:lang w:eastAsia="en-US"/>
        </w:rPr>
        <w:t>原告仅起诉制造者的，侵权产品的制造地与销售地不一致的，制造地的人民法院有管辖权。</w:t>
      </w:r>
    </w:p>
    <w:p>
      <w:pPr>
        <w:pStyle w:val="14"/>
        <w:keepNext w:val="0"/>
        <w:keepLines w:val="0"/>
        <w:pageBreakBefore w:val="0"/>
        <w:widowControl w:val="0"/>
        <w:numPr>
          <w:ilvl w:val="0"/>
          <w:numId w:val="157"/>
        </w:numPr>
        <w:kinsoku/>
        <w:wordWrap/>
        <w:overflowPunct/>
        <w:topLinePunct w:val="0"/>
        <w:bidi w:val="0"/>
        <w:adjustRightInd/>
        <w:snapToGrid/>
        <w:spacing w:before="0" w:beforeAutospacing="0" w:after="0" w:afterAutospacing="0" w:line="500" w:lineRule="exact"/>
        <w:ind w:firstLine="522" w:firstLineChars="200"/>
        <w:jc w:val="both"/>
        <w:textAlignment w:val="auto"/>
        <w:rPr>
          <w:rFonts w:hint="eastAsia" w:ascii="仿宋_GB2312" w:hAnsi="仿宋" w:eastAsia="仿宋_GB2312" w:cs="仿宋"/>
          <w:color w:val="000000"/>
          <w:sz w:val="28"/>
          <w:szCs w:val="28"/>
          <w:lang w:eastAsia="en-US"/>
        </w:rPr>
      </w:pPr>
      <w:r>
        <w:rPr>
          <w:rFonts w:hint="eastAsia" w:ascii="仿宋_GB2312" w:hAnsi="仿宋" w:eastAsia="仿宋_GB2312" w:cs="仿宋"/>
          <w:color w:val="000000"/>
          <w:sz w:val="28"/>
          <w:szCs w:val="28"/>
          <w:lang w:eastAsia="en-US"/>
        </w:rPr>
        <w:t>原告同时起诉制造者和销售者的，制造地和销售地的人民法院都有管辖权。此时，当事人可以选择向其中一个法院起诉。</w:t>
      </w:r>
    </w:p>
    <w:p>
      <w:pPr>
        <w:pStyle w:val="14"/>
        <w:keepNext w:val="0"/>
        <w:keepLines w:val="0"/>
        <w:pageBreakBefore w:val="0"/>
        <w:widowControl w:val="0"/>
        <w:numPr>
          <w:ilvl w:val="0"/>
          <w:numId w:val="157"/>
        </w:numPr>
        <w:kinsoku/>
        <w:wordWrap/>
        <w:overflowPunct/>
        <w:topLinePunct w:val="0"/>
        <w:bidi w:val="0"/>
        <w:adjustRightInd/>
        <w:snapToGrid/>
        <w:spacing w:before="0" w:beforeAutospacing="0" w:after="0" w:afterAutospacing="0" w:line="500" w:lineRule="exact"/>
        <w:ind w:firstLine="522" w:firstLineChars="200"/>
        <w:jc w:val="both"/>
        <w:textAlignment w:val="auto"/>
        <w:rPr>
          <w:rFonts w:hint="eastAsia" w:ascii="仿宋_GB2312" w:hAnsi="仿宋" w:eastAsia="仿宋_GB2312" w:cs="仿宋"/>
          <w:color w:val="000000"/>
          <w:sz w:val="28"/>
          <w:szCs w:val="28"/>
          <w:lang w:eastAsia="en-US"/>
        </w:rPr>
      </w:pPr>
      <w:r>
        <w:rPr>
          <w:rFonts w:hint="eastAsia" w:ascii="仿宋_GB2312" w:hAnsi="仿宋" w:eastAsia="仿宋_GB2312" w:cs="仿宋"/>
          <w:color w:val="000000"/>
          <w:sz w:val="28"/>
          <w:szCs w:val="28"/>
          <w:lang w:eastAsia="en-US"/>
        </w:rPr>
        <w:t>销售者是制造者的分支机构的，原告向销售地的人民法院起诉制造者的制造、销售行为的，销售地人民法院有管辖权。</w:t>
      </w:r>
    </w:p>
    <w:p>
      <w:pPr>
        <w:pStyle w:val="7"/>
        <w:keepNext w:val="0"/>
        <w:keepLines w:val="0"/>
        <w:pageBreakBefore w:val="0"/>
        <w:widowControl w:val="0"/>
        <w:wordWrap/>
        <w:bidi w:val="0"/>
        <w:spacing w:beforeLines="0" w:after="0" w:afterLines="0" w:line="500" w:lineRule="exact"/>
        <w:ind w:firstLine="0" w:firstLineChars="0"/>
        <w:jc w:val="center"/>
        <w:rPr>
          <w:rFonts w:hint="eastAsia" w:ascii="方正小标宋简体" w:hAnsi="方正小标宋简体" w:eastAsia="方正小标宋简体" w:cs="方正小标宋简体"/>
          <w:bCs/>
          <w:color w:val="000000"/>
          <w:sz w:val="48"/>
          <w:szCs w:val="48"/>
          <w:lang w:eastAsia="zh-CN"/>
        </w:rPr>
      </w:pPr>
      <w:r>
        <w:rPr>
          <w:rFonts w:hint="eastAsia" w:ascii="仿宋_GB2312" w:hAnsi="方正仿宋简体" w:eastAsia="仿宋_GB2312" w:cs="方正仿宋简体"/>
          <w:color w:val="000000"/>
          <w:spacing w:val="-8"/>
          <w:sz w:val="28"/>
          <w:szCs w:val="28"/>
          <w:lang w:eastAsia="en-US"/>
        </w:rPr>
        <w:br w:type="page"/>
      </w:r>
      <w:r>
        <w:rPr>
          <w:sz w:val="48"/>
          <w:szCs w:val="22"/>
        </w:rPr>
        <mc:AlternateContent>
          <mc:Choice Requires="wps">
            <w:drawing>
              <wp:anchor distT="0" distB="0" distL="114300" distR="114300" simplePos="0" relativeHeight="251678720" behindDoc="0" locked="0" layoutInCell="1" allowOverlap="1">
                <wp:simplePos x="0" y="0"/>
                <wp:positionH relativeFrom="column">
                  <wp:posOffset>-471805</wp:posOffset>
                </wp:positionH>
                <wp:positionV relativeFrom="paragraph">
                  <wp:posOffset>5448300</wp:posOffset>
                </wp:positionV>
                <wp:extent cx="1345565" cy="928370"/>
                <wp:effectExtent l="4445" t="5080" r="21590" b="19050"/>
                <wp:wrapNone/>
                <wp:docPr id="68" name="矩形 68"/>
                <wp:cNvGraphicFramePr/>
                <a:graphic xmlns:a="http://schemas.openxmlformats.org/drawingml/2006/main">
                  <a:graphicData uri="http://schemas.microsoft.com/office/word/2010/wordprocessingShape">
                    <wps:wsp>
                      <wps:cNvSpPr/>
                      <wps:spPr>
                        <a:xfrm>
                          <a:off x="0" y="0"/>
                          <a:ext cx="1345565" cy="928370"/>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7.15pt;margin-top:429pt;height:73.1pt;width:105.95pt;z-index:251678720;mso-width-relative:page;mso-height-relative:page;" fillcolor="#FFFFFF" filled="t" stroked="t" coordsize="21600,21600" o:gfxdata="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7ZBYRtoAAAAMAQAADwAAAAAAAAABACAAAAAiAAAAZHJzL2Rvd25yZXYu&#10;eG1sUEsBAhQAFAAAAAgAh07iQMZPg/X5AQAAIAQAAA4AAAAAAAAAAQAgAAAAKQEAAGRycy9lMm9E&#10;b2MueG1sUEsFBgAAAAAGAAYAWQEAAJQFAAAAAA==&#10;">
                <v:fill on="t" focussize="0,0"/>
                <v:stroke color="#FFFFFF" joinstyle="miter"/>
                <v:imagedata o:title=""/>
                <o:lock v:ext="edit" aspectratio="f"/>
              </v:rect>
            </w:pict>
          </mc:Fallback>
        </mc:AlternateContent>
      </w:r>
    </w:p>
    <w:p>
      <w:pPr>
        <w:pStyle w:val="7"/>
        <w:keepNext w:val="0"/>
        <w:keepLines w:val="0"/>
        <w:pageBreakBefore w:val="0"/>
        <w:widowControl w:val="0"/>
        <w:wordWrap/>
        <w:bidi w:val="0"/>
        <w:spacing w:beforeLines="0" w:after="0" w:afterLines="0" w:line="500" w:lineRule="exact"/>
        <w:ind w:firstLine="0" w:firstLineChars="0"/>
        <w:jc w:val="center"/>
        <w:rPr>
          <w:rFonts w:hint="eastAsia" w:ascii="方正小标宋简体" w:hAnsi="方正小标宋简体" w:eastAsia="方正小标宋简体" w:cs="方正小标宋简体"/>
          <w:bCs/>
          <w:color w:val="000000"/>
          <w:sz w:val="48"/>
          <w:szCs w:val="48"/>
          <w:lang w:eastAsia="zh-CN"/>
        </w:rPr>
      </w:pPr>
    </w:p>
    <w:p>
      <w:pPr>
        <w:pStyle w:val="7"/>
        <w:keepNext w:val="0"/>
        <w:keepLines w:val="0"/>
        <w:pageBreakBefore w:val="0"/>
        <w:widowControl w:val="0"/>
        <w:wordWrap/>
        <w:bidi w:val="0"/>
        <w:spacing w:beforeLines="0" w:after="0" w:afterLines="0" w:line="500" w:lineRule="exact"/>
        <w:ind w:firstLine="0" w:firstLineChars="0"/>
        <w:jc w:val="center"/>
        <w:rPr>
          <w:rFonts w:hint="eastAsia" w:ascii="方正小标宋简体" w:hAnsi="方正小标宋简体" w:eastAsia="方正小标宋简体" w:cs="方正小标宋简体"/>
          <w:bCs/>
          <w:color w:val="000000"/>
          <w:sz w:val="48"/>
          <w:szCs w:val="48"/>
          <w:lang w:eastAsia="zh-CN"/>
        </w:rPr>
      </w:pPr>
    </w:p>
    <w:p>
      <w:pPr>
        <w:pStyle w:val="7"/>
        <w:keepNext w:val="0"/>
        <w:keepLines w:val="0"/>
        <w:pageBreakBefore w:val="0"/>
        <w:widowControl w:val="0"/>
        <w:wordWrap/>
        <w:bidi w:val="0"/>
        <w:spacing w:beforeLines="0" w:after="0" w:afterLines="0" w:line="500" w:lineRule="exact"/>
        <w:ind w:firstLine="0" w:firstLineChars="0"/>
        <w:jc w:val="center"/>
        <w:rPr>
          <w:rFonts w:hint="eastAsia" w:ascii="方正小标宋简体" w:hAnsi="方正小标宋简体" w:eastAsia="方正小标宋简体" w:cs="方正小标宋简体"/>
          <w:bCs/>
          <w:color w:val="000000"/>
          <w:sz w:val="48"/>
          <w:szCs w:val="48"/>
          <w:lang w:eastAsia="zh-CN"/>
        </w:rPr>
      </w:pPr>
    </w:p>
    <w:p>
      <w:pPr>
        <w:pStyle w:val="7"/>
        <w:keepNext w:val="0"/>
        <w:keepLines w:val="0"/>
        <w:pageBreakBefore w:val="0"/>
        <w:widowControl w:val="0"/>
        <w:wordWrap/>
        <w:bidi w:val="0"/>
        <w:spacing w:beforeLines="0" w:after="0" w:afterLines="0" w:line="500" w:lineRule="exact"/>
        <w:ind w:firstLine="0" w:firstLineChars="0"/>
        <w:jc w:val="center"/>
        <w:rPr>
          <w:rFonts w:hint="eastAsia" w:ascii="方正小标宋简体" w:hAnsi="方正小标宋简体" w:eastAsia="方正小标宋简体" w:cs="方正小标宋简体"/>
          <w:bCs/>
          <w:color w:val="000000"/>
          <w:sz w:val="48"/>
          <w:szCs w:val="48"/>
          <w:lang w:eastAsia="zh-CN"/>
        </w:rPr>
      </w:pPr>
    </w:p>
    <w:p>
      <w:pPr>
        <w:pStyle w:val="7"/>
        <w:keepNext w:val="0"/>
        <w:keepLines w:val="0"/>
        <w:pageBreakBefore w:val="0"/>
        <w:widowControl w:val="0"/>
        <w:wordWrap/>
        <w:bidi w:val="0"/>
        <w:spacing w:beforeLines="0" w:after="0" w:afterLines="0" w:line="500" w:lineRule="exact"/>
        <w:ind w:firstLine="0" w:firstLineChars="0"/>
        <w:jc w:val="center"/>
        <w:rPr>
          <w:rFonts w:hint="eastAsia" w:ascii="方正小标宋简体" w:hAnsi="方正小标宋简体" w:eastAsia="方正小标宋简体" w:cs="方正小标宋简体"/>
          <w:bCs/>
          <w:color w:val="000000"/>
          <w:sz w:val="48"/>
          <w:szCs w:val="48"/>
          <w:lang w:eastAsia="zh-CN"/>
        </w:rPr>
      </w:pPr>
    </w:p>
    <w:p>
      <w:pPr>
        <w:pStyle w:val="7"/>
        <w:keepNext w:val="0"/>
        <w:keepLines w:val="0"/>
        <w:pageBreakBefore w:val="0"/>
        <w:widowControl w:val="0"/>
        <w:wordWrap/>
        <w:bidi w:val="0"/>
        <w:spacing w:beforeLines="0" w:after="0" w:afterLines="0" w:line="240" w:lineRule="auto"/>
        <w:ind w:firstLine="0" w:firstLineChars="0"/>
        <w:jc w:val="center"/>
        <w:rPr>
          <w:rFonts w:hint="eastAsia" w:ascii="方正小标宋简体" w:hAnsi="方正小标宋简体" w:eastAsia="方正小标宋简体" w:cs="方正小标宋简体"/>
          <w:bCs/>
          <w:color w:val="000000"/>
          <w:sz w:val="48"/>
          <w:szCs w:val="48"/>
          <w:lang w:eastAsia="zh-CN"/>
        </w:rPr>
      </w:pPr>
      <w:r>
        <w:rPr>
          <w:rFonts w:hint="eastAsia" w:ascii="方正小标宋简体" w:hAnsi="方正小标宋简体" w:eastAsia="方正小标宋简体" w:cs="方正小标宋简体"/>
          <w:bCs/>
          <w:color w:val="000000"/>
          <w:sz w:val="48"/>
          <w:szCs w:val="48"/>
          <w:lang w:eastAsia="zh-CN"/>
        </w:rPr>
        <w:t>律师</w:t>
      </w:r>
      <w:r>
        <w:rPr>
          <w:rFonts w:hint="eastAsia" w:ascii="方正小标宋简体" w:hAnsi="方正小标宋简体" w:eastAsia="方正小标宋简体" w:cs="方正小标宋简体"/>
          <w:bCs/>
          <w:color w:val="000000"/>
          <w:sz w:val="48"/>
          <w:szCs w:val="48"/>
          <w:lang w:val="en-US" w:eastAsia="zh-CN"/>
        </w:rPr>
        <w:t>办理</w:t>
      </w:r>
      <w:r>
        <w:rPr>
          <w:rFonts w:hint="eastAsia" w:ascii="方正小标宋简体" w:hAnsi="方正小标宋简体" w:eastAsia="方正小标宋简体" w:cs="方正小标宋简体"/>
          <w:bCs/>
          <w:color w:val="000000"/>
          <w:sz w:val="48"/>
          <w:szCs w:val="48"/>
          <w:lang w:eastAsia="zh-CN"/>
        </w:rPr>
        <w:t>商标侵权案件诉讼</w:t>
      </w:r>
    </w:p>
    <w:p>
      <w:pPr>
        <w:pStyle w:val="7"/>
        <w:keepNext w:val="0"/>
        <w:keepLines w:val="0"/>
        <w:pageBreakBefore w:val="0"/>
        <w:widowControl w:val="0"/>
        <w:wordWrap/>
        <w:bidi w:val="0"/>
        <w:spacing w:beforeLines="0" w:after="0" w:afterLines="0" w:line="240" w:lineRule="auto"/>
        <w:ind w:firstLine="0" w:firstLineChars="0"/>
        <w:jc w:val="center"/>
        <w:rPr>
          <w:rFonts w:hint="eastAsia" w:ascii="方正小标宋简体" w:hAnsi="方正小标宋简体" w:eastAsia="方正小标宋简体" w:cs="方正小标宋简体"/>
          <w:bCs/>
          <w:color w:val="000000"/>
          <w:sz w:val="48"/>
          <w:szCs w:val="48"/>
          <w:lang w:eastAsia="zh-CN"/>
        </w:rPr>
      </w:pPr>
      <w:r>
        <w:rPr>
          <w:rFonts w:hint="eastAsia" w:ascii="方正小标宋简体" w:hAnsi="方正小标宋简体" w:eastAsia="方正小标宋简体" w:cs="方正小标宋简体"/>
          <w:bCs/>
          <w:color w:val="000000"/>
          <w:sz w:val="48"/>
          <w:szCs w:val="48"/>
          <w:lang w:eastAsia="zh-CN"/>
        </w:rPr>
        <w:t>业务操作指引</w:t>
      </w:r>
    </w:p>
    <w:p>
      <w:pPr>
        <w:pStyle w:val="7"/>
        <w:keepNext w:val="0"/>
        <w:keepLines w:val="0"/>
        <w:pageBreakBefore w:val="0"/>
        <w:widowControl w:val="0"/>
        <w:wordWrap/>
        <w:bidi w:val="0"/>
        <w:spacing w:beforeLines="0" w:after="0" w:afterLines="0" w:line="500" w:lineRule="exact"/>
        <w:ind w:firstLine="0" w:firstLineChars="0"/>
        <w:jc w:val="center"/>
        <w:rPr>
          <w:rFonts w:ascii="方正小标宋简体" w:hAnsi="方正小标宋简体" w:eastAsia="方正小标宋简体" w:cs="方正小标宋简体"/>
          <w:bCs/>
          <w:color w:val="000000"/>
          <w:sz w:val="48"/>
          <w:szCs w:val="48"/>
          <w:lang w:eastAsia="zh-CN"/>
        </w:rPr>
      </w:pPr>
      <w:r>
        <w:rPr>
          <w:rFonts w:hint="eastAsia" w:ascii="方正小标宋简体" w:hAnsi="方正小标宋简体" w:eastAsia="方正小标宋简体" w:cs="方正小标宋简体"/>
          <w:bCs/>
          <w:color w:val="000000"/>
          <w:sz w:val="48"/>
          <w:szCs w:val="48"/>
          <w:lang w:eastAsia="zh-CN"/>
        </w:rPr>
        <w:br w:type="page"/>
      </w:r>
    </w:p>
    <w:p>
      <w:pPr>
        <w:pStyle w:val="7"/>
        <w:keepNext w:val="0"/>
        <w:keepLines w:val="0"/>
        <w:pageBreakBefore w:val="0"/>
        <w:widowControl w:val="0"/>
        <w:wordWrap/>
        <w:bidi w:val="0"/>
        <w:spacing w:before="227" w:after="227" w:line="500" w:lineRule="exact"/>
        <w:ind w:firstLine="0" w:firstLineChars="0"/>
        <w:jc w:val="both"/>
        <w:rPr>
          <w:rFonts w:ascii="方正小标宋简体" w:hAnsi="方正小标宋简体" w:eastAsia="方正小标宋简体" w:cs="方正小标宋简体"/>
          <w:b/>
          <w:color w:val="000000"/>
          <w:sz w:val="40"/>
          <w:szCs w:val="40"/>
          <w:lang w:eastAsia="zh-CN"/>
        </w:rPr>
      </w:pPr>
    </w:p>
    <w:p>
      <w:pPr>
        <w:keepNext w:val="0"/>
        <w:keepLines w:val="0"/>
        <w:pageBreakBefore w:val="0"/>
        <w:widowControl w:val="0"/>
        <w:wordWrap/>
        <w:bidi w:val="0"/>
        <w:spacing w:before="227" w:beforeLines="50" w:after="227" w:afterLines="50" w:line="500" w:lineRule="exact"/>
        <w:jc w:val="center"/>
        <w:rPr>
          <w:rFonts w:hint="eastAsia" w:ascii="方正小标宋简体" w:hAnsi="方正小标宋简体" w:eastAsia="方正小标宋简体" w:cs="方正小标宋简体"/>
          <w:bCs/>
          <w:color w:val="000000"/>
          <w:sz w:val="40"/>
          <w:szCs w:val="40"/>
        </w:rPr>
      </w:pPr>
      <w:r>
        <w:rPr>
          <w:sz w:val="28"/>
        </w:rPr>
        <mc:AlternateContent>
          <mc:Choice Requires="wps">
            <w:drawing>
              <wp:anchor distT="0" distB="0" distL="114300" distR="114300" simplePos="0" relativeHeight="251737088" behindDoc="0" locked="0" layoutInCell="1" allowOverlap="1">
                <wp:simplePos x="0" y="0"/>
                <wp:positionH relativeFrom="column">
                  <wp:posOffset>-269875</wp:posOffset>
                </wp:positionH>
                <wp:positionV relativeFrom="paragraph">
                  <wp:posOffset>5765800</wp:posOffset>
                </wp:positionV>
                <wp:extent cx="1227455" cy="751205"/>
                <wp:effectExtent l="0" t="0" r="10795" b="10795"/>
                <wp:wrapNone/>
                <wp:docPr id="86" name="文本框 86"/>
                <wp:cNvGraphicFramePr/>
                <a:graphic xmlns:a="http://schemas.openxmlformats.org/drawingml/2006/main">
                  <a:graphicData uri="http://schemas.microsoft.com/office/word/2010/wordprocessingShape">
                    <wps:wsp>
                      <wps:cNvSpPr txBox="1"/>
                      <wps:spPr>
                        <a:xfrm>
                          <a:off x="0" y="0"/>
                          <a:ext cx="1227455" cy="751205"/>
                        </a:xfrm>
                        <a:prstGeom prst="rect">
                          <a:avLst/>
                        </a:prstGeom>
                        <a:solidFill>
                          <a:srgbClr val="FFFFFF"/>
                        </a:solidFill>
                        <a:ln>
                          <a:noFill/>
                        </a:ln>
                      </wps:spPr>
                      <wps:txbx>
                        <w:txbxContent>
                          <w:p/>
                        </w:txbxContent>
                      </wps:txbx>
                      <wps:bodyPr upright="1"/>
                    </wps:wsp>
                  </a:graphicData>
                </a:graphic>
              </wp:anchor>
            </w:drawing>
          </mc:Choice>
          <mc:Fallback>
            <w:pict>
              <v:shape id="_x0000_s1026" o:spid="_x0000_s1026" o:spt="202" type="#_x0000_t202" style="position:absolute;left:0pt;margin-left:-21.25pt;margin-top:454pt;height:59.15pt;width:96.65pt;z-index:251737088;mso-width-relative:page;mso-height-relative:page;" fillcolor="#FFFFFF" filled="t" stroked="f" coordsize="21600,21600" o:gfxdata="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BujmW3ZAAAADAEAAA8AAAAAAAAAAQAgAAAAIgAAAGRycy9kb3ducmV2&#10;LnhtbFBLAQIUABQAAAAIAIdO4kB8PEoTwgEAAHkDAAAOAAAAAAAAAAEAIAAAACgBAABkcnMvZTJv&#10;RG9jLnhtbFBLBQYAAAAABgAGAFkBAABcBQAAAAA=&#10;">
                <v:fill on="t" focussize="0,0"/>
                <v:stroke on="f"/>
                <v:imagedata o:title=""/>
                <o:lock v:ext="edit" aspectratio="f"/>
                <v:textbox>
                  <w:txbxContent>
                    <w:p/>
                  </w:txbxContent>
                </v:textbox>
              </v:shape>
            </w:pict>
          </mc:Fallback>
        </mc:AlternateContent>
      </w:r>
      <w:r>
        <w:rPr>
          <w:sz w:val="48"/>
          <w:szCs w:val="21"/>
        </w:rPr>
        <mc:AlternateContent>
          <mc:Choice Requires="wps">
            <w:drawing>
              <wp:anchor distT="0" distB="0" distL="114300" distR="114300" simplePos="0" relativeHeight="251679744" behindDoc="0" locked="0" layoutInCell="1" allowOverlap="1">
                <wp:simplePos x="0" y="0"/>
                <wp:positionH relativeFrom="column">
                  <wp:posOffset>-205105</wp:posOffset>
                </wp:positionH>
                <wp:positionV relativeFrom="paragraph">
                  <wp:posOffset>7336790</wp:posOffset>
                </wp:positionV>
                <wp:extent cx="1345565" cy="928370"/>
                <wp:effectExtent l="4445" t="5080" r="21590" b="19050"/>
                <wp:wrapNone/>
                <wp:docPr id="87" name="矩形 87"/>
                <wp:cNvGraphicFramePr/>
                <a:graphic xmlns:a="http://schemas.openxmlformats.org/drawingml/2006/main">
                  <a:graphicData uri="http://schemas.microsoft.com/office/word/2010/wordprocessingShape">
                    <wps:wsp>
                      <wps:cNvSpPr/>
                      <wps:spPr>
                        <a:xfrm>
                          <a:off x="0" y="0"/>
                          <a:ext cx="1345565" cy="928370"/>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6.15pt;margin-top:577.7pt;height:73.1pt;width:105.95pt;z-index:251679744;mso-width-relative:page;mso-height-relative:page;" fillcolor="#FFFFFF" filled="t" stroked="t" coordsize="21600,21600" o:gfxdata="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9yJfg9oAAAANAQAADwAAAAAAAAABACAAAAAiAAAAZHJzL2Rvd25yZXYu&#10;eG1sUEsBAhQAFAAAAAgAh07iQLcgzzn5AQAAIAQAAA4AAAAAAAAAAQAgAAAAKQEAAGRycy9lMm9E&#10;b2MueG1sUEsFBgAAAAAGAAYAWQEAAJQFAAAAAA==&#10;">
                <v:fill on="t" focussize="0,0"/>
                <v:stroke color="#FFFFFF" joinstyle="miter"/>
                <v:imagedata o:title=""/>
                <o:lock v:ext="edit" aspectratio="f"/>
              </v:rect>
            </w:pict>
          </mc:Fallback>
        </mc:AlternateContent>
      </w:r>
      <w:r>
        <w:rPr>
          <w:rFonts w:hint="eastAsia" w:ascii="仿宋_GB2312" w:hAnsi="仿宋" w:eastAsia="仿宋_GB2312" w:cs="仿宋"/>
          <w:b/>
          <w:bCs/>
          <w:color w:val="000000"/>
          <w:sz w:val="28"/>
          <w:szCs w:val="28"/>
        </w:rPr>
        <w:br w:type="page"/>
      </w:r>
      <w:r>
        <w:rPr>
          <w:rFonts w:hint="eastAsia" w:ascii="方正小标宋简体" w:hAnsi="方正小标宋简体" w:eastAsia="方正小标宋简体" w:cs="方正小标宋简体"/>
          <w:bCs/>
          <w:color w:val="000000"/>
          <w:sz w:val="40"/>
          <w:szCs w:val="40"/>
        </w:rPr>
        <w:t>目    录</w:t>
      </w:r>
    </w:p>
    <w:p>
      <w:pPr>
        <w:keepNext w:val="0"/>
        <w:keepLines w:val="0"/>
        <w:pageBreakBefore w:val="0"/>
        <w:widowControl w:val="0"/>
        <w:wordWrap/>
        <w:bidi w:val="0"/>
        <w:spacing w:after="0" w:line="500" w:lineRule="exact"/>
        <w:ind w:firstLine="522" w:firstLineChars="200"/>
        <w:jc w:val="center"/>
        <w:rPr>
          <w:rFonts w:ascii="仿宋_GB2312" w:eastAsia="仿宋_GB2312"/>
          <w:b/>
          <w:bCs/>
          <w:color w:val="000000"/>
          <w:sz w:val="28"/>
          <w:szCs w:val="28"/>
        </w:rPr>
      </w:pPr>
    </w:p>
    <w:p>
      <w:pPr>
        <w:keepNext w:val="0"/>
        <w:keepLines w:val="0"/>
        <w:pageBreakBefore w:val="0"/>
        <w:widowControl w:val="0"/>
        <w:numPr>
          <w:ilvl w:val="0"/>
          <w:numId w:val="158"/>
        </w:numPr>
        <w:kinsoku/>
        <w:wordWrap/>
        <w:overflowPunct/>
        <w:topLinePunct w:val="0"/>
        <w:autoSpaceDE w:val="0"/>
        <w:autoSpaceDN w:val="0"/>
        <w:bidi w:val="0"/>
        <w:adjustRightInd/>
        <w:snapToGrid/>
        <w:spacing w:beforeAutospacing="0" w:afterAutospacing="0" w:line="500" w:lineRule="exact"/>
        <w:ind w:firstLine="522" w:firstLineChars="200"/>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商标权及商标权稳定性判断</w:t>
      </w:r>
    </w:p>
    <w:p>
      <w:pPr>
        <w:pStyle w:val="2"/>
        <w:keepNext w:val="0"/>
        <w:keepLines w:val="0"/>
        <w:pageBreakBefore w:val="0"/>
        <w:widowControl w:val="0"/>
        <w:tabs>
          <w:tab w:val="left" w:pos="3563"/>
          <w:tab w:val="left" w:pos="5500"/>
        </w:tabs>
        <w:kinsoku/>
        <w:wordWrap/>
        <w:overflowPunct/>
        <w:topLinePunct w:val="0"/>
        <w:bidi w:val="0"/>
        <w:adjustRightInd/>
        <w:snapToGrid/>
        <w:spacing w:beforeAutospacing="0" w:afterAutospacing="0" w:line="500" w:lineRule="exact"/>
        <w:ind w:firstLine="522" w:firstLineChars="200"/>
        <w:jc w:val="left"/>
        <w:rPr>
          <w:rFonts w:hint="eastAsia" w:ascii="仿宋_GB2312" w:hAnsi="仿宋_GB2312" w:eastAsia="仿宋_GB2312" w:cs="仿宋_GB2312"/>
          <w:b w:val="0"/>
          <w:bCs/>
          <w:color w:val="000000"/>
          <w:sz w:val="28"/>
          <w:szCs w:val="28"/>
        </w:rPr>
      </w:pPr>
      <w:bookmarkStart w:id="209" w:name="_Toc8855"/>
      <w:r>
        <w:rPr>
          <w:rFonts w:hint="eastAsia" w:ascii="仿宋_GB2312" w:hAnsi="仿宋_GB2312" w:eastAsia="仿宋_GB2312" w:cs="仿宋_GB2312"/>
          <w:b w:val="0"/>
          <w:bCs/>
          <w:color w:val="000000"/>
          <w:sz w:val="28"/>
          <w:szCs w:val="28"/>
        </w:rPr>
        <w:t>一、商标权</w:t>
      </w:r>
      <w:bookmarkEnd w:id="209"/>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2"/>
        <w:jc w:val="left"/>
        <w:rPr>
          <w:rFonts w:hint="eastAsia" w:ascii="仿宋_GB2312" w:hAnsi="仿宋_GB2312" w:eastAsia="仿宋_GB2312" w:cs="仿宋_GB2312"/>
          <w:bCs/>
          <w:color w:val="000000"/>
          <w:sz w:val="28"/>
          <w:szCs w:val="28"/>
          <w:lang w:eastAsia="zh-CN"/>
        </w:rPr>
      </w:pPr>
      <w:r>
        <w:rPr>
          <w:rFonts w:hint="eastAsia" w:ascii="仿宋_GB2312" w:hAnsi="仿宋_GB2312" w:eastAsia="仿宋_GB2312" w:cs="仿宋_GB2312"/>
          <w:bCs/>
          <w:color w:val="000000"/>
          <w:sz w:val="28"/>
          <w:szCs w:val="28"/>
          <w:lang w:eastAsia="zh-CN"/>
        </w:rPr>
        <w:t>二、商标</w:t>
      </w:r>
      <w:r>
        <w:rPr>
          <w:rFonts w:hint="eastAsia" w:ascii="仿宋_GB2312" w:hAnsi="仿宋_GB2312" w:eastAsia="仿宋_GB2312" w:cs="仿宋_GB2312"/>
          <w:bCs/>
          <w:color w:val="000000"/>
          <w:sz w:val="28"/>
          <w:szCs w:val="28"/>
        </w:rPr>
        <w:t>权</w:t>
      </w:r>
      <w:r>
        <w:rPr>
          <w:rFonts w:hint="eastAsia" w:ascii="仿宋_GB2312" w:hAnsi="仿宋_GB2312" w:eastAsia="仿宋_GB2312" w:cs="仿宋_GB2312"/>
          <w:bCs/>
          <w:color w:val="000000"/>
          <w:sz w:val="28"/>
          <w:szCs w:val="28"/>
          <w:lang w:eastAsia="zh-CN"/>
        </w:rPr>
        <w:t>稳定性判断</w:t>
      </w:r>
    </w:p>
    <w:p>
      <w:pPr>
        <w:keepNext w:val="0"/>
        <w:keepLines w:val="0"/>
        <w:pageBreakBefore w:val="0"/>
        <w:widowControl w:val="0"/>
        <w:numPr>
          <w:ilvl w:val="0"/>
          <w:numId w:val="158"/>
        </w:numPr>
        <w:kinsoku/>
        <w:wordWrap/>
        <w:overflowPunct/>
        <w:topLinePunct w:val="0"/>
        <w:autoSpaceDE w:val="0"/>
        <w:autoSpaceDN w:val="0"/>
        <w:bidi w:val="0"/>
        <w:adjustRightInd/>
        <w:snapToGrid/>
        <w:spacing w:beforeAutospacing="0" w:afterAutospacing="0" w:line="500" w:lineRule="exact"/>
        <w:ind w:firstLine="522" w:firstLineChars="200"/>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商标侵权的类型及侵权判定</w:t>
      </w:r>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2"/>
        <w:jc w:val="left"/>
        <w:rPr>
          <w:rFonts w:hint="eastAsia" w:ascii="仿宋_GB2312" w:hAnsi="仿宋_GB2312" w:eastAsia="仿宋_GB2312" w:cs="仿宋_GB2312"/>
          <w:bCs/>
          <w:color w:val="000000"/>
          <w:sz w:val="28"/>
          <w:szCs w:val="28"/>
          <w:lang w:eastAsia="zh-CN"/>
        </w:rPr>
      </w:pPr>
      <w:r>
        <w:rPr>
          <w:rFonts w:hint="eastAsia" w:ascii="仿宋_GB2312" w:hAnsi="仿宋_GB2312" w:eastAsia="仿宋_GB2312" w:cs="仿宋_GB2312"/>
          <w:bCs/>
          <w:color w:val="000000"/>
          <w:sz w:val="28"/>
          <w:szCs w:val="28"/>
          <w:lang w:eastAsia="zh-CN"/>
        </w:rPr>
        <w:t>一、</w:t>
      </w:r>
      <w:r>
        <w:rPr>
          <w:rFonts w:hint="eastAsia" w:ascii="仿宋_GB2312" w:hAnsi="仿宋_GB2312" w:eastAsia="仿宋_GB2312" w:cs="仿宋_GB2312"/>
          <w:bCs/>
          <w:color w:val="000000"/>
          <w:sz w:val="28"/>
          <w:szCs w:val="28"/>
        </w:rPr>
        <w:t>侵权行为类型</w:t>
      </w:r>
    </w:p>
    <w:p>
      <w:pPr>
        <w:keepNext w:val="0"/>
        <w:keepLines w:val="0"/>
        <w:pageBreakBefore w:val="0"/>
        <w:widowControl w:val="0"/>
        <w:kinsoku/>
        <w:wordWrap/>
        <w:overflowPunct/>
        <w:topLinePunct w:val="0"/>
        <w:bidi w:val="0"/>
        <w:adjustRightInd/>
        <w:snapToGrid/>
        <w:spacing w:beforeAutospacing="0" w:afterAutospacing="0" w:line="500" w:lineRule="exact"/>
        <w:ind w:firstLine="522" w:firstLineChars="200"/>
        <w:jc w:val="left"/>
        <w:rPr>
          <w:rFonts w:hint="eastAsia" w:ascii="仿宋_GB2312" w:hAnsi="仿宋_GB2312" w:eastAsia="仿宋_GB2312" w:cs="仿宋_GB2312"/>
          <w:bCs/>
          <w:color w:val="000000"/>
          <w:sz w:val="28"/>
          <w:szCs w:val="28"/>
        </w:rPr>
      </w:pPr>
      <w:r>
        <w:rPr>
          <w:rFonts w:hint="eastAsia" w:ascii="仿宋_GB2312" w:hAnsi="仿宋_GB2312" w:eastAsia="仿宋_GB2312" w:cs="仿宋_GB2312"/>
          <w:bCs/>
          <w:color w:val="000000"/>
          <w:sz w:val="28"/>
          <w:szCs w:val="28"/>
        </w:rPr>
        <w:t>二、法律依据</w:t>
      </w:r>
    </w:p>
    <w:p>
      <w:pPr>
        <w:keepNext w:val="0"/>
        <w:keepLines w:val="0"/>
        <w:pageBreakBefore w:val="0"/>
        <w:widowControl w:val="0"/>
        <w:shd w:val="clear" w:color="auto" w:fill="FFFFFF"/>
        <w:kinsoku/>
        <w:wordWrap/>
        <w:overflowPunct/>
        <w:topLinePunct w:val="0"/>
        <w:bidi w:val="0"/>
        <w:adjustRightInd/>
        <w:snapToGrid/>
        <w:spacing w:beforeAutospacing="0" w:afterAutospacing="0" w:line="500" w:lineRule="exact"/>
        <w:ind w:firstLine="522" w:firstLineChars="200"/>
        <w:jc w:val="left"/>
        <w:textAlignment w:val="baseline"/>
        <w:rPr>
          <w:rFonts w:hint="eastAsia" w:ascii="仿宋_GB2312" w:hAnsi="仿宋_GB2312" w:eastAsia="仿宋_GB2312" w:cs="仿宋_GB2312"/>
          <w:bCs/>
          <w:color w:val="000000"/>
          <w:sz w:val="28"/>
          <w:szCs w:val="28"/>
        </w:rPr>
      </w:pPr>
      <w:r>
        <w:rPr>
          <w:rFonts w:hint="eastAsia" w:ascii="仿宋_GB2312" w:hAnsi="仿宋_GB2312" w:eastAsia="仿宋_GB2312" w:cs="仿宋_GB2312"/>
          <w:bCs/>
          <w:color w:val="000000"/>
          <w:sz w:val="28"/>
          <w:szCs w:val="28"/>
        </w:rPr>
        <w:t>三、商标侵权的判定</w:t>
      </w:r>
    </w:p>
    <w:p>
      <w:pPr>
        <w:keepNext w:val="0"/>
        <w:keepLines w:val="0"/>
        <w:pageBreakBefore w:val="0"/>
        <w:widowControl w:val="0"/>
        <w:numPr>
          <w:ilvl w:val="0"/>
          <w:numId w:val="158"/>
        </w:numPr>
        <w:kinsoku/>
        <w:wordWrap/>
        <w:overflowPunct/>
        <w:topLinePunct w:val="0"/>
        <w:autoSpaceDE w:val="0"/>
        <w:autoSpaceDN w:val="0"/>
        <w:bidi w:val="0"/>
        <w:adjustRightInd/>
        <w:snapToGrid/>
        <w:spacing w:beforeAutospacing="0" w:afterAutospacing="0" w:line="500" w:lineRule="exact"/>
        <w:ind w:firstLine="522" w:firstLineChars="200"/>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商标侵权案件的常用取证方式及取证内容</w:t>
      </w:r>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602"/>
        <w:jc w:val="left"/>
        <w:rPr>
          <w:rFonts w:hint="eastAsia" w:ascii="仿宋_GB2312" w:hAnsi="仿宋_GB2312" w:eastAsia="仿宋_GB2312" w:cs="仿宋_GB2312"/>
          <w:bCs/>
          <w:color w:val="000000"/>
          <w:sz w:val="28"/>
          <w:szCs w:val="28"/>
          <w:lang w:eastAsia="zh-CN"/>
        </w:rPr>
      </w:pPr>
      <w:r>
        <w:rPr>
          <w:rFonts w:hint="eastAsia" w:ascii="仿宋_GB2312" w:hAnsi="仿宋_GB2312" w:eastAsia="仿宋_GB2312" w:cs="仿宋_GB2312"/>
          <w:bCs/>
          <w:color w:val="000000"/>
          <w:sz w:val="28"/>
          <w:szCs w:val="28"/>
          <w:lang w:eastAsia="zh-CN"/>
        </w:rPr>
        <w:t>一、商标侵权案件的常用取证方式</w:t>
      </w:r>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563"/>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bCs/>
          <w:color w:val="000000"/>
          <w:spacing w:val="-1"/>
          <w:w w:val="95"/>
          <w:sz w:val="28"/>
          <w:szCs w:val="28"/>
          <w:lang w:eastAsia="zh-CN"/>
        </w:rPr>
        <w:t>二、商标侵权案件的取证内容</w:t>
      </w:r>
    </w:p>
    <w:p>
      <w:pPr>
        <w:keepNext w:val="0"/>
        <w:keepLines w:val="0"/>
        <w:pageBreakBefore w:val="0"/>
        <w:widowControl w:val="0"/>
        <w:numPr>
          <w:ilvl w:val="0"/>
          <w:numId w:val="158"/>
        </w:numPr>
        <w:kinsoku/>
        <w:wordWrap/>
        <w:overflowPunct/>
        <w:topLinePunct w:val="0"/>
        <w:autoSpaceDE w:val="0"/>
        <w:autoSpaceDN w:val="0"/>
        <w:bidi w:val="0"/>
        <w:adjustRightInd/>
        <w:snapToGrid/>
        <w:spacing w:beforeAutospacing="0" w:afterAutospacing="0" w:line="500" w:lineRule="exact"/>
        <w:ind w:firstLine="522" w:firstLineChars="200"/>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商标侵权案件的诉讼请求</w:t>
      </w:r>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554"/>
        <w:jc w:val="left"/>
        <w:rPr>
          <w:rFonts w:hint="eastAsia" w:ascii="仿宋_GB2312" w:hAnsi="仿宋_GB2312" w:eastAsia="仿宋_GB2312" w:cs="仿宋_GB2312"/>
          <w:bCs/>
          <w:color w:val="000000"/>
          <w:spacing w:val="-12"/>
          <w:sz w:val="28"/>
          <w:szCs w:val="28"/>
        </w:rPr>
      </w:pPr>
      <w:r>
        <w:rPr>
          <w:rFonts w:hint="eastAsia" w:ascii="仿宋_GB2312" w:hAnsi="仿宋_GB2312" w:eastAsia="仿宋_GB2312" w:cs="仿宋_GB2312"/>
          <w:bCs/>
          <w:color w:val="000000"/>
          <w:spacing w:val="-12"/>
          <w:sz w:val="28"/>
          <w:szCs w:val="28"/>
        </w:rPr>
        <w:t>一、停止侵害</w:t>
      </w:r>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554"/>
        <w:jc w:val="left"/>
        <w:rPr>
          <w:rFonts w:hint="eastAsia" w:ascii="仿宋_GB2312" w:hAnsi="仿宋_GB2312" w:eastAsia="仿宋_GB2312" w:cs="仿宋_GB2312"/>
          <w:bCs/>
          <w:color w:val="000000"/>
          <w:spacing w:val="-12"/>
          <w:sz w:val="28"/>
          <w:szCs w:val="28"/>
        </w:rPr>
      </w:pPr>
      <w:r>
        <w:rPr>
          <w:rFonts w:hint="eastAsia" w:ascii="仿宋_GB2312" w:hAnsi="仿宋_GB2312" w:eastAsia="仿宋_GB2312" w:cs="仿宋_GB2312"/>
          <w:bCs/>
          <w:color w:val="000000"/>
          <w:spacing w:val="-12"/>
          <w:sz w:val="28"/>
          <w:szCs w:val="28"/>
        </w:rPr>
        <w:t>二、赔礼道歉、消除影响</w:t>
      </w:r>
    </w:p>
    <w:p>
      <w:pPr>
        <w:pStyle w:val="7"/>
        <w:keepNext w:val="0"/>
        <w:keepLines w:val="0"/>
        <w:pageBreakBefore w:val="0"/>
        <w:widowControl w:val="0"/>
        <w:kinsoku/>
        <w:wordWrap/>
        <w:overflowPunct/>
        <w:topLinePunct w:val="0"/>
        <w:bidi w:val="0"/>
        <w:adjustRightInd/>
        <w:snapToGrid/>
        <w:spacing w:beforeLines="0" w:beforeAutospacing="0" w:afterLines="0" w:afterAutospacing="0" w:line="500" w:lineRule="exact"/>
        <w:ind w:firstLine="554"/>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bCs/>
          <w:color w:val="000000"/>
          <w:spacing w:val="-12"/>
          <w:sz w:val="28"/>
          <w:szCs w:val="28"/>
        </w:rPr>
        <w:t>三、赔偿损失</w:t>
      </w:r>
    </w:p>
    <w:p>
      <w:pPr>
        <w:keepNext w:val="0"/>
        <w:keepLines w:val="0"/>
        <w:pageBreakBefore w:val="0"/>
        <w:widowControl w:val="0"/>
        <w:numPr>
          <w:ilvl w:val="0"/>
          <w:numId w:val="158"/>
        </w:numPr>
        <w:kinsoku/>
        <w:wordWrap/>
        <w:overflowPunct/>
        <w:topLinePunct w:val="0"/>
        <w:autoSpaceDE w:val="0"/>
        <w:autoSpaceDN w:val="0"/>
        <w:bidi w:val="0"/>
        <w:adjustRightInd/>
        <w:snapToGrid/>
        <w:spacing w:beforeAutospacing="0" w:afterAutospacing="0" w:line="500" w:lineRule="exact"/>
        <w:ind w:firstLine="522" w:firstLineChars="200"/>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商标侵权的被诉抗辩</w:t>
      </w:r>
    </w:p>
    <w:p>
      <w:pPr>
        <w:pStyle w:val="2"/>
        <w:keepNext w:val="0"/>
        <w:keepLines w:val="0"/>
        <w:pageBreakBefore w:val="0"/>
        <w:widowControl w:val="0"/>
        <w:tabs>
          <w:tab w:val="left" w:pos="3851"/>
        </w:tabs>
        <w:kinsoku/>
        <w:wordWrap/>
        <w:overflowPunct/>
        <w:topLinePunct w:val="0"/>
        <w:autoSpaceDE w:val="0"/>
        <w:autoSpaceDN w:val="0"/>
        <w:bidi w:val="0"/>
        <w:adjustRightInd/>
        <w:snapToGrid/>
        <w:spacing w:beforeAutospacing="0" w:afterAutospacing="0" w:line="500" w:lineRule="exact"/>
        <w:ind w:firstLine="522" w:firstLineChars="200"/>
        <w:jc w:val="left"/>
        <w:rPr>
          <w:rFonts w:hint="eastAsia" w:ascii="仿宋_GB2312" w:hAnsi="仿宋_GB2312" w:eastAsia="仿宋_GB2312" w:cs="仿宋_GB2312"/>
          <w:b w:val="0"/>
          <w:bCs/>
          <w:color w:val="000000"/>
          <w:sz w:val="28"/>
          <w:szCs w:val="28"/>
        </w:rPr>
      </w:pPr>
      <w:bookmarkStart w:id="210" w:name="_Toc15167"/>
      <w:r>
        <w:rPr>
          <w:rFonts w:hint="eastAsia" w:ascii="仿宋_GB2312" w:hAnsi="仿宋_GB2312" w:eastAsia="仿宋_GB2312" w:cs="仿宋_GB2312"/>
          <w:b w:val="0"/>
          <w:bCs/>
          <w:color w:val="000000"/>
          <w:sz w:val="28"/>
          <w:szCs w:val="28"/>
        </w:rPr>
        <w:t>一、诉讼主体不适格抗辩</w:t>
      </w:r>
      <w:bookmarkEnd w:id="210"/>
    </w:p>
    <w:p>
      <w:pPr>
        <w:pStyle w:val="2"/>
        <w:keepNext w:val="0"/>
        <w:keepLines w:val="0"/>
        <w:pageBreakBefore w:val="0"/>
        <w:widowControl w:val="0"/>
        <w:kinsoku/>
        <w:wordWrap/>
        <w:overflowPunct/>
        <w:topLinePunct w:val="0"/>
        <w:bidi w:val="0"/>
        <w:adjustRightInd/>
        <w:snapToGrid/>
        <w:spacing w:beforeAutospacing="0" w:afterAutospacing="0" w:line="500" w:lineRule="exact"/>
        <w:ind w:firstLine="474" w:firstLineChars="200"/>
        <w:jc w:val="left"/>
        <w:rPr>
          <w:rFonts w:hint="eastAsia" w:ascii="仿宋_GB2312" w:hAnsi="仿宋_GB2312" w:eastAsia="仿宋_GB2312" w:cs="仿宋_GB2312"/>
          <w:b w:val="0"/>
          <w:bCs/>
          <w:color w:val="000000"/>
          <w:spacing w:val="-12"/>
          <w:sz w:val="28"/>
          <w:szCs w:val="28"/>
        </w:rPr>
      </w:pPr>
      <w:bookmarkStart w:id="211" w:name="_Toc25136"/>
      <w:r>
        <w:rPr>
          <w:rFonts w:hint="eastAsia" w:ascii="仿宋_GB2312" w:hAnsi="仿宋_GB2312" w:eastAsia="仿宋_GB2312" w:cs="仿宋_GB2312"/>
          <w:b w:val="0"/>
          <w:bCs/>
          <w:color w:val="000000"/>
          <w:spacing w:val="-12"/>
          <w:sz w:val="28"/>
          <w:szCs w:val="28"/>
        </w:rPr>
        <w:t>二、</w:t>
      </w:r>
      <w:r>
        <w:rPr>
          <w:rFonts w:hint="eastAsia" w:ascii="仿宋_GB2312" w:hAnsi="仿宋_GB2312" w:eastAsia="仿宋_GB2312" w:cs="仿宋_GB2312"/>
          <w:b w:val="0"/>
          <w:bCs/>
          <w:color w:val="000000"/>
          <w:sz w:val="28"/>
          <w:szCs w:val="28"/>
        </w:rPr>
        <w:t>被控侵权商标与注册商标不构成相同或类似的抗辩</w:t>
      </w:r>
      <w:bookmarkEnd w:id="211"/>
    </w:p>
    <w:p>
      <w:pPr>
        <w:pStyle w:val="2"/>
        <w:keepNext w:val="0"/>
        <w:keepLines w:val="0"/>
        <w:pageBreakBefore w:val="0"/>
        <w:widowControl w:val="0"/>
        <w:kinsoku/>
        <w:wordWrap/>
        <w:overflowPunct/>
        <w:topLinePunct w:val="0"/>
        <w:bidi w:val="0"/>
        <w:adjustRightInd/>
        <w:snapToGrid/>
        <w:spacing w:beforeAutospacing="0" w:afterAutospacing="0" w:line="500" w:lineRule="exact"/>
        <w:ind w:firstLine="485" w:firstLineChars="186"/>
        <w:jc w:val="left"/>
        <w:rPr>
          <w:rFonts w:hint="eastAsia" w:ascii="仿宋_GB2312" w:hAnsi="仿宋_GB2312" w:eastAsia="仿宋_GB2312" w:cs="仿宋_GB2312"/>
          <w:b w:val="0"/>
          <w:bCs/>
          <w:color w:val="000000"/>
          <w:sz w:val="28"/>
          <w:szCs w:val="28"/>
        </w:rPr>
      </w:pPr>
      <w:bookmarkStart w:id="212" w:name="_Toc19726"/>
      <w:r>
        <w:rPr>
          <w:rFonts w:hint="eastAsia" w:ascii="仿宋_GB2312" w:hAnsi="仿宋_GB2312" w:eastAsia="仿宋_GB2312" w:cs="仿宋_GB2312"/>
          <w:b w:val="0"/>
          <w:bCs/>
          <w:color w:val="000000"/>
          <w:sz w:val="28"/>
          <w:szCs w:val="28"/>
        </w:rPr>
        <w:t>三、在先使用抗辩</w:t>
      </w:r>
      <w:bookmarkEnd w:id="212"/>
    </w:p>
    <w:p>
      <w:pPr>
        <w:pStyle w:val="2"/>
        <w:keepNext w:val="0"/>
        <w:keepLines w:val="0"/>
        <w:pageBreakBefore w:val="0"/>
        <w:widowControl w:val="0"/>
        <w:kinsoku/>
        <w:wordWrap/>
        <w:overflowPunct/>
        <w:topLinePunct w:val="0"/>
        <w:bidi w:val="0"/>
        <w:adjustRightInd/>
        <w:snapToGrid/>
        <w:spacing w:beforeAutospacing="0" w:afterAutospacing="0" w:line="500" w:lineRule="exact"/>
        <w:ind w:firstLine="467" w:firstLineChars="179"/>
        <w:jc w:val="left"/>
        <w:rPr>
          <w:rFonts w:hint="eastAsia" w:ascii="仿宋_GB2312" w:hAnsi="仿宋_GB2312" w:eastAsia="仿宋_GB2312" w:cs="仿宋_GB2312"/>
          <w:b w:val="0"/>
          <w:bCs/>
          <w:color w:val="000000"/>
          <w:sz w:val="28"/>
          <w:szCs w:val="28"/>
        </w:rPr>
      </w:pPr>
      <w:bookmarkStart w:id="213" w:name="_Toc5646"/>
      <w:r>
        <w:rPr>
          <w:rFonts w:hint="eastAsia" w:ascii="仿宋_GB2312" w:hAnsi="仿宋_GB2312" w:eastAsia="仿宋_GB2312" w:cs="仿宋_GB2312"/>
          <w:b w:val="0"/>
          <w:bCs/>
          <w:color w:val="000000"/>
          <w:sz w:val="28"/>
          <w:szCs w:val="28"/>
        </w:rPr>
        <w:t>四、合法来源抗辩</w:t>
      </w:r>
      <w:bookmarkEnd w:id="213"/>
    </w:p>
    <w:p>
      <w:pPr>
        <w:pStyle w:val="2"/>
        <w:keepNext w:val="0"/>
        <w:keepLines w:val="0"/>
        <w:pageBreakBefore w:val="0"/>
        <w:widowControl w:val="0"/>
        <w:kinsoku/>
        <w:wordWrap/>
        <w:overflowPunct/>
        <w:topLinePunct w:val="0"/>
        <w:autoSpaceDE w:val="0"/>
        <w:autoSpaceDN w:val="0"/>
        <w:bidi w:val="0"/>
        <w:adjustRightInd/>
        <w:snapToGrid/>
        <w:spacing w:beforeAutospacing="0" w:afterAutospacing="0" w:line="500" w:lineRule="exact"/>
        <w:ind w:firstLine="501" w:firstLineChars="192"/>
        <w:jc w:val="left"/>
        <w:rPr>
          <w:rFonts w:hint="eastAsia" w:ascii="仿宋_GB2312" w:hAnsi="仿宋_GB2312" w:eastAsia="仿宋_GB2312" w:cs="仿宋_GB2312"/>
          <w:b w:val="0"/>
          <w:bCs/>
          <w:color w:val="000000"/>
          <w:sz w:val="28"/>
          <w:szCs w:val="28"/>
        </w:rPr>
      </w:pPr>
      <w:bookmarkStart w:id="214" w:name="_Toc25653"/>
      <w:r>
        <w:rPr>
          <w:rFonts w:hint="eastAsia" w:ascii="仿宋_GB2312" w:hAnsi="仿宋_GB2312" w:eastAsia="仿宋_GB2312" w:cs="仿宋_GB2312"/>
          <w:b w:val="0"/>
          <w:bCs/>
          <w:color w:val="000000"/>
          <w:sz w:val="28"/>
          <w:szCs w:val="28"/>
        </w:rPr>
        <w:t>五、权利商标瑕疵抗辩</w:t>
      </w:r>
      <w:bookmarkEnd w:id="214"/>
    </w:p>
    <w:p>
      <w:pPr>
        <w:pStyle w:val="2"/>
        <w:keepNext w:val="0"/>
        <w:keepLines w:val="0"/>
        <w:pageBreakBefore w:val="0"/>
        <w:widowControl w:val="0"/>
        <w:kinsoku/>
        <w:wordWrap/>
        <w:overflowPunct/>
        <w:topLinePunct w:val="0"/>
        <w:bidi w:val="0"/>
        <w:adjustRightInd/>
        <w:snapToGrid/>
        <w:spacing w:beforeAutospacing="0" w:afterAutospacing="0" w:line="500" w:lineRule="exact"/>
        <w:ind w:firstLine="522" w:firstLineChars="200"/>
        <w:jc w:val="left"/>
        <w:rPr>
          <w:rFonts w:hint="eastAsia" w:ascii="仿宋_GB2312" w:hAnsi="仿宋_GB2312" w:eastAsia="仿宋_GB2312" w:cs="仿宋_GB2312"/>
          <w:b w:val="0"/>
          <w:bCs/>
          <w:color w:val="000000"/>
          <w:sz w:val="28"/>
          <w:szCs w:val="28"/>
        </w:rPr>
      </w:pPr>
      <w:bookmarkStart w:id="215" w:name="_Toc27774"/>
      <w:r>
        <w:rPr>
          <w:rFonts w:hint="eastAsia" w:ascii="仿宋_GB2312" w:hAnsi="仿宋_GB2312" w:eastAsia="仿宋_GB2312" w:cs="仿宋_GB2312"/>
          <w:b w:val="0"/>
          <w:bCs/>
          <w:color w:val="000000"/>
          <w:sz w:val="28"/>
          <w:szCs w:val="28"/>
        </w:rPr>
        <w:t>六、正当使用抗辩</w:t>
      </w:r>
      <w:bookmarkEnd w:id="215"/>
    </w:p>
    <w:p>
      <w:pPr>
        <w:keepNext w:val="0"/>
        <w:keepLines w:val="0"/>
        <w:pageBreakBefore w:val="0"/>
        <w:widowControl w:val="0"/>
        <w:numPr>
          <w:ilvl w:val="0"/>
          <w:numId w:val="158"/>
        </w:numPr>
        <w:kinsoku/>
        <w:wordWrap/>
        <w:overflowPunct/>
        <w:topLinePunct w:val="0"/>
        <w:autoSpaceDE w:val="0"/>
        <w:autoSpaceDN w:val="0"/>
        <w:bidi w:val="0"/>
        <w:adjustRightInd/>
        <w:snapToGrid/>
        <w:spacing w:beforeAutospacing="0" w:afterAutospacing="0" w:line="500" w:lineRule="exact"/>
        <w:ind w:firstLine="522" w:firstLineChars="200"/>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注意事项</w:t>
      </w:r>
    </w:p>
    <w:p>
      <w:pPr>
        <w:keepNext w:val="0"/>
        <w:keepLines w:val="0"/>
        <w:pageBreakBefore w:val="0"/>
        <w:widowControl w:val="0"/>
        <w:kinsoku/>
        <w:wordWrap/>
        <w:overflowPunct/>
        <w:topLinePunct w:val="0"/>
        <w:bidi w:val="0"/>
        <w:adjustRightInd/>
        <w:snapToGrid/>
        <w:spacing w:beforeAutospacing="0" w:afterAutospacing="0" w:line="500" w:lineRule="exact"/>
        <w:jc w:val="left"/>
        <w:rPr>
          <w:rFonts w:hint="eastAsia" w:ascii="仿宋_GB2312" w:hAnsi="仿宋_GB2312" w:eastAsia="仿宋_GB2312" w:cs="仿宋_GB2312"/>
          <w:bCs/>
          <w:color w:val="000000"/>
          <w:sz w:val="20"/>
          <w:szCs w:val="21"/>
        </w:rPr>
      </w:pPr>
    </w:p>
    <w:p>
      <w:pPr>
        <w:keepNext w:val="0"/>
        <w:keepLines w:val="0"/>
        <w:pageBreakBefore w:val="0"/>
        <w:widowControl w:val="0"/>
        <w:kinsoku/>
        <w:wordWrap/>
        <w:overflowPunct/>
        <w:topLinePunct w:val="0"/>
        <w:autoSpaceDE w:val="0"/>
        <w:autoSpaceDN w:val="0"/>
        <w:bidi w:val="0"/>
        <w:adjustRightInd/>
        <w:snapToGrid/>
        <w:spacing w:beforeAutospacing="0" w:afterAutospacing="0" w:line="500" w:lineRule="exact"/>
        <w:jc w:val="left"/>
        <w:rPr>
          <w:rFonts w:hint="eastAsia" w:ascii="仿宋" w:hAnsi="仿宋" w:eastAsia="仿宋" w:cs="仿宋"/>
          <w:color w:val="000000"/>
          <w:sz w:val="28"/>
          <w:szCs w:val="28"/>
        </w:rPr>
      </w:pPr>
    </w:p>
    <w:p>
      <w:pPr>
        <w:pStyle w:val="7"/>
        <w:keepNext w:val="0"/>
        <w:keepLines w:val="0"/>
        <w:pageBreakBefore w:val="0"/>
        <w:widowControl w:val="0"/>
        <w:wordWrap/>
        <w:bidi w:val="0"/>
        <w:spacing w:beforeLines="0" w:after="0" w:afterLines="0" w:line="500" w:lineRule="exact"/>
        <w:ind w:firstLine="0" w:firstLineChars="0"/>
        <w:jc w:val="center"/>
        <w:rPr>
          <w:rFonts w:hint="eastAsia" w:ascii="方正小标宋简体" w:hAnsi="方正小标宋简体" w:eastAsia="方正小标宋简体" w:cs="方正小标宋简体"/>
          <w:bCs/>
          <w:color w:val="000000"/>
          <w:sz w:val="40"/>
          <w:szCs w:val="40"/>
          <w:lang w:eastAsia="zh-CN"/>
        </w:rPr>
      </w:pPr>
      <w:r>
        <w:rPr>
          <w:rFonts w:hint="eastAsia" w:ascii="仿宋_GB2312" w:hAnsi="仿宋" w:eastAsia="仿宋_GB2312" w:cs="仿宋"/>
          <w:color w:val="000000"/>
          <w:sz w:val="28"/>
          <w:szCs w:val="28"/>
        </w:rPr>
        <w:br w:type="page"/>
      </w:r>
      <w:r>
        <w:rPr>
          <w:rFonts w:hint="eastAsia" w:ascii="方正小标宋简体" w:hAnsi="方正小标宋简体" w:eastAsia="方正小标宋简体" w:cs="方正小标宋简体"/>
          <w:bCs/>
          <w:color w:val="000000"/>
          <w:sz w:val="40"/>
          <w:szCs w:val="40"/>
          <w:lang w:eastAsia="zh-CN"/>
        </w:rPr>
        <w:t>律师代理商标侵权案件诉讼</w:t>
      </w:r>
    </w:p>
    <w:p>
      <w:pPr>
        <w:pStyle w:val="7"/>
        <w:keepNext w:val="0"/>
        <w:keepLines w:val="0"/>
        <w:pageBreakBefore w:val="0"/>
        <w:widowControl w:val="0"/>
        <w:wordWrap/>
        <w:bidi w:val="0"/>
        <w:spacing w:beforeLines="0" w:after="0" w:afterLines="0" w:line="500" w:lineRule="exact"/>
        <w:ind w:firstLine="0" w:firstLineChars="0"/>
        <w:jc w:val="center"/>
        <w:rPr>
          <w:rFonts w:ascii="方正小标宋简体" w:hAnsi="方正小标宋简体" w:eastAsia="方正小标宋简体" w:cs="方正小标宋简体"/>
          <w:bCs/>
          <w:color w:val="000000"/>
          <w:sz w:val="40"/>
          <w:szCs w:val="40"/>
          <w:lang w:eastAsia="zh-CN"/>
        </w:rPr>
      </w:pPr>
      <w:r>
        <w:rPr>
          <w:rFonts w:hint="eastAsia" w:ascii="方正小标宋简体" w:hAnsi="方正小标宋简体" w:eastAsia="方正小标宋简体" w:cs="方正小标宋简体"/>
          <w:bCs/>
          <w:color w:val="000000"/>
          <w:sz w:val="40"/>
          <w:szCs w:val="40"/>
          <w:lang w:eastAsia="zh-CN"/>
        </w:rPr>
        <w:t>业务操作指引</w:t>
      </w:r>
    </w:p>
    <w:p>
      <w:pPr>
        <w:keepNext w:val="0"/>
        <w:keepLines w:val="0"/>
        <w:pageBreakBefore w:val="0"/>
        <w:widowControl w:val="0"/>
        <w:wordWrap/>
        <w:autoSpaceDE w:val="0"/>
        <w:autoSpaceDN w:val="0"/>
        <w:bidi w:val="0"/>
        <w:adjustRightInd/>
        <w:snapToGrid/>
        <w:spacing w:before="227" w:beforeLines="50" w:after="227" w:afterLines="50" w:line="500" w:lineRule="exact"/>
        <w:jc w:val="both"/>
        <w:rPr>
          <w:rFonts w:ascii="仿宋_GB2312" w:eastAsia="仿宋_GB2312"/>
          <w:color w:val="000000"/>
          <w:sz w:val="28"/>
          <w:szCs w:val="28"/>
        </w:rPr>
      </w:pPr>
    </w:p>
    <w:p>
      <w:pPr>
        <w:pStyle w:val="2"/>
        <w:keepNext w:val="0"/>
        <w:keepLines w:val="0"/>
        <w:pageBreakBefore w:val="0"/>
        <w:widowControl w:val="0"/>
        <w:numPr>
          <w:ilvl w:val="0"/>
          <w:numId w:val="159"/>
        </w:numPr>
        <w:tabs>
          <w:tab w:val="left" w:pos="3563"/>
          <w:tab w:val="left" w:pos="5500"/>
        </w:tabs>
        <w:kinsoku/>
        <w:wordWrap/>
        <w:overflowPunct/>
        <w:topLinePunct w:val="0"/>
        <w:autoSpaceDE w:val="0"/>
        <w:autoSpaceDN w:val="0"/>
        <w:bidi w:val="0"/>
        <w:adjustRightInd/>
        <w:spacing w:beforeAutospacing="0" w:afterAutospacing="0" w:line="500" w:lineRule="exact"/>
        <w:ind w:left="0" w:firstLine="522" w:firstLineChars="200"/>
        <w:jc w:val="center"/>
        <w:rPr>
          <w:rFonts w:hint="eastAsia" w:ascii="黑体" w:hAnsi="黑体" w:eastAsia="黑体" w:cs="黑体"/>
          <w:b w:val="0"/>
          <w:bCs/>
          <w:color w:val="000000"/>
          <w:sz w:val="28"/>
          <w:szCs w:val="28"/>
        </w:rPr>
      </w:pPr>
      <w:r>
        <w:rPr>
          <w:rFonts w:hint="eastAsia" w:ascii="黑体" w:hAnsi="黑体" w:eastAsia="黑体" w:cs="黑体"/>
          <w:b w:val="0"/>
          <w:bCs/>
          <w:color w:val="000000"/>
          <w:sz w:val="28"/>
          <w:szCs w:val="28"/>
        </w:rPr>
        <w:t xml:space="preserve"> </w:t>
      </w:r>
      <w:bookmarkStart w:id="216" w:name="_Toc28886"/>
      <w:r>
        <w:rPr>
          <w:rFonts w:hint="eastAsia" w:ascii="黑体" w:hAnsi="黑体" w:eastAsia="黑体" w:cs="黑体"/>
          <w:b w:val="0"/>
          <w:bCs/>
          <w:color w:val="000000"/>
          <w:sz w:val="28"/>
          <w:szCs w:val="28"/>
        </w:rPr>
        <w:t>商标权及商标权稳定性判断</w:t>
      </w:r>
      <w:bookmarkEnd w:id="216"/>
    </w:p>
    <w:p>
      <w:pPr>
        <w:pStyle w:val="2"/>
        <w:keepNext w:val="0"/>
        <w:keepLines w:val="0"/>
        <w:pageBreakBefore w:val="0"/>
        <w:widowControl w:val="0"/>
        <w:tabs>
          <w:tab w:val="left" w:pos="3563"/>
          <w:tab w:val="left" w:pos="5500"/>
        </w:tabs>
        <w:kinsoku/>
        <w:wordWrap/>
        <w:overflowPunct/>
        <w:topLinePunct w:val="0"/>
        <w:bidi w:val="0"/>
        <w:adjustRightInd/>
        <w:snapToGrid w:val="0"/>
        <w:spacing w:beforeAutospacing="0" w:afterAutospacing="0" w:line="500" w:lineRule="exact"/>
        <w:ind w:firstLine="522" w:firstLineChars="200"/>
        <w:rPr>
          <w:rFonts w:hint="eastAsia" w:ascii="楷体" w:hAnsi="楷体" w:eastAsia="楷体" w:cs="仿宋"/>
          <w:color w:val="000000"/>
          <w:sz w:val="28"/>
          <w:szCs w:val="28"/>
        </w:rPr>
      </w:pPr>
      <w:bookmarkStart w:id="217" w:name="_Toc27619"/>
      <w:r>
        <w:rPr>
          <w:rFonts w:hint="eastAsia" w:ascii="楷体" w:hAnsi="楷体" w:eastAsia="楷体" w:cs="仿宋"/>
          <w:color w:val="000000"/>
          <w:sz w:val="28"/>
          <w:szCs w:val="28"/>
        </w:rPr>
        <w:t>一、商标权</w:t>
      </w:r>
      <w:bookmarkEnd w:id="217"/>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商标权，是指商标所有人对其商标所享有的独占的、排他的权利。在我国由于商标权的取得实行注册原则，因此，商标权实际上是因商标所有人申请、经</w:t>
      </w:r>
      <w:r>
        <w:rPr>
          <w:rFonts w:hint="eastAsia" w:ascii="仿宋_GB2312" w:hAnsi="仿宋" w:eastAsia="仿宋_GB2312" w:cs="仿宋"/>
          <w:color w:val="000000"/>
          <w:sz w:val="28"/>
          <w:szCs w:val="28"/>
          <w:lang w:eastAsia="zh-CN"/>
        </w:rPr>
        <w:t>国家知识产局核准注册的而对商标享有的</w:t>
      </w:r>
      <w:r>
        <w:rPr>
          <w:rFonts w:hint="eastAsia" w:ascii="仿宋_GB2312" w:hAnsi="仿宋" w:eastAsia="仿宋_GB2312" w:cs="仿宋"/>
          <w:color w:val="000000"/>
          <w:sz w:val="28"/>
          <w:szCs w:val="28"/>
        </w:rPr>
        <w:t>专有权利，即因商标注册而产生的专有权。</w:t>
      </w:r>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4"/>
        <w:jc w:val="both"/>
        <w:rPr>
          <w:rFonts w:hint="eastAsia" w:ascii="仿宋_GB2312" w:hAnsi="仿宋" w:eastAsia="仿宋_GB2312" w:cs="仿宋"/>
          <w:b/>
          <w:color w:val="000000"/>
          <w:sz w:val="28"/>
          <w:szCs w:val="28"/>
          <w:lang w:eastAsia="zh-CN"/>
        </w:rPr>
      </w:pPr>
      <w:r>
        <w:rPr>
          <w:rFonts w:hint="eastAsia" w:ascii="仿宋_GB2312" w:hAnsi="仿宋" w:eastAsia="仿宋_GB2312" w:cs="仿宋"/>
          <w:b/>
          <w:color w:val="000000"/>
          <w:sz w:val="28"/>
          <w:szCs w:val="28"/>
          <w:lang w:eastAsia="zh-CN"/>
        </w:rPr>
        <w:t>（一）商标的概念</w:t>
      </w:r>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lang w:eastAsia="zh-CN"/>
        </w:rPr>
      </w:pPr>
      <w:r>
        <w:rPr>
          <w:rFonts w:hint="eastAsia" w:ascii="仿宋_GB2312" w:hAnsi="仿宋" w:eastAsia="仿宋_GB2312" w:cs="仿宋"/>
          <w:color w:val="000000"/>
          <w:sz w:val="28"/>
          <w:szCs w:val="28"/>
        </w:rPr>
        <w:t>商标是用以区别商品和服务不同来源的商业性标志，由</w:t>
      </w: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"https://baike.baidu.com/item/%E6%96%87%E5%AD%97/612910" \t "https://baike.baidu.com/item/%E5%95%86%E6%A0%87%E6%9D%83/_blank"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文字</w:t>
      </w:r>
      <w:r>
        <w:rPr>
          <w:rFonts w:hint="eastAsia" w:ascii="仿宋_GB2312" w:hAnsi="仿宋" w:eastAsia="仿宋_GB2312" w:cs="仿宋"/>
          <w:color w:val="000000"/>
          <w:sz w:val="28"/>
          <w:szCs w:val="28"/>
        </w:rPr>
        <w:fldChar w:fldCharType="end"/>
      </w:r>
      <w:r>
        <w:rPr>
          <w:rFonts w:hint="eastAsia" w:ascii="仿宋_GB2312" w:hAnsi="仿宋" w:eastAsia="仿宋_GB2312" w:cs="仿宋"/>
          <w:color w:val="000000"/>
          <w:sz w:val="28"/>
          <w:szCs w:val="28"/>
        </w:rPr>
        <w:t>、</w:t>
      </w: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"https://baike.baidu.com/item/%E5%9B%BE%E5%BD%A2/773307" \t "https://baike.baidu.com/item/%E5%95%86%E6%A0%87%E6%9D%83/_blank"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图形</w:t>
      </w:r>
      <w:r>
        <w:rPr>
          <w:rFonts w:hint="eastAsia" w:ascii="仿宋_GB2312" w:hAnsi="仿宋" w:eastAsia="仿宋_GB2312" w:cs="仿宋"/>
          <w:color w:val="000000"/>
          <w:sz w:val="28"/>
          <w:szCs w:val="28"/>
        </w:rPr>
        <w:fldChar w:fldCharType="end"/>
      </w:r>
      <w:r>
        <w:rPr>
          <w:rFonts w:hint="eastAsia" w:ascii="仿宋_GB2312" w:hAnsi="仿宋" w:eastAsia="仿宋_GB2312" w:cs="仿宋"/>
          <w:color w:val="000000"/>
          <w:sz w:val="28"/>
          <w:szCs w:val="28"/>
        </w:rPr>
        <w:t>、</w:t>
      </w: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"https://baike.baidu.com/item/%E5%AD%97%E6%AF%8D/1710184" \t "https://baike.baidu.com/item/%E5%95%86%E6%A0%87%E6%9D%83/_blank"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字母</w:t>
      </w:r>
      <w:r>
        <w:rPr>
          <w:rFonts w:hint="eastAsia" w:ascii="仿宋_GB2312" w:hAnsi="仿宋" w:eastAsia="仿宋_GB2312" w:cs="仿宋"/>
          <w:color w:val="000000"/>
          <w:sz w:val="28"/>
          <w:szCs w:val="28"/>
        </w:rPr>
        <w:fldChar w:fldCharType="end"/>
      </w:r>
      <w:r>
        <w:rPr>
          <w:rFonts w:hint="eastAsia" w:ascii="仿宋_GB2312" w:hAnsi="仿宋" w:eastAsia="仿宋_GB2312" w:cs="仿宋"/>
          <w:color w:val="000000"/>
          <w:sz w:val="28"/>
          <w:szCs w:val="28"/>
        </w:rPr>
        <w:t>、</w:t>
      </w: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"https://baike.baidu.com/item/%E6%95%B0%E5%AD%97/6204" \t "https://baike.baidu.com/item/%E5%95%86%E6%A0%87%E6%9D%83/_blank"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数字</w:t>
      </w:r>
      <w:r>
        <w:rPr>
          <w:rFonts w:hint="eastAsia" w:ascii="仿宋_GB2312" w:hAnsi="仿宋" w:eastAsia="仿宋_GB2312" w:cs="仿宋"/>
          <w:color w:val="000000"/>
          <w:sz w:val="28"/>
          <w:szCs w:val="28"/>
        </w:rPr>
        <w:fldChar w:fldCharType="end"/>
      </w:r>
      <w:r>
        <w:rPr>
          <w:rFonts w:hint="eastAsia" w:ascii="仿宋_GB2312" w:hAnsi="仿宋" w:eastAsia="仿宋_GB2312" w:cs="仿宋"/>
          <w:color w:val="000000"/>
          <w:sz w:val="28"/>
          <w:szCs w:val="28"/>
        </w:rPr>
        <w:t>、三维标志、颜色组合、声音或者上述要素的组合构成。</w:t>
      </w: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"https://baike.baidu.com/item/%E5%95%86%E6%A0%87" \h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商标</w:t>
      </w:r>
      <w:r>
        <w:rPr>
          <w:rFonts w:hint="eastAsia" w:ascii="仿宋_GB2312" w:hAnsi="仿宋" w:eastAsia="仿宋_GB2312" w:cs="仿宋"/>
          <w:color w:val="000000"/>
          <w:sz w:val="28"/>
          <w:szCs w:val="28"/>
        </w:rPr>
        <w:fldChar w:fldCharType="end"/>
      </w:r>
      <w:r>
        <w:rPr>
          <w:rFonts w:hint="eastAsia" w:ascii="仿宋_GB2312" w:hAnsi="仿宋" w:eastAsia="仿宋_GB2312" w:cs="仿宋"/>
          <w:color w:val="000000"/>
          <w:sz w:val="28"/>
          <w:szCs w:val="28"/>
        </w:rPr>
        <w:t>是用来区别一个经营者的</w:t>
      </w:r>
      <w:r>
        <w:rPr>
          <w:rFonts w:hint="eastAsia" w:ascii="仿宋_GB2312" w:hAnsi="仿宋" w:eastAsia="仿宋_GB2312" w:cs="仿宋"/>
          <w:color w:val="000000"/>
          <w:sz w:val="28"/>
          <w:szCs w:val="28"/>
          <w:lang w:eastAsia="zh-CN"/>
        </w:rPr>
        <w:t>商品</w:t>
      </w:r>
      <w:r>
        <w:rPr>
          <w:rFonts w:hint="eastAsia" w:ascii="仿宋_GB2312" w:hAnsi="仿宋" w:eastAsia="仿宋_GB2312" w:cs="仿宋"/>
          <w:color w:val="000000"/>
          <w:sz w:val="28"/>
          <w:szCs w:val="28"/>
        </w:rPr>
        <w:t>品牌或服务和其他经营者的商品或服务的标记。任何能够将自然人、法人或者其他组织的商品与他人的商品区别开的标志，包括文字、图形、字母、数字、三维标志、颜色组合和声音等，以及上述要素的组合，均可以作为商标申请注册。</w:t>
      </w:r>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4"/>
        <w:jc w:val="both"/>
        <w:rPr>
          <w:rFonts w:hint="eastAsia" w:ascii="仿宋_GB2312" w:hAnsi="仿宋" w:eastAsia="仿宋_GB2312" w:cs="仿宋"/>
          <w:b/>
          <w:color w:val="000000"/>
          <w:sz w:val="28"/>
          <w:szCs w:val="28"/>
          <w:lang w:eastAsia="zh-CN"/>
        </w:rPr>
      </w:pPr>
      <w:r>
        <w:rPr>
          <w:rFonts w:hint="eastAsia" w:ascii="仿宋_GB2312" w:hAnsi="仿宋" w:eastAsia="仿宋_GB2312" w:cs="仿宋"/>
          <w:b/>
          <w:color w:val="000000"/>
          <w:sz w:val="28"/>
          <w:szCs w:val="28"/>
          <w:lang w:eastAsia="zh-CN"/>
        </w:rPr>
        <w:t>（二）商标分类</w:t>
      </w:r>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根据我国商标法的规定，商标的类型包括商品商标、服务商标和集体商标、证明商标。商标局将尼斯分类的商品和服务项目划分类似群，并结合实际情况增加我国常用商品和服务项目名称，制定《类似商品和服务区分表》（以下简称《区分表》），具体分类为：</w:t>
      </w:r>
    </w:p>
    <w:p>
      <w:pPr>
        <w:pStyle w:val="7"/>
        <w:keepNext w:val="0"/>
        <w:keepLines w:val="0"/>
        <w:pageBreakBefore w:val="0"/>
        <w:widowControl w:val="0"/>
        <w:numPr>
          <w:ilvl w:val="0"/>
          <w:numId w:val="160"/>
        </w:numPr>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商品商标，是指商品生产者在自己生产或经营的商品上使用的，所属尼斯分类的第 1～34 类；</w:t>
      </w:r>
    </w:p>
    <w:p>
      <w:pPr>
        <w:pStyle w:val="7"/>
        <w:keepNext w:val="0"/>
        <w:keepLines w:val="0"/>
        <w:pageBreakBefore w:val="0"/>
        <w:widowControl w:val="0"/>
        <w:numPr>
          <w:ilvl w:val="0"/>
          <w:numId w:val="160"/>
        </w:numPr>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服务商标，是指提供服务的经营者为将自己提供的服务与他人提供的服务相区别而使用的标志。所属尼斯分类第35～45类；</w:t>
      </w:r>
    </w:p>
    <w:p>
      <w:pPr>
        <w:pStyle w:val="7"/>
        <w:keepNext w:val="0"/>
        <w:keepLines w:val="0"/>
        <w:pageBreakBefore w:val="0"/>
        <w:widowControl w:val="0"/>
        <w:numPr>
          <w:ilvl w:val="0"/>
          <w:numId w:val="160"/>
        </w:numPr>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集体商标，是指以团体、协会或者其他组织名义注册，供该组织成员在商事活动中使用，以表明使用者在该组织中的成员资格的标志。</w:t>
      </w:r>
    </w:p>
    <w:p>
      <w:pPr>
        <w:pStyle w:val="7"/>
        <w:keepNext w:val="0"/>
        <w:keepLines w:val="0"/>
        <w:pageBreakBefore w:val="0"/>
        <w:widowControl w:val="0"/>
        <w:numPr>
          <w:ilvl w:val="0"/>
          <w:numId w:val="160"/>
        </w:numPr>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证明商标，是指由对某种商品或者服务具有监督能力的组织所控制，而由该组织以外的单位或者个人使用于其商品或者服务，用以证明该商品或者服务的原产地、原料、制造方法、质量或者其他特定品质的标志。</w:t>
      </w:r>
    </w:p>
    <w:p>
      <w:pPr>
        <w:pStyle w:val="2"/>
        <w:keepNext w:val="0"/>
        <w:keepLines w:val="0"/>
        <w:pageBreakBefore w:val="0"/>
        <w:widowControl w:val="0"/>
        <w:kinsoku/>
        <w:wordWrap/>
        <w:overflowPunct/>
        <w:topLinePunct w:val="0"/>
        <w:bidi w:val="0"/>
        <w:adjustRightInd/>
        <w:snapToGrid w:val="0"/>
        <w:spacing w:beforeAutospacing="0" w:afterAutospacing="0" w:line="500" w:lineRule="exact"/>
        <w:ind w:firstLine="522" w:firstLineChars="200"/>
        <w:rPr>
          <w:rFonts w:hint="eastAsia" w:ascii="仿宋_GB2312" w:hAnsi="仿宋" w:eastAsia="仿宋_GB2312" w:cs="仿宋"/>
          <w:bCs/>
          <w:color w:val="000000"/>
          <w:sz w:val="28"/>
          <w:szCs w:val="28"/>
        </w:rPr>
      </w:pPr>
      <w:bookmarkStart w:id="218" w:name="_Toc882"/>
      <w:r>
        <w:rPr>
          <w:rFonts w:hint="eastAsia" w:ascii="仿宋_GB2312" w:hAnsi="仿宋" w:eastAsia="仿宋_GB2312" w:cs="仿宋"/>
          <w:color w:val="000000"/>
          <w:sz w:val="28"/>
          <w:szCs w:val="28"/>
        </w:rPr>
        <w:t>（三）商标侵权的概念</w:t>
      </w:r>
      <w:bookmarkEnd w:id="218"/>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行为人未经</w:t>
      </w: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"https://baike.baidu.com/item/%E5%95%86%E6%A0%87%E6%9D%83" \h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商标权</w:t>
      </w:r>
      <w:r>
        <w:rPr>
          <w:rFonts w:hint="eastAsia" w:ascii="仿宋_GB2312" w:hAnsi="仿宋" w:eastAsia="仿宋_GB2312" w:cs="仿宋"/>
          <w:color w:val="000000"/>
          <w:sz w:val="28"/>
          <w:szCs w:val="28"/>
        </w:rPr>
        <w:fldChar w:fldCharType="end"/>
      </w:r>
      <w:r>
        <w:rPr>
          <w:rFonts w:hint="eastAsia" w:ascii="仿宋_GB2312" w:hAnsi="仿宋" w:eastAsia="仿宋_GB2312" w:cs="仿宋"/>
          <w:color w:val="000000"/>
          <w:sz w:val="28"/>
          <w:szCs w:val="28"/>
        </w:rPr>
        <w:t>人许可，在相同或</w:t>
      </w: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"https://baike.baidu.com/item/%E7%B1%BB%E4%BC%BC%E5%95%86%E5%93%81" \h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类似商品</w:t>
      </w:r>
      <w:r>
        <w:rPr>
          <w:rFonts w:hint="eastAsia" w:ascii="仿宋_GB2312" w:hAnsi="仿宋" w:eastAsia="仿宋_GB2312" w:cs="仿宋"/>
          <w:color w:val="000000"/>
          <w:sz w:val="28"/>
          <w:szCs w:val="28"/>
        </w:rPr>
        <w:fldChar w:fldCharType="end"/>
      </w:r>
      <w:r>
        <w:rPr>
          <w:rFonts w:hint="eastAsia" w:ascii="仿宋_GB2312" w:hAnsi="仿宋" w:eastAsia="仿宋_GB2312" w:cs="仿宋"/>
          <w:color w:val="000000"/>
          <w:sz w:val="28"/>
          <w:szCs w:val="28"/>
        </w:rPr>
        <w:t>上使用与其注册商标相同或近似的商标，容易导致混淆的；行为人销售侵犯注册商标专用权商品的行为。或者其他干涉、妨碍商标权人使用其注册商标，损害商标权人合法权益的其他行为。</w:t>
      </w:r>
    </w:p>
    <w:p>
      <w:pPr>
        <w:pStyle w:val="7"/>
        <w:keepNext w:val="0"/>
        <w:keepLines w:val="0"/>
        <w:pageBreakBefore w:val="0"/>
        <w:widowControl w:val="0"/>
        <w:numPr>
          <w:ilvl w:val="0"/>
          <w:numId w:val="161"/>
        </w:numPr>
        <w:kinsoku/>
        <w:wordWrap/>
        <w:overflowPunct/>
        <w:topLinePunct w:val="0"/>
        <w:bidi w:val="0"/>
        <w:adjustRightInd/>
        <w:spacing w:beforeLines="0" w:beforeAutospacing="0" w:afterLines="0" w:afterAutospacing="0" w:line="500" w:lineRule="exact"/>
        <w:ind w:firstLine="604"/>
        <w:jc w:val="both"/>
        <w:rPr>
          <w:rFonts w:hint="eastAsia" w:ascii="楷体" w:hAnsi="楷体" w:eastAsia="楷体" w:cs="仿宋"/>
          <w:b/>
          <w:bCs/>
          <w:color w:val="000000"/>
          <w:sz w:val="28"/>
          <w:szCs w:val="28"/>
          <w:lang w:eastAsia="zh-CN"/>
        </w:rPr>
      </w:pPr>
      <w:r>
        <w:rPr>
          <w:rFonts w:hint="eastAsia" w:ascii="楷体" w:hAnsi="楷体" w:eastAsia="楷体" w:cs="仿宋"/>
          <w:b/>
          <w:bCs/>
          <w:color w:val="000000"/>
          <w:sz w:val="28"/>
          <w:szCs w:val="28"/>
          <w:lang w:eastAsia="zh-CN"/>
        </w:rPr>
        <w:t>商标</w:t>
      </w:r>
      <w:r>
        <w:rPr>
          <w:rFonts w:hint="eastAsia" w:ascii="楷体" w:hAnsi="楷体" w:eastAsia="楷体" w:cs="仿宋"/>
          <w:b/>
          <w:bCs/>
          <w:color w:val="000000"/>
          <w:sz w:val="28"/>
          <w:szCs w:val="28"/>
        </w:rPr>
        <w:t>权</w:t>
      </w:r>
      <w:r>
        <w:rPr>
          <w:rFonts w:hint="eastAsia" w:ascii="楷体" w:hAnsi="楷体" w:eastAsia="楷体" w:cs="仿宋"/>
          <w:b/>
          <w:bCs/>
          <w:color w:val="000000"/>
          <w:sz w:val="28"/>
          <w:szCs w:val="28"/>
          <w:lang w:eastAsia="zh-CN"/>
        </w:rPr>
        <w:t>稳定性判断</w:t>
      </w:r>
    </w:p>
    <w:p>
      <w:pPr>
        <w:pStyle w:val="7"/>
        <w:keepNext w:val="0"/>
        <w:keepLines w:val="0"/>
        <w:pageBreakBefore w:val="0"/>
        <w:widowControl w:val="0"/>
        <w:numPr>
          <w:ilvl w:val="0"/>
          <w:numId w:val="162"/>
        </w:numPr>
        <w:kinsoku/>
        <w:wordWrap/>
        <w:overflowPunct/>
        <w:topLinePunct w:val="0"/>
        <w:bidi w:val="0"/>
        <w:adjustRightInd/>
        <w:spacing w:beforeLines="0" w:beforeAutospacing="0" w:afterLines="0" w:afterAutospacing="0" w:line="500" w:lineRule="exact"/>
        <w:ind w:firstLine="604"/>
        <w:jc w:val="both"/>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评估权利商标是否存在无效的法律风险</w:t>
      </w:r>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根据《中华人民共和国商标法》四十四条、四十五条规定，获准注册的权利商标如果存在《中华人民共和国商标法》四十四条、四十五条规定的商标无效的情形，该注册商标专用权自始无效。因此，商标权利人提起侵害商标权之诉时需要审查、评估权利商标是否存在被认定无效的法律风险。</w:t>
      </w:r>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4"/>
        <w:jc w:val="both"/>
        <w:rPr>
          <w:rFonts w:hint="eastAsia" w:ascii="仿宋_GB2312" w:hAnsi="仿宋" w:eastAsia="仿宋_GB2312" w:cs="仿宋"/>
          <w:b/>
          <w:bCs/>
          <w:color w:val="000000"/>
          <w:sz w:val="28"/>
          <w:szCs w:val="28"/>
        </w:rPr>
      </w:pPr>
      <w:r>
        <w:rPr>
          <w:rFonts w:hint="eastAsia" w:ascii="仿宋_GB2312" w:hAnsi="仿宋" w:eastAsia="仿宋_GB2312" w:cs="仿宋"/>
          <w:b/>
          <w:color w:val="000000"/>
          <w:sz w:val="28"/>
          <w:szCs w:val="28"/>
        </w:rPr>
        <w:t>（二）评估权利商标是否存在被撤销的法律风险</w:t>
      </w:r>
    </w:p>
    <w:p>
      <w:pPr>
        <w:pStyle w:val="2"/>
        <w:keepNext w:val="0"/>
        <w:keepLines w:val="0"/>
        <w:pageBreakBefore w:val="0"/>
        <w:widowControl w:val="0"/>
        <w:kinsoku/>
        <w:wordWrap/>
        <w:overflowPunct/>
        <w:topLinePunct w:val="0"/>
        <w:bidi w:val="0"/>
        <w:adjustRightInd/>
        <w:snapToGrid w:val="0"/>
        <w:spacing w:beforeAutospacing="0" w:afterAutospacing="0" w:line="500" w:lineRule="exact"/>
        <w:ind w:firstLine="522" w:firstLineChars="200"/>
        <w:rPr>
          <w:rFonts w:hint="eastAsia" w:ascii="仿宋_GB2312" w:hAnsi="仿宋" w:eastAsia="仿宋_GB2312" w:cs="仿宋"/>
          <w:b w:val="0"/>
          <w:bCs/>
          <w:color w:val="000000"/>
          <w:sz w:val="28"/>
          <w:szCs w:val="28"/>
        </w:rPr>
      </w:pPr>
      <w:bookmarkStart w:id="219" w:name="_Toc32723"/>
      <w:r>
        <w:rPr>
          <w:rFonts w:hint="eastAsia" w:ascii="仿宋_GB2312" w:hAnsi="仿宋" w:eastAsia="仿宋_GB2312" w:cs="仿宋"/>
          <w:b w:val="0"/>
          <w:color w:val="000000"/>
          <w:sz w:val="28"/>
          <w:szCs w:val="28"/>
        </w:rPr>
        <w:t>根据《中华人民共和国商标法》第四十九条规定注册的权利商标如果存在《中华人民共和国商标法》第四十九条规定的商标撤销的情形，权利商标在诉讼过程中面临被撤销的法律风险，因此，商标权利人提起侵害商标权之诉时需要审查、评估权利商标是否存在被撤销的法律风险。</w:t>
      </w:r>
      <w:bookmarkEnd w:id="219"/>
    </w:p>
    <w:p>
      <w:pPr>
        <w:keepNext w:val="0"/>
        <w:keepLines w:val="0"/>
        <w:pageBreakBefore w:val="0"/>
        <w:widowControl w:val="0"/>
        <w:kinsoku/>
        <w:wordWrap/>
        <w:overflowPunct/>
        <w:topLinePunct w:val="0"/>
        <w:bidi w:val="0"/>
        <w:adjustRightInd/>
        <w:spacing w:beforeAutospacing="0" w:afterAutospacing="0" w:line="500" w:lineRule="exact"/>
        <w:ind w:firstLine="522" w:firstLineChars="200"/>
        <w:jc w:val="both"/>
        <w:rPr>
          <w:rFonts w:hint="eastAsia" w:ascii="仿宋_GB2312" w:hAnsi="仿宋" w:eastAsia="仿宋_GB2312" w:cs="仿宋"/>
          <w:b/>
          <w:bCs/>
          <w:color w:val="000000"/>
          <w:sz w:val="28"/>
          <w:szCs w:val="28"/>
        </w:rPr>
      </w:pPr>
      <w:r>
        <w:rPr>
          <w:rFonts w:hint="eastAsia" w:ascii="仿宋_GB2312" w:hAnsi="仿宋" w:eastAsia="仿宋_GB2312" w:cs="仿宋"/>
          <w:b/>
          <w:color w:val="000000"/>
          <w:sz w:val="28"/>
          <w:szCs w:val="28"/>
        </w:rPr>
        <w:t>（三）审查商标是否处于有效状态</w:t>
      </w:r>
    </w:p>
    <w:p>
      <w:pPr>
        <w:pStyle w:val="2"/>
        <w:keepNext w:val="0"/>
        <w:keepLines w:val="0"/>
        <w:pageBreakBefore w:val="0"/>
        <w:widowControl w:val="0"/>
        <w:kinsoku/>
        <w:wordWrap/>
        <w:overflowPunct/>
        <w:topLinePunct w:val="0"/>
        <w:bidi w:val="0"/>
        <w:adjustRightInd/>
        <w:snapToGrid w:val="0"/>
        <w:spacing w:beforeAutospacing="0" w:afterAutospacing="0" w:line="500" w:lineRule="exact"/>
        <w:ind w:firstLine="522" w:firstLineChars="200"/>
        <w:rPr>
          <w:rFonts w:hint="eastAsia" w:ascii="仿宋_GB2312" w:hAnsi="仿宋" w:eastAsia="仿宋_GB2312" w:cs="仿宋"/>
          <w:b w:val="0"/>
          <w:color w:val="000000"/>
          <w:sz w:val="28"/>
          <w:szCs w:val="28"/>
          <w:lang w:eastAsia="en-US"/>
        </w:rPr>
      </w:pPr>
      <w:bookmarkStart w:id="220" w:name="_Toc27122"/>
      <w:r>
        <w:rPr>
          <w:rFonts w:hint="eastAsia" w:ascii="仿宋_GB2312" w:hAnsi="仿宋" w:eastAsia="仿宋_GB2312" w:cs="仿宋"/>
          <w:b w:val="0"/>
          <w:color w:val="000000"/>
          <w:sz w:val="28"/>
          <w:szCs w:val="28"/>
        </w:rPr>
        <w:t>根据《中华人民共和国商标法》</w:t>
      </w:r>
      <w:r>
        <w:rPr>
          <w:rFonts w:hint="eastAsia" w:ascii="仿宋_GB2312" w:hAnsi="仿宋" w:eastAsia="仿宋_GB2312" w:cs="仿宋"/>
          <w:b w:val="0"/>
          <w:color w:val="000000"/>
          <w:sz w:val="28"/>
          <w:szCs w:val="28"/>
          <w:lang w:eastAsia="en-US"/>
        </w:rPr>
        <w:t>第三十九条、第四十条</w:t>
      </w:r>
      <w:r>
        <w:rPr>
          <w:rFonts w:hint="eastAsia" w:ascii="仿宋_GB2312" w:hAnsi="仿宋" w:eastAsia="仿宋_GB2312" w:cs="仿宋"/>
          <w:b w:val="0"/>
          <w:color w:val="000000"/>
          <w:sz w:val="28"/>
          <w:szCs w:val="28"/>
        </w:rPr>
        <w:t>规定，商标的有效期限为十年，期限届满后需要向国家知识产权局办理商标续展手续，因此，</w:t>
      </w:r>
      <w:r>
        <w:rPr>
          <w:rFonts w:hint="eastAsia" w:ascii="仿宋_GB2312" w:hAnsi="仿宋" w:eastAsia="仿宋_GB2312" w:cs="仿宋"/>
          <w:b w:val="0"/>
          <w:color w:val="000000"/>
          <w:sz w:val="28"/>
          <w:szCs w:val="28"/>
          <w:lang w:eastAsia="en-US"/>
        </w:rPr>
        <w:t>商标权利人提起侵害商标权之诉时需要审查、权利商标是否处于有效期限内，是否需要办理商标续展手续。</w:t>
      </w:r>
      <w:bookmarkEnd w:id="220"/>
    </w:p>
    <w:p>
      <w:pPr>
        <w:pStyle w:val="2"/>
        <w:keepNext w:val="0"/>
        <w:keepLines w:val="0"/>
        <w:pageBreakBefore w:val="0"/>
        <w:widowControl w:val="0"/>
        <w:numPr>
          <w:ilvl w:val="0"/>
          <w:numId w:val="159"/>
        </w:numPr>
        <w:tabs>
          <w:tab w:val="left" w:pos="3563"/>
          <w:tab w:val="left" w:pos="5500"/>
        </w:tabs>
        <w:kinsoku/>
        <w:wordWrap/>
        <w:overflowPunct/>
        <w:topLinePunct w:val="0"/>
        <w:autoSpaceDE w:val="0"/>
        <w:autoSpaceDN w:val="0"/>
        <w:bidi w:val="0"/>
        <w:adjustRightInd/>
        <w:spacing w:beforeAutospacing="0" w:afterAutospacing="0" w:line="500" w:lineRule="exact"/>
        <w:ind w:left="0"/>
        <w:jc w:val="center"/>
        <w:rPr>
          <w:rFonts w:hint="eastAsia" w:ascii="黑体" w:hAnsi="黑体" w:eastAsia="黑体" w:cs="黑体"/>
          <w:b w:val="0"/>
          <w:bCs/>
          <w:color w:val="000000"/>
          <w:sz w:val="28"/>
          <w:szCs w:val="28"/>
        </w:rPr>
      </w:pPr>
      <w:r>
        <w:rPr>
          <w:rFonts w:hint="eastAsia" w:ascii="黑体" w:hAnsi="黑体" w:eastAsia="黑体" w:cs="黑体"/>
          <w:b w:val="0"/>
          <w:bCs/>
          <w:color w:val="000000"/>
          <w:sz w:val="28"/>
          <w:szCs w:val="28"/>
        </w:rPr>
        <w:t xml:space="preserve"> </w:t>
      </w:r>
      <w:bookmarkStart w:id="221" w:name="_Toc21633"/>
      <w:r>
        <w:rPr>
          <w:rFonts w:hint="eastAsia" w:ascii="黑体" w:hAnsi="黑体" w:eastAsia="黑体" w:cs="黑体"/>
          <w:b w:val="0"/>
          <w:bCs/>
          <w:color w:val="000000"/>
          <w:sz w:val="28"/>
          <w:szCs w:val="28"/>
        </w:rPr>
        <w:t>商标侵权的类型及侵权判定</w:t>
      </w:r>
      <w:bookmarkEnd w:id="221"/>
    </w:p>
    <w:p>
      <w:pPr>
        <w:pStyle w:val="2"/>
        <w:keepNext w:val="0"/>
        <w:keepLines w:val="0"/>
        <w:pageBreakBefore w:val="0"/>
        <w:widowControl w:val="0"/>
        <w:kinsoku/>
        <w:wordWrap/>
        <w:overflowPunct/>
        <w:topLinePunct w:val="0"/>
        <w:bidi w:val="0"/>
        <w:adjustRightInd/>
        <w:spacing w:beforeAutospacing="0" w:afterAutospacing="0" w:line="500" w:lineRule="exact"/>
        <w:ind w:firstLine="522" w:firstLineChars="200"/>
        <w:rPr>
          <w:rFonts w:hint="eastAsia" w:ascii="楷体" w:hAnsi="楷体" w:eastAsia="楷体" w:cs="仿宋"/>
          <w:color w:val="000000"/>
          <w:sz w:val="28"/>
          <w:szCs w:val="28"/>
        </w:rPr>
      </w:pPr>
      <w:bookmarkStart w:id="222" w:name="_Toc1541"/>
      <w:r>
        <w:rPr>
          <w:rFonts w:hint="eastAsia" w:ascii="楷体" w:hAnsi="楷体" w:eastAsia="楷体" w:cs="仿宋"/>
          <w:bCs/>
          <w:color w:val="000000"/>
          <w:sz w:val="28"/>
          <w:szCs w:val="28"/>
        </w:rPr>
        <w:t>一、侵权行为类型</w:t>
      </w:r>
      <w:bookmarkEnd w:id="222"/>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eastAsia="zh-CN"/>
        </w:rPr>
        <w:t>（一）</w:t>
      </w:r>
      <w:r>
        <w:rPr>
          <w:rFonts w:hint="eastAsia" w:ascii="仿宋_GB2312" w:hAnsi="仿宋" w:eastAsia="仿宋_GB2312" w:cs="仿宋"/>
          <w:color w:val="000000"/>
          <w:sz w:val="28"/>
          <w:szCs w:val="28"/>
        </w:rPr>
        <w:t>未经商标注册人的许可，在同一种商品上使用与其注册商标相同的商标的；</w:t>
      </w:r>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eastAsia="zh-CN"/>
        </w:rPr>
        <w:t>（二）</w:t>
      </w:r>
      <w:r>
        <w:rPr>
          <w:rFonts w:hint="eastAsia" w:ascii="仿宋_GB2312" w:hAnsi="仿宋" w:eastAsia="仿宋_GB2312" w:cs="仿宋"/>
          <w:color w:val="000000"/>
          <w:sz w:val="28"/>
          <w:szCs w:val="28"/>
        </w:rPr>
        <w:t>未经商标注册人的许可，在同一种商品上使用与其注册商标近似的商标，或者在类似商品上使用与其注册商标相同或者近似的商标，容易导致混淆的；</w:t>
      </w:r>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eastAsia="zh-CN"/>
        </w:rPr>
        <w:t>（三）</w:t>
      </w:r>
      <w:r>
        <w:rPr>
          <w:rFonts w:hint="eastAsia" w:ascii="仿宋_GB2312" w:hAnsi="仿宋" w:eastAsia="仿宋_GB2312" w:cs="仿宋"/>
          <w:color w:val="000000"/>
          <w:sz w:val="28"/>
          <w:szCs w:val="28"/>
        </w:rPr>
        <w:t>销售侵犯注册商标专用权的商品的；</w:t>
      </w:r>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eastAsia="zh-CN"/>
        </w:rPr>
        <w:t>（四）</w:t>
      </w:r>
      <w:r>
        <w:rPr>
          <w:rFonts w:hint="eastAsia" w:ascii="仿宋_GB2312" w:hAnsi="仿宋" w:eastAsia="仿宋_GB2312" w:cs="仿宋"/>
          <w:color w:val="000000"/>
          <w:sz w:val="28"/>
          <w:szCs w:val="28"/>
        </w:rPr>
        <w:t>伪造、擅自制造他人注册商标标识或者销售伪造、擅自制造的注册商标标识的；</w:t>
      </w:r>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eastAsia="zh-CN"/>
        </w:rPr>
        <w:t>（五）</w:t>
      </w:r>
      <w:r>
        <w:rPr>
          <w:rFonts w:hint="eastAsia" w:ascii="仿宋_GB2312" w:hAnsi="仿宋" w:eastAsia="仿宋_GB2312" w:cs="仿宋"/>
          <w:color w:val="000000"/>
          <w:sz w:val="28"/>
          <w:szCs w:val="28"/>
        </w:rPr>
        <w:t>未经商标注册人同意，更换其注册商标并将该更换商标的商品又投入市场的；</w:t>
      </w:r>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eastAsia="zh-CN"/>
        </w:rPr>
        <w:t>（六）</w:t>
      </w:r>
      <w:r>
        <w:rPr>
          <w:rFonts w:hint="eastAsia" w:ascii="仿宋_GB2312" w:hAnsi="仿宋" w:eastAsia="仿宋_GB2312" w:cs="仿宋"/>
          <w:color w:val="000000"/>
          <w:sz w:val="28"/>
          <w:szCs w:val="28"/>
        </w:rPr>
        <w:t>故意为侵犯他人商标专用权行为提供便利条件，帮助他人实施侵犯商标专用权行为的；</w:t>
      </w:r>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eastAsia="zh-CN"/>
        </w:rPr>
        <w:t>（七）</w:t>
      </w:r>
      <w:r>
        <w:rPr>
          <w:rFonts w:hint="eastAsia" w:ascii="仿宋_GB2312" w:hAnsi="仿宋" w:eastAsia="仿宋_GB2312" w:cs="仿宋"/>
          <w:color w:val="000000"/>
          <w:sz w:val="28"/>
          <w:szCs w:val="28"/>
        </w:rPr>
        <w:t>将与他人注册商标相同或者相近似的文字作为企业的字号在相同或者类似商品上突出使用，容易使相关公众产生误认的；</w:t>
      </w:r>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eastAsia="zh-CN"/>
        </w:rPr>
        <w:t>（八）</w:t>
      </w:r>
      <w:r>
        <w:rPr>
          <w:rFonts w:hint="eastAsia" w:ascii="仿宋_GB2312" w:hAnsi="仿宋" w:eastAsia="仿宋_GB2312" w:cs="仿宋"/>
          <w:color w:val="000000"/>
          <w:sz w:val="28"/>
          <w:szCs w:val="28"/>
        </w:rPr>
        <w:t>复制、摹仿、翻译他人注册的驰名商标或其主要部分在不相同或者不相类似商品上作为商标使用，误导公众，致使该驰名商标注册人的利益可能受到损害的；</w:t>
      </w:r>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eastAsia="zh-CN"/>
        </w:rPr>
        <w:t>（九）</w:t>
      </w:r>
      <w:r>
        <w:rPr>
          <w:rFonts w:hint="eastAsia" w:ascii="仿宋_GB2312" w:hAnsi="仿宋" w:eastAsia="仿宋_GB2312" w:cs="仿宋"/>
          <w:color w:val="000000"/>
          <w:sz w:val="28"/>
          <w:szCs w:val="28"/>
        </w:rPr>
        <w:t>将与他人注册商标相同或者相近似的文字注册为域名，并且通过该域名进行相关商品交易的电子商务，容易使相关公众产生误认的。</w:t>
      </w:r>
    </w:p>
    <w:p>
      <w:pPr>
        <w:keepNext w:val="0"/>
        <w:keepLines w:val="0"/>
        <w:pageBreakBefore w:val="0"/>
        <w:widowControl w:val="0"/>
        <w:kinsoku/>
        <w:wordWrap/>
        <w:overflowPunct/>
        <w:topLinePunct w:val="0"/>
        <w:bidi w:val="0"/>
        <w:adjustRightInd/>
        <w:spacing w:beforeAutospacing="0" w:afterAutospacing="0" w:line="500" w:lineRule="exact"/>
        <w:ind w:firstLine="522" w:firstLineChars="200"/>
        <w:jc w:val="both"/>
        <w:rPr>
          <w:rFonts w:hint="eastAsia" w:ascii="楷体" w:hAnsi="楷体" w:eastAsia="楷体" w:cs="仿宋"/>
          <w:b/>
          <w:bCs/>
          <w:color w:val="000000"/>
          <w:sz w:val="28"/>
          <w:szCs w:val="28"/>
        </w:rPr>
      </w:pPr>
      <w:r>
        <w:rPr>
          <w:rFonts w:hint="eastAsia" w:ascii="楷体" w:hAnsi="楷体" w:eastAsia="楷体" w:cs="仿宋"/>
          <w:b/>
          <w:color w:val="000000"/>
          <w:sz w:val="28"/>
          <w:szCs w:val="28"/>
        </w:rPr>
        <w:t>二、</w:t>
      </w:r>
      <w:r>
        <w:rPr>
          <w:rFonts w:hint="eastAsia" w:ascii="楷体" w:hAnsi="楷体" w:eastAsia="楷体" w:cs="仿宋"/>
          <w:b/>
          <w:bCs/>
          <w:color w:val="000000"/>
          <w:sz w:val="28"/>
          <w:szCs w:val="28"/>
        </w:rPr>
        <w:t>法律依据</w:t>
      </w:r>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《中华人民共和国商标法》第五十七条</w:t>
      </w:r>
      <w:r>
        <w:rPr>
          <w:rFonts w:hint="eastAsia" w:ascii="仿宋_GB2312" w:hAnsi="仿宋" w:eastAsia="仿宋_GB2312" w:cs="仿宋"/>
          <w:color w:val="000000"/>
          <w:sz w:val="28"/>
          <w:szCs w:val="28"/>
          <w:lang w:eastAsia="zh-CN"/>
        </w:rPr>
        <w:t>规定，</w:t>
      </w:r>
      <w:r>
        <w:rPr>
          <w:rFonts w:hint="eastAsia" w:ascii="仿宋_GB2312" w:hAnsi="仿宋" w:eastAsia="仿宋_GB2312" w:cs="仿宋"/>
          <w:color w:val="000000"/>
          <w:sz w:val="28"/>
          <w:szCs w:val="28"/>
        </w:rPr>
        <w:t>有下列行为之一的，均属侵犯注册商标专用权：</w:t>
      </w:r>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（一）未经商标注册人的许可，在同一种商品上使用与其注册商标相同的商标的；</w:t>
      </w:r>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（二）未经商标注册人的许可，在同一种商品上使用与其注册商标近似的商标，或者在类似商品上使用与其注册商标相同或者近似的商标，容易导致混淆的；</w:t>
      </w:r>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（三）销售侵犯注册商标专用权的商品的；</w:t>
      </w:r>
    </w:p>
    <w:p>
      <w:pPr>
        <w:pStyle w:val="7"/>
        <w:keepNext w:val="0"/>
        <w:keepLines w:val="0"/>
        <w:pageBreakBefore w:val="0"/>
        <w:widowControl w:val="0"/>
        <w:numPr>
          <w:ilvl w:val="0"/>
          <w:numId w:val="163"/>
        </w:numPr>
        <w:kinsoku/>
        <w:wordWrap/>
        <w:overflowPunct/>
        <w:topLinePunct w:val="0"/>
        <w:autoSpaceDE w:val="0"/>
        <w:autoSpaceDN w:val="0"/>
        <w:bidi w:val="0"/>
        <w:adjustRightInd/>
        <w:snapToGrid/>
        <w:spacing w:beforeLines="0" w:beforeAutospacing="0" w:afterLines="0" w:afterAutospacing="0" w:line="500" w:lineRule="exact"/>
        <w:ind w:left="0"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伪造、擅自制造他人注册商标标识或者销售伪造、擅自制造的注册商标标识的；</w:t>
      </w:r>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eastAsia="zh-CN"/>
        </w:rPr>
        <w:t>（五）</w:t>
      </w:r>
      <w:r>
        <w:rPr>
          <w:rFonts w:hint="eastAsia" w:ascii="仿宋_GB2312" w:hAnsi="仿宋" w:eastAsia="仿宋_GB2312" w:cs="仿宋"/>
          <w:color w:val="000000"/>
          <w:sz w:val="28"/>
          <w:szCs w:val="28"/>
        </w:rPr>
        <w:t>未经商标注册人同意，更换其注册商标并将该更换商标的商品又投入市场的；</w:t>
      </w:r>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（六）故意为侵犯他人商标专用权行为提供便利条件，帮助他人实施侵犯商标专用权行为的；</w:t>
      </w:r>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（七）给他人的注册商标专用权造成其他损害的。</w:t>
      </w:r>
    </w:p>
    <w:p>
      <w:pPr>
        <w:keepNext w:val="0"/>
        <w:keepLines w:val="0"/>
        <w:pageBreakBefore w:val="0"/>
        <w:widowControl w:val="0"/>
        <w:shd w:val="clear" w:color="auto" w:fill="FFFFFF"/>
        <w:kinsoku/>
        <w:wordWrap/>
        <w:overflowPunct/>
        <w:topLinePunct w:val="0"/>
        <w:bidi w:val="0"/>
        <w:adjustRightInd/>
        <w:spacing w:beforeAutospacing="0" w:afterAutospacing="0" w:line="500" w:lineRule="exact"/>
        <w:ind w:firstLine="522" w:firstLineChars="200"/>
        <w:jc w:val="both"/>
        <w:textAlignment w:val="baseline"/>
        <w:rPr>
          <w:rFonts w:hint="eastAsia" w:ascii="仿宋_GB2312" w:hAnsi="仿宋" w:eastAsia="仿宋_GB2312" w:cs="仿宋"/>
          <w:color w:val="000000"/>
          <w:sz w:val="28"/>
          <w:szCs w:val="28"/>
          <w:lang w:eastAsia="en-US"/>
        </w:rPr>
      </w:pPr>
      <w:r>
        <w:rPr>
          <w:rFonts w:hint="eastAsia" w:ascii="仿宋_GB2312" w:hAnsi="仿宋" w:eastAsia="仿宋_GB2312" w:cs="仿宋"/>
          <w:color w:val="000000"/>
          <w:sz w:val="28"/>
          <w:szCs w:val="28"/>
        </w:rPr>
        <w:t>《最高人民法院关于审理商标民事纠纷案件适用法律若干问题的解释》第一条规定，</w:t>
      </w:r>
      <w:r>
        <w:rPr>
          <w:rFonts w:hint="eastAsia" w:ascii="仿宋_GB2312" w:hAnsi="仿宋" w:eastAsia="仿宋_GB2312" w:cs="仿宋"/>
          <w:color w:val="000000"/>
          <w:sz w:val="28"/>
          <w:szCs w:val="28"/>
          <w:lang w:eastAsia="en-US"/>
        </w:rPr>
        <w:t>下列行为属于</w:t>
      </w: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"https://www.pkulaw.com/chl/javascript:SLC(331486)"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商标法</w:t>
      </w:r>
      <w:r>
        <w:rPr>
          <w:rFonts w:hint="eastAsia" w:ascii="仿宋_GB2312" w:hAnsi="仿宋" w:eastAsia="仿宋_GB2312" w:cs="仿宋"/>
          <w:color w:val="000000"/>
          <w:sz w:val="28"/>
          <w:szCs w:val="28"/>
        </w:rPr>
        <w:fldChar w:fldCharType="end"/>
      </w:r>
      <w:r>
        <w:rPr>
          <w:rFonts w:hint="eastAsia" w:ascii="仿宋_GB2312" w:hAnsi="仿宋" w:eastAsia="仿宋_GB2312" w:cs="仿宋"/>
          <w:color w:val="000000"/>
          <w:sz w:val="28"/>
          <w:szCs w:val="28"/>
          <w:lang w:eastAsia="en-US"/>
        </w:rPr>
        <w:t>第</w:t>
      </w: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"https://www.pkulaw.com/chl/javascript:SLC(331486,57)"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五十七条</w:t>
      </w:r>
      <w:r>
        <w:rPr>
          <w:rFonts w:hint="eastAsia" w:ascii="仿宋_GB2312" w:hAnsi="仿宋" w:eastAsia="仿宋_GB2312" w:cs="仿宋"/>
          <w:color w:val="000000"/>
          <w:sz w:val="28"/>
          <w:szCs w:val="28"/>
        </w:rPr>
        <w:fldChar w:fldCharType="end"/>
      </w:r>
      <w:r>
        <w:rPr>
          <w:rFonts w:hint="eastAsia" w:ascii="仿宋_GB2312" w:hAnsi="仿宋" w:eastAsia="仿宋_GB2312" w:cs="仿宋"/>
          <w:color w:val="000000"/>
          <w:sz w:val="28"/>
          <w:szCs w:val="28"/>
          <w:lang w:eastAsia="en-US"/>
        </w:rPr>
        <w:t>第</w:t>
      </w: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"https://www.pkulaw.com/chl/javascript:SLC(331486,57,1,7)"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（七）项</w:t>
      </w:r>
      <w:r>
        <w:rPr>
          <w:rFonts w:hint="eastAsia" w:ascii="仿宋_GB2312" w:hAnsi="仿宋" w:eastAsia="仿宋_GB2312" w:cs="仿宋"/>
          <w:color w:val="000000"/>
          <w:sz w:val="28"/>
          <w:szCs w:val="28"/>
        </w:rPr>
        <w:fldChar w:fldCharType="end"/>
      </w:r>
      <w:r>
        <w:rPr>
          <w:rFonts w:hint="eastAsia" w:ascii="仿宋_GB2312" w:hAnsi="仿宋" w:eastAsia="仿宋_GB2312" w:cs="仿宋"/>
          <w:color w:val="000000"/>
          <w:sz w:val="28"/>
          <w:szCs w:val="28"/>
          <w:lang w:eastAsia="en-US"/>
        </w:rPr>
        <w:t>规定的给他人注册商标专用权造成其他损害的行为：</w:t>
      </w:r>
    </w:p>
    <w:p>
      <w:pPr>
        <w:keepNext w:val="0"/>
        <w:keepLines w:val="0"/>
        <w:pageBreakBefore w:val="0"/>
        <w:widowControl w:val="0"/>
        <w:shd w:val="clear" w:color="auto" w:fill="FFFFFF"/>
        <w:kinsoku/>
        <w:wordWrap/>
        <w:overflowPunct/>
        <w:topLinePunct w:val="0"/>
        <w:bidi w:val="0"/>
        <w:adjustRightInd/>
        <w:spacing w:beforeAutospacing="0" w:afterAutospacing="0" w:line="500" w:lineRule="exact"/>
        <w:ind w:firstLine="522" w:firstLineChars="200"/>
        <w:jc w:val="both"/>
        <w:textAlignment w:val="baseline"/>
        <w:rPr>
          <w:rFonts w:hint="eastAsia" w:ascii="仿宋_GB2312" w:hAnsi="仿宋" w:eastAsia="仿宋_GB2312" w:cs="仿宋"/>
          <w:color w:val="000000"/>
          <w:sz w:val="28"/>
          <w:szCs w:val="28"/>
          <w:lang w:eastAsia="en-US"/>
        </w:rPr>
      </w:pP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"https://www.pkulaw.com/chl/javascript:void(0);"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fldChar w:fldCharType="end"/>
      </w:r>
      <w:r>
        <w:rPr>
          <w:rFonts w:hint="eastAsia" w:ascii="仿宋_GB2312" w:hAnsi="仿宋" w:eastAsia="仿宋_GB2312" w:cs="仿宋"/>
          <w:color w:val="000000"/>
          <w:sz w:val="28"/>
          <w:szCs w:val="28"/>
          <w:lang w:eastAsia="en-US"/>
        </w:rPr>
        <w:t>（一）将与他人注册商标相同或者相近似的文字作为企业的字号在相同或者类似商品上突出使用，容易使相关公众产生误认的；</w:t>
      </w:r>
    </w:p>
    <w:p>
      <w:pPr>
        <w:keepNext w:val="0"/>
        <w:keepLines w:val="0"/>
        <w:pageBreakBefore w:val="0"/>
        <w:widowControl w:val="0"/>
        <w:shd w:val="clear" w:color="auto" w:fill="FFFFFF"/>
        <w:kinsoku/>
        <w:wordWrap/>
        <w:overflowPunct/>
        <w:topLinePunct w:val="0"/>
        <w:bidi w:val="0"/>
        <w:adjustRightInd/>
        <w:spacing w:beforeAutospacing="0" w:afterAutospacing="0" w:line="500" w:lineRule="exact"/>
        <w:ind w:firstLine="522" w:firstLineChars="200"/>
        <w:jc w:val="both"/>
        <w:textAlignment w:val="baseline"/>
        <w:rPr>
          <w:rFonts w:hint="eastAsia" w:ascii="仿宋_GB2312" w:hAnsi="仿宋" w:eastAsia="仿宋_GB2312" w:cs="仿宋"/>
          <w:color w:val="000000"/>
          <w:sz w:val="28"/>
          <w:szCs w:val="28"/>
          <w:lang w:eastAsia="en-US"/>
        </w:rPr>
      </w:pP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"https://www.pkulaw.com/chl/javascript:void(0);"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fldChar w:fldCharType="end"/>
      </w:r>
      <w:r>
        <w:rPr>
          <w:rFonts w:hint="eastAsia" w:ascii="仿宋_GB2312" w:hAnsi="仿宋" w:eastAsia="仿宋_GB2312" w:cs="仿宋"/>
          <w:color w:val="000000"/>
          <w:sz w:val="28"/>
          <w:szCs w:val="28"/>
          <w:lang w:eastAsia="en-US"/>
        </w:rPr>
        <w:t>（二）复制、摹仿、翻译他人注册的驰名商标或其主要部分在不相同或者不相类似商品上作为商标使用，误导公众，致使该驰名商标注册人的利益可能受到损害的；</w:t>
      </w:r>
    </w:p>
    <w:p>
      <w:pPr>
        <w:keepNext w:val="0"/>
        <w:keepLines w:val="0"/>
        <w:pageBreakBefore w:val="0"/>
        <w:widowControl w:val="0"/>
        <w:shd w:val="clear" w:color="auto" w:fill="FFFFFF"/>
        <w:kinsoku/>
        <w:wordWrap/>
        <w:overflowPunct/>
        <w:topLinePunct w:val="0"/>
        <w:bidi w:val="0"/>
        <w:adjustRightInd/>
        <w:spacing w:beforeAutospacing="0" w:afterAutospacing="0" w:line="500" w:lineRule="exact"/>
        <w:ind w:firstLine="522" w:firstLineChars="200"/>
        <w:jc w:val="both"/>
        <w:textAlignment w:val="baseline"/>
        <w:rPr>
          <w:rFonts w:hint="eastAsia" w:ascii="仿宋_GB2312" w:hAnsi="仿宋" w:eastAsia="仿宋_GB2312" w:cs="仿宋"/>
          <w:color w:val="000000"/>
          <w:sz w:val="28"/>
          <w:szCs w:val="28"/>
          <w:lang w:eastAsia="en-US"/>
        </w:rPr>
      </w:pP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"https://www.pkulaw.com/chl/javascript:void(0);"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fldChar w:fldCharType="end"/>
      </w:r>
      <w:r>
        <w:rPr>
          <w:rFonts w:hint="eastAsia" w:ascii="仿宋_GB2312" w:hAnsi="仿宋" w:eastAsia="仿宋_GB2312" w:cs="仿宋"/>
          <w:color w:val="000000"/>
          <w:sz w:val="28"/>
          <w:szCs w:val="28"/>
          <w:lang w:eastAsia="en-US"/>
        </w:rPr>
        <w:t>（三）将与他人注册商标相同或者相近似的文字注册为域名，并且通过该域名进行相关商品交易的电子商务，容易使相关公众产生误认的。</w:t>
      </w:r>
    </w:p>
    <w:p>
      <w:pPr>
        <w:keepNext w:val="0"/>
        <w:keepLines w:val="0"/>
        <w:pageBreakBefore w:val="0"/>
        <w:widowControl w:val="0"/>
        <w:shd w:val="clear" w:color="auto" w:fill="FFFFFF"/>
        <w:kinsoku/>
        <w:wordWrap/>
        <w:overflowPunct/>
        <w:topLinePunct w:val="0"/>
        <w:bidi w:val="0"/>
        <w:adjustRightInd/>
        <w:spacing w:beforeAutospacing="0" w:afterAutospacing="0" w:line="500" w:lineRule="exact"/>
        <w:ind w:firstLine="522" w:firstLineChars="200"/>
        <w:jc w:val="both"/>
        <w:textAlignment w:val="baseline"/>
        <w:rPr>
          <w:rFonts w:hint="eastAsia" w:ascii="楷体" w:hAnsi="楷体" w:eastAsia="楷体" w:cs="仿宋"/>
          <w:b/>
          <w:color w:val="000000"/>
          <w:sz w:val="28"/>
          <w:szCs w:val="28"/>
        </w:rPr>
      </w:pPr>
      <w:r>
        <w:rPr>
          <w:rFonts w:hint="eastAsia" w:ascii="楷体" w:hAnsi="楷体" w:eastAsia="楷体" w:cs="仿宋"/>
          <w:b/>
          <w:color w:val="000000"/>
          <w:sz w:val="28"/>
          <w:szCs w:val="28"/>
        </w:rPr>
        <w:t>三、商标侵权的判定</w:t>
      </w:r>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根据商标法的规定，认定侵犯商标权行为主要涉及对相关公众、商标近似、类似商品等基本概念或者事实的界定，以及人民法院对商标侵权行为认定原则问题。《最高人民法院关于审理商标民事纠纷案件适用法律若干问题的解释》第八条至第十二条针对前述情况，对实践中长期使用但是一直没有明确规定的一些基本概念作出了解释。</w:t>
      </w:r>
    </w:p>
    <w:p>
      <w:pPr>
        <w:pStyle w:val="2"/>
        <w:keepNext w:val="0"/>
        <w:keepLines w:val="0"/>
        <w:pageBreakBefore w:val="0"/>
        <w:widowControl w:val="0"/>
        <w:kinsoku/>
        <w:wordWrap/>
        <w:overflowPunct/>
        <w:topLinePunct w:val="0"/>
        <w:bidi w:val="0"/>
        <w:adjustRightInd/>
        <w:spacing w:beforeAutospacing="0" w:afterAutospacing="0" w:line="500" w:lineRule="exact"/>
        <w:ind w:firstLine="522" w:firstLineChars="200"/>
        <w:rPr>
          <w:rFonts w:hint="eastAsia" w:ascii="仿宋_GB2312" w:hAnsi="仿宋" w:eastAsia="仿宋_GB2312" w:cs="仿宋"/>
          <w:bCs/>
          <w:color w:val="000000"/>
          <w:sz w:val="28"/>
          <w:szCs w:val="28"/>
        </w:rPr>
      </w:pPr>
      <w:bookmarkStart w:id="223" w:name="_Toc6677"/>
      <w:r>
        <w:rPr>
          <w:rFonts w:hint="eastAsia" w:ascii="仿宋_GB2312" w:hAnsi="仿宋" w:eastAsia="仿宋_GB2312" w:cs="仿宋"/>
          <w:color w:val="000000"/>
          <w:sz w:val="28"/>
          <w:szCs w:val="28"/>
        </w:rPr>
        <w:t>（一）商标相同或近似</w:t>
      </w:r>
      <w:bookmarkEnd w:id="223"/>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根据商标法的规定，对侵犯商标权行为的认定与判断商标的相同</w:t>
      </w:r>
      <w:r>
        <w:rPr>
          <w:rFonts w:hint="eastAsia" w:ascii="仿宋_GB2312" w:hAnsi="仿宋" w:eastAsia="仿宋_GB2312" w:cs="仿宋"/>
          <w:color w:val="000000"/>
          <w:sz w:val="28"/>
          <w:szCs w:val="28"/>
          <w:lang w:eastAsia="zh-CN"/>
        </w:rPr>
        <w:t>与</w:t>
      </w:r>
      <w:r>
        <w:rPr>
          <w:rFonts w:hint="eastAsia" w:ascii="仿宋_GB2312" w:hAnsi="仿宋" w:eastAsia="仿宋_GB2312" w:cs="仿宋"/>
          <w:color w:val="000000"/>
          <w:sz w:val="28"/>
          <w:szCs w:val="28"/>
        </w:rPr>
        <w:t>近似密切相关。因此，《最高人民法院关于审理商标民事纠纷案件适用法律若干问题的解释》第九条</w:t>
      </w: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"https://www.pkulaw.com/chl/javascript:SLC(331486)"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商标法</w:t>
      </w:r>
      <w:r>
        <w:rPr>
          <w:rFonts w:hint="eastAsia" w:ascii="仿宋_GB2312" w:hAnsi="仿宋" w:eastAsia="仿宋_GB2312" w:cs="仿宋"/>
          <w:color w:val="000000"/>
          <w:sz w:val="28"/>
          <w:szCs w:val="28"/>
        </w:rPr>
        <w:fldChar w:fldCharType="end"/>
      </w:r>
      <w:r>
        <w:rPr>
          <w:rFonts w:hint="eastAsia" w:ascii="仿宋_GB2312" w:hAnsi="仿宋" w:eastAsia="仿宋_GB2312" w:cs="仿宋"/>
          <w:color w:val="000000"/>
          <w:sz w:val="28"/>
          <w:szCs w:val="28"/>
        </w:rPr>
        <w:t>第</w:t>
      </w: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"https://www.pkulaw.com/chl/javascript:SLC(331486,57)"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五十七条</w:t>
      </w:r>
      <w:r>
        <w:rPr>
          <w:rFonts w:hint="eastAsia" w:ascii="仿宋_GB2312" w:hAnsi="仿宋" w:eastAsia="仿宋_GB2312" w:cs="仿宋"/>
          <w:color w:val="000000"/>
          <w:sz w:val="28"/>
          <w:szCs w:val="28"/>
        </w:rPr>
        <w:fldChar w:fldCharType="end"/>
      </w:r>
      <w:r>
        <w:rPr>
          <w:rFonts w:hint="eastAsia" w:ascii="仿宋_GB2312" w:hAnsi="仿宋" w:eastAsia="仿宋_GB2312" w:cs="仿宋"/>
          <w:color w:val="000000"/>
          <w:sz w:val="28"/>
          <w:szCs w:val="28"/>
        </w:rPr>
        <w:t>第（</w:t>
      </w: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"https://www.pkulaw.com/chl/javascript:SLC(331486,57,1,1)"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一</w:t>
      </w:r>
      <w:r>
        <w:rPr>
          <w:rFonts w:hint="eastAsia" w:ascii="仿宋_GB2312" w:hAnsi="仿宋" w:eastAsia="仿宋_GB2312" w:cs="仿宋"/>
          <w:color w:val="000000"/>
          <w:sz w:val="28"/>
          <w:szCs w:val="28"/>
        </w:rPr>
        <w:fldChar w:fldCharType="end"/>
      </w:r>
      <w:r>
        <w:rPr>
          <w:rFonts w:hint="eastAsia" w:ascii="仿宋_GB2312" w:hAnsi="仿宋" w:eastAsia="仿宋_GB2312" w:cs="仿宋"/>
          <w:color w:val="000000"/>
          <w:sz w:val="28"/>
          <w:szCs w:val="28"/>
        </w:rPr>
        <w:t>）</w:t>
      </w: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"https://www.pkulaw.com/chl/javascript:SLC(331486,57,1,2)"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（二）项</w:t>
      </w:r>
      <w:r>
        <w:rPr>
          <w:rFonts w:hint="eastAsia" w:ascii="仿宋_GB2312" w:hAnsi="仿宋" w:eastAsia="仿宋_GB2312" w:cs="仿宋"/>
          <w:color w:val="000000"/>
          <w:sz w:val="28"/>
          <w:szCs w:val="28"/>
        </w:rPr>
        <w:fldChar w:fldCharType="end"/>
      </w:r>
      <w:r>
        <w:rPr>
          <w:rFonts w:hint="eastAsia" w:ascii="仿宋_GB2312" w:hAnsi="仿宋" w:eastAsia="仿宋_GB2312" w:cs="仿宋"/>
          <w:color w:val="000000"/>
          <w:sz w:val="28"/>
          <w:szCs w:val="28"/>
        </w:rPr>
        <w:t>规定的商标相同，是指被控侵权的商标与原告的注册商标相比较，二者在视觉上基本无差别。其含义是指，从一般消费者的角度凭视觉，判断所对比的商标大体上不存在差别，就构成商标相同。《最高人民法院关于审理商标民事纠纷案件适用法律若干问题的解释》第九条第二款规定，</w:t>
      </w: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"https://www.pkulaw.com/chl/javascript:SLC(331486)"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商标法</w:t>
      </w:r>
      <w:r>
        <w:rPr>
          <w:rFonts w:hint="eastAsia" w:ascii="仿宋_GB2312" w:hAnsi="仿宋" w:eastAsia="仿宋_GB2312" w:cs="仿宋"/>
          <w:color w:val="000000"/>
          <w:sz w:val="28"/>
          <w:szCs w:val="28"/>
        </w:rPr>
        <w:fldChar w:fldCharType="end"/>
      </w:r>
      <w:r>
        <w:rPr>
          <w:rFonts w:hint="eastAsia" w:ascii="仿宋_GB2312" w:hAnsi="仿宋" w:eastAsia="仿宋_GB2312" w:cs="仿宋"/>
          <w:color w:val="000000"/>
          <w:sz w:val="28"/>
          <w:szCs w:val="28"/>
        </w:rPr>
        <w:t>第</w:t>
      </w: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"https://www.pkulaw.com/chl/javascript:SLC(331486,57)"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五十七条</w:t>
      </w:r>
      <w:r>
        <w:rPr>
          <w:rFonts w:hint="eastAsia" w:ascii="仿宋_GB2312" w:hAnsi="仿宋" w:eastAsia="仿宋_GB2312" w:cs="仿宋"/>
          <w:color w:val="000000"/>
          <w:sz w:val="28"/>
          <w:szCs w:val="28"/>
        </w:rPr>
        <w:fldChar w:fldCharType="end"/>
      </w:r>
      <w:r>
        <w:rPr>
          <w:rFonts w:hint="eastAsia" w:ascii="仿宋_GB2312" w:hAnsi="仿宋" w:eastAsia="仿宋_GB2312" w:cs="仿宋"/>
          <w:color w:val="000000"/>
          <w:sz w:val="28"/>
          <w:szCs w:val="28"/>
        </w:rPr>
        <w:t>第</w:t>
      </w: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"https://www.pkulaw.com/chl/javascript:SLC(331486,57,1,2)"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（二）项</w:t>
      </w:r>
      <w:r>
        <w:rPr>
          <w:rFonts w:hint="eastAsia" w:ascii="仿宋_GB2312" w:hAnsi="仿宋" w:eastAsia="仿宋_GB2312" w:cs="仿宋"/>
          <w:color w:val="000000"/>
          <w:sz w:val="28"/>
          <w:szCs w:val="28"/>
        </w:rPr>
        <w:fldChar w:fldCharType="end"/>
      </w:r>
      <w:r>
        <w:rPr>
          <w:rFonts w:hint="eastAsia" w:ascii="仿宋_GB2312" w:hAnsi="仿宋" w:eastAsia="仿宋_GB2312" w:cs="仿宋"/>
          <w:color w:val="000000"/>
          <w:sz w:val="28"/>
          <w:szCs w:val="28"/>
        </w:rPr>
        <w:t>规定的商标近似，是指被控侵权的商标与原告的注册商标相比较，其文字的字形、读音、含义或者图形的构图及颜色，或者其各要素组合后的整体结构相似，或者其立体形状、颜色组合近似，易使相关公众对商品的来源产生误认或者认为其来源与原告注册商标的商品有特定的联系。实践中，因商标近似而构成侵权的情形更为普遍。所谓商标近似，是指构成注册商标的各个要素相近似。但哪些属于法官应当注意的商标比对的要素，过去实践中对其理解和适用并不统一。该款规定界定了这些要素：文字的字形、读音、含义；图形的构图、颜色；各要素组合后的整体结构。对立体商标，则存在：立体形状、颜色组合等。商标相近似的效果，应当达到容易使相关公众对所标识商品的来源产生误认，或者与此种来源于注册商标所标识的商品等有某种特定的联系。</w:t>
      </w:r>
    </w:p>
    <w:p>
      <w:pPr>
        <w:pStyle w:val="2"/>
        <w:keepNext w:val="0"/>
        <w:keepLines w:val="0"/>
        <w:pageBreakBefore w:val="0"/>
        <w:widowControl w:val="0"/>
        <w:kinsoku/>
        <w:wordWrap/>
        <w:overflowPunct/>
        <w:topLinePunct w:val="0"/>
        <w:bidi w:val="0"/>
        <w:adjustRightInd/>
        <w:spacing w:beforeAutospacing="0" w:afterAutospacing="0" w:line="500" w:lineRule="exact"/>
        <w:ind w:firstLine="522" w:firstLineChars="200"/>
        <w:rPr>
          <w:rFonts w:hint="eastAsia" w:ascii="仿宋_GB2312" w:hAnsi="仿宋" w:eastAsia="仿宋_GB2312" w:cs="仿宋"/>
          <w:bCs/>
          <w:color w:val="000000"/>
          <w:sz w:val="28"/>
          <w:szCs w:val="28"/>
        </w:rPr>
      </w:pPr>
      <w:bookmarkStart w:id="224" w:name="_Toc12159"/>
      <w:r>
        <w:rPr>
          <w:rFonts w:hint="eastAsia" w:ascii="仿宋_GB2312" w:hAnsi="仿宋" w:eastAsia="仿宋_GB2312" w:cs="仿宋"/>
          <w:color w:val="000000"/>
          <w:sz w:val="28"/>
          <w:szCs w:val="28"/>
        </w:rPr>
        <w:t>（二）关于类似商品、服务以及商品与服务的类似</w:t>
      </w:r>
      <w:bookmarkEnd w:id="224"/>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侵犯商标权案件中，对所涉及的商品或者服务是否为同种或者类似，是认定是否为侵权行为的又一重要事实。《最高人民法院关于审理商标民事纠纷案件适用法律若干问题的解释》第十一条界定了类似商品、类似服务和商品与服务的类似，便于法官适用法律中运用。该条第一款规定：“</w:t>
      </w: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"https://www.pkulaw.com/chl/javascript:SLC(331486)"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商标法</w:t>
      </w:r>
      <w:r>
        <w:rPr>
          <w:rFonts w:hint="eastAsia" w:ascii="仿宋_GB2312" w:hAnsi="仿宋" w:eastAsia="仿宋_GB2312" w:cs="仿宋"/>
          <w:color w:val="000000"/>
          <w:sz w:val="28"/>
          <w:szCs w:val="28"/>
        </w:rPr>
        <w:fldChar w:fldCharType="end"/>
      </w:r>
      <w:r>
        <w:rPr>
          <w:rFonts w:hint="eastAsia" w:ascii="仿宋_GB2312" w:hAnsi="仿宋" w:eastAsia="仿宋_GB2312" w:cs="仿宋"/>
          <w:color w:val="000000"/>
          <w:sz w:val="28"/>
          <w:szCs w:val="28"/>
        </w:rPr>
        <w:t>第</w:t>
      </w: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"https://www.pkulaw.com/chl/javascript:SLC(331486,57)"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五十七条</w:t>
      </w:r>
      <w:r>
        <w:rPr>
          <w:rFonts w:hint="eastAsia" w:ascii="仿宋_GB2312" w:hAnsi="仿宋" w:eastAsia="仿宋_GB2312" w:cs="仿宋"/>
          <w:color w:val="000000"/>
          <w:sz w:val="28"/>
          <w:szCs w:val="28"/>
        </w:rPr>
        <w:fldChar w:fldCharType="end"/>
      </w:r>
      <w:r>
        <w:rPr>
          <w:rFonts w:hint="eastAsia" w:ascii="仿宋_GB2312" w:hAnsi="仿宋" w:eastAsia="仿宋_GB2312" w:cs="仿宋"/>
          <w:color w:val="000000"/>
          <w:sz w:val="28"/>
          <w:szCs w:val="28"/>
        </w:rPr>
        <w:t>第</w:t>
      </w: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"https://www.pkulaw.com/chl/javascript:SLC(331486,57,1,2)"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（二）项</w:t>
      </w:r>
      <w:r>
        <w:rPr>
          <w:rFonts w:hint="eastAsia" w:ascii="仿宋_GB2312" w:hAnsi="仿宋" w:eastAsia="仿宋_GB2312" w:cs="仿宋"/>
          <w:color w:val="000000"/>
          <w:sz w:val="28"/>
          <w:szCs w:val="28"/>
        </w:rPr>
        <w:fldChar w:fldCharType="end"/>
      </w:r>
      <w:r>
        <w:rPr>
          <w:rFonts w:hint="eastAsia" w:ascii="仿宋_GB2312" w:hAnsi="仿宋" w:eastAsia="仿宋_GB2312" w:cs="仿宋"/>
          <w:color w:val="000000"/>
          <w:sz w:val="28"/>
          <w:szCs w:val="28"/>
        </w:rPr>
        <w:t>规定的类似商品，是指在功能、用途、生产部门、销售渠道、消费对象等方面相同，或者相关公众一般认为其存在特定联系、容易造成混淆的商品。”该条第二款规定：“类似服务，是指在服务的目的、内容、方式、对象等方面相同，或者相关公众一般认为存在特定联系、容易造成混淆的服务。”该条第三款规定：“商品与服务类似，是指商品和服务之间存在特定联系，容易使相关公众混淆。”根据上述规定，判断类似商品的要素包括商品的功能、用途、生产部门、销售渠道、消费对象等；判断类似服务的要素包括服务的目的、内容、方式、对象等。同时，相关公众一般认为这两者与相关对象存在特定联系、容易造成混淆的，也构成类似商品或者类似服务。</w:t>
      </w:r>
    </w:p>
    <w:p>
      <w:pPr>
        <w:pStyle w:val="2"/>
        <w:keepNext w:val="0"/>
        <w:keepLines w:val="0"/>
        <w:pageBreakBefore w:val="0"/>
        <w:widowControl w:val="0"/>
        <w:kinsoku/>
        <w:wordWrap/>
        <w:overflowPunct/>
        <w:topLinePunct w:val="0"/>
        <w:bidi w:val="0"/>
        <w:adjustRightInd/>
        <w:spacing w:beforeAutospacing="0" w:afterAutospacing="0" w:line="500" w:lineRule="exact"/>
        <w:ind w:firstLine="522" w:firstLineChars="200"/>
        <w:rPr>
          <w:rFonts w:hint="eastAsia" w:ascii="仿宋_GB2312" w:hAnsi="仿宋" w:eastAsia="仿宋_GB2312" w:cs="仿宋"/>
          <w:bCs/>
          <w:color w:val="000000"/>
          <w:sz w:val="28"/>
          <w:szCs w:val="28"/>
        </w:rPr>
      </w:pPr>
      <w:bookmarkStart w:id="225" w:name="_Toc22558"/>
      <w:r>
        <w:rPr>
          <w:rFonts w:hint="eastAsia" w:ascii="仿宋_GB2312" w:hAnsi="仿宋" w:eastAsia="仿宋_GB2312" w:cs="仿宋"/>
          <w:color w:val="000000"/>
          <w:sz w:val="28"/>
          <w:szCs w:val="28"/>
        </w:rPr>
        <w:t>（三）关于相关公众</w:t>
      </w:r>
      <w:bookmarkEnd w:id="225"/>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根据《最高人民法院关于审理商标民事纠纷案件适用法律若干问题的解释》第八条对商标法中规定的“相关公众”作了规定，商标法所称相关公众，是指与商标所标识的某类商品或者服务有关的消费者和与前述商品或者服务的营销有密切关系的其他经营者。这就是说， 商标法规定的相关公众包括两部分：一是与商标所标识的某类商品或者服务有关的消费者，也就是最终消费者；二是与商标所标识的某类商品或者服务的营销有密切关系的其他经营者。这两部分公众中，涉及任何一部分人都是法律规定的相关公众。不是两部分人都涉及才构成商标法所称的相关公众。</w:t>
      </w:r>
    </w:p>
    <w:p>
      <w:pPr>
        <w:pStyle w:val="2"/>
        <w:keepNext w:val="0"/>
        <w:keepLines w:val="0"/>
        <w:pageBreakBefore w:val="0"/>
        <w:widowControl w:val="0"/>
        <w:kinsoku/>
        <w:wordWrap/>
        <w:overflowPunct/>
        <w:topLinePunct w:val="0"/>
        <w:bidi w:val="0"/>
        <w:adjustRightInd/>
        <w:spacing w:beforeAutospacing="0" w:afterAutospacing="0" w:line="500" w:lineRule="exact"/>
        <w:ind w:firstLine="522" w:firstLineChars="200"/>
        <w:rPr>
          <w:rFonts w:hint="eastAsia" w:ascii="仿宋_GB2312" w:hAnsi="仿宋" w:eastAsia="仿宋_GB2312" w:cs="仿宋"/>
          <w:bCs/>
          <w:color w:val="000000"/>
          <w:sz w:val="28"/>
          <w:szCs w:val="28"/>
        </w:rPr>
      </w:pPr>
      <w:bookmarkStart w:id="226" w:name="_Toc19100"/>
      <w:r>
        <w:rPr>
          <w:rFonts w:hint="eastAsia" w:ascii="仿宋_GB2312" w:hAnsi="仿宋" w:eastAsia="仿宋_GB2312" w:cs="仿宋"/>
          <w:color w:val="000000"/>
          <w:sz w:val="28"/>
          <w:szCs w:val="28"/>
        </w:rPr>
        <w:t>（四）判定原则和比对方法</w:t>
      </w:r>
      <w:bookmarkEnd w:id="226"/>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lang w:eastAsia="zh-CN"/>
        </w:rPr>
      </w:pPr>
      <w:r>
        <w:rPr>
          <w:rFonts w:hint="eastAsia" w:ascii="仿宋_GB2312" w:hAnsi="仿宋" w:eastAsia="仿宋_GB2312" w:cs="仿宋"/>
          <w:color w:val="000000"/>
          <w:sz w:val="28"/>
          <w:szCs w:val="28"/>
        </w:rPr>
        <w:t>《最高人民法院关于审理商标民事纠纷案件适用法律若干问题的解释》第十条规定：“</w:t>
      </w:r>
      <w:r>
        <w:rPr>
          <w:rFonts w:hint="eastAsia" w:ascii="仿宋_GB2312" w:hAnsi="仿宋" w:eastAsia="仿宋_GB2312" w:cs="仿宋"/>
          <w:color w:val="000000"/>
          <w:sz w:val="28"/>
          <w:szCs w:val="28"/>
          <w:lang w:eastAsia="zh-CN"/>
        </w:rPr>
        <w:t>人民法院依据</w:t>
      </w: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"https://www.pkulaw.com/chl/javascript:SLC(331486)"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商标法</w:t>
      </w:r>
      <w:r>
        <w:rPr>
          <w:rFonts w:hint="eastAsia" w:ascii="仿宋_GB2312" w:hAnsi="仿宋" w:eastAsia="仿宋_GB2312" w:cs="仿宋"/>
          <w:color w:val="000000"/>
          <w:sz w:val="28"/>
          <w:szCs w:val="28"/>
        </w:rPr>
        <w:fldChar w:fldCharType="end"/>
      </w:r>
      <w:r>
        <w:rPr>
          <w:rFonts w:hint="eastAsia" w:ascii="仿宋_GB2312" w:hAnsi="仿宋" w:eastAsia="仿宋_GB2312" w:cs="仿宋"/>
          <w:color w:val="000000"/>
          <w:sz w:val="28"/>
          <w:szCs w:val="28"/>
          <w:lang w:eastAsia="zh-CN"/>
        </w:rPr>
        <w:t>第</w:t>
      </w: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"https://www.pkulaw.com/chl/javascript:SLC(331486,57)"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五十七条</w:t>
      </w:r>
      <w:r>
        <w:rPr>
          <w:rFonts w:hint="eastAsia" w:ascii="仿宋_GB2312" w:hAnsi="仿宋" w:eastAsia="仿宋_GB2312" w:cs="仿宋"/>
          <w:color w:val="000000"/>
          <w:sz w:val="28"/>
          <w:szCs w:val="28"/>
        </w:rPr>
        <w:fldChar w:fldCharType="end"/>
      </w:r>
      <w:r>
        <w:rPr>
          <w:rFonts w:hint="eastAsia" w:ascii="仿宋_GB2312" w:hAnsi="仿宋" w:eastAsia="仿宋_GB2312" w:cs="仿宋"/>
          <w:color w:val="000000"/>
          <w:sz w:val="28"/>
          <w:szCs w:val="28"/>
          <w:lang w:eastAsia="zh-CN"/>
        </w:rPr>
        <w:t>第（</w:t>
      </w: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"https://www.pkulaw.com/chl/javascript:SLC(331486,57,1,1)"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一</w:t>
      </w:r>
      <w:r>
        <w:rPr>
          <w:rFonts w:hint="eastAsia" w:ascii="仿宋_GB2312" w:hAnsi="仿宋" w:eastAsia="仿宋_GB2312" w:cs="仿宋"/>
          <w:color w:val="000000"/>
          <w:sz w:val="28"/>
          <w:szCs w:val="28"/>
        </w:rPr>
        <w:fldChar w:fldCharType="end"/>
      </w:r>
      <w:r>
        <w:rPr>
          <w:rFonts w:hint="eastAsia" w:ascii="仿宋_GB2312" w:hAnsi="仿宋" w:eastAsia="仿宋_GB2312" w:cs="仿宋"/>
          <w:color w:val="000000"/>
          <w:sz w:val="28"/>
          <w:szCs w:val="28"/>
          <w:lang w:eastAsia="zh-CN"/>
        </w:rPr>
        <w:t>）</w:t>
      </w: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"https://www.pkulaw.com/chl/javascript:SLC(331486,57,1,2)"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（二）项</w:t>
      </w:r>
      <w:r>
        <w:rPr>
          <w:rFonts w:hint="eastAsia" w:ascii="仿宋_GB2312" w:hAnsi="仿宋" w:eastAsia="仿宋_GB2312" w:cs="仿宋"/>
          <w:color w:val="000000"/>
          <w:sz w:val="28"/>
          <w:szCs w:val="28"/>
        </w:rPr>
        <w:fldChar w:fldCharType="end"/>
      </w:r>
      <w:r>
        <w:rPr>
          <w:rFonts w:hint="eastAsia" w:ascii="仿宋_GB2312" w:hAnsi="仿宋" w:eastAsia="仿宋_GB2312" w:cs="仿宋"/>
          <w:color w:val="000000"/>
          <w:sz w:val="28"/>
          <w:szCs w:val="28"/>
          <w:lang w:eastAsia="zh-CN"/>
        </w:rPr>
        <w:t>的规定，认定商标相同或者近似按照以下原则进行：</w:t>
      </w:r>
      <w:bookmarkStart w:id="227" w:name="tiao_10_kuan_1_xiang_1"/>
      <w:bookmarkEnd w:id="227"/>
    </w:p>
    <w:p>
      <w:pPr>
        <w:pStyle w:val="7"/>
        <w:keepNext w:val="0"/>
        <w:keepLines w:val="0"/>
        <w:pageBreakBefore w:val="0"/>
        <w:widowControl w:val="0"/>
        <w:numPr>
          <w:ilvl w:val="0"/>
          <w:numId w:val="164"/>
        </w:numPr>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lang w:eastAsia="zh-CN"/>
        </w:rPr>
      </w:pPr>
      <w:r>
        <w:rPr>
          <w:rFonts w:hint="eastAsia" w:ascii="仿宋_GB2312" w:hAnsi="仿宋" w:eastAsia="仿宋_GB2312" w:cs="仿宋"/>
          <w:color w:val="000000"/>
          <w:sz w:val="28"/>
          <w:szCs w:val="28"/>
          <w:lang w:eastAsia="zh-CN"/>
        </w:rPr>
        <w:t>以相关公众的一般注意力为标准；</w:t>
      </w:r>
      <w:bookmarkStart w:id="228" w:name="tiao_10_kuan_1_xiang_2"/>
      <w:bookmarkEnd w:id="228"/>
    </w:p>
    <w:p>
      <w:pPr>
        <w:pStyle w:val="7"/>
        <w:keepNext w:val="0"/>
        <w:keepLines w:val="0"/>
        <w:pageBreakBefore w:val="0"/>
        <w:widowControl w:val="0"/>
        <w:numPr>
          <w:ilvl w:val="0"/>
          <w:numId w:val="164"/>
        </w:numPr>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lang w:eastAsia="zh-CN"/>
        </w:rPr>
      </w:pPr>
      <w:r>
        <w:rPr>
          <w:rFonts w:hint="eastAsia" w:ascii="仿宋_GB2312" w:hAnsi="仿宋" w:eastAsia="仿宋_GB2312" w:cs="仿宋"/>
          <w:color w:val="000000"/>
          <w:sz w:val="28"/>
          <w:szCs w:val="28"/>
          <w:lang w:eastAsia="zh-CN"/>
        </w:rPr>
        <w:t>既要进行对商标的整体比对，又要进行对商标主要部分的比对，比对应当在比对对象隔离的状态下分别进行；</w:t>
      </w:r>
      <w:bookmarkStart w:id="229" w:name="tiao_10_kuan_1_xiang_3"/>
      <w:bookmarkEnd w:id="229"/>
    </w:p>
    <w:p>
      <w:pPr>
        <w:pStyle w:val="7"/>
        <w:keepNext w:val="0"/>
        <w:keepLines w:val="0"/>
        <w:pageBreakBefore w:val="0"/>
        <w:widowControl w:val="0"/>
        <w:numPr>
          <w:ilvl w:val="0"/>
          <w:numId w:val="164"/>
        </w:numPr>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eastAsia="zh-CN"/>
        </w:rPr>
        <w:t>判断商标是否近似，应当考虑请求保护注册商标的显著性和知名度。</w:t>
      </w:r>
      <w:r>
        <w:rPr>
          <w:rFonts w:hint="eastAsia" w:ascii="仿宋_GB2312" w:hAnsi="仿宋" w:eastAsia="仿宋_GB2312" w:cs="仿宋"/>
          <w:color w:val="000000"/>
          <w:sz w:val="28"/>
          <w:szCs w:val="28"/>
        </w:rPr>
        <w:t>”根据上述原则依法判断商标相同或者近似，要注意把握以下几个要点：</w:t>
      </w:r>
    </w:p>
    <w:p>
      <w:pPr>
        <w:pStyle w:val="2"/>
        <w:keepNext w:val="0"/>
        <w:keepLines w:val="0"/>
        <w:pageBreakBefore w:val="0"/>
        <w:widowControl w:val="0"/>
        <w:kinsoku/>
        <w:wordWrap/>
        <w:overflowPunct/>
        <w:topLinePunct w:val="0"/>
        <w:bidi w:val="0"/>
        <w:adjustRightInd/>
        <w:spacing w:beforeAutospacing="0" w:afterAutospacing="0" w:line="500" w:lineRule="exact"/>
        <w:ind w:firstLine="522" w:firstLineChars="200"/>
        <w:rPr>
          <w:rFonts w:hint="eastAsia" w:ascii="仿宋_GB2312" w:hAnsi="仿宋" w:eastAsia="仿宋_GB2312" w:cs="仿宋"/>
          <w:b w:val="0"/>
          <w:bCs/>
          <w:color w:val="000000"/>
          <w:sz w:val="28"/>
          <w:szCs w:val="28"/>
        </w:rPr>
      </w:pPr>
      <w:bookmarkStart w:id="230" w:name="_Toc31046"/>
      <w:r>
        <w:rPr>
          <w:rFonts w:hint="eastAsia" w:ascii="仿宋_GB2312" w:hAnsi="仿宋" w:eastAsia="仿宋_GB2312" w:cs="仿宋"/>
          <w:b w:val="0"/>
          <w:color w:val="000000"/>
          <w:sz w:val="28"/>
          <w:szCs w:val="28"/>
        </w:rPr>
        <w:t>（1）要以包括相关消费者和经营者的公众的一般注意力为标准判断。</w:t>
      </w:r>
      <w:bookmarkEnd w:id="230"/>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商标的基本功能就在于使消费者在购买商品、服务时便于识别这些商品和服务，以及他们的来源。商品相同或者近似也一般发生在市场中，受影响的主要是相关的消费者和特定经营者。所以事后法官审判案件在认定、甄别商标相同、近似时，判断注意力也要回归到此种情景，也要以相关消费者和特定经营者的注意力为标准。这种注意力不是该领域相关专家所具有的注意力，专家的注意力过于专业可能出现判断标准过严的情况。但也不是一个与一般消费者有别的粗心大意的消费者的注意力，以他们的注意力判断又可能施之过宽，可能出现漏掉已经构成商标相同或者近似的情形。要以前</w:t>
      </w:r>
      <w:r>
        <w:rPr>
          <w:rFonts w:hint="eastAsia" w:ascii="仿宋_GB2312" w:hAnsi="仿宋" w:eastAsia="仿宋_GB2312" w:cs="仿宋"/>
          <w:color w:val="000000"/>
          <w:sz w:val="28"/>
          <w:szCs w:val="28"/>
          <w:lang w:eastAsia="zh-CN"/>
        </w:rPr>
        <w:t>面</w:t>
      </w:r>
      <w:r>
        <w:rPr>
          <w:rFonts w:hint="eastAsia" w:ascii="仿宋_GB2312" w:hAnsi="仿宋" w:eastAsia="仿宋_GB2312" w:cs="仿宋"/>
          <w:color w:val="000000"/>
          <w:sz w:val="28"/>
          <w:szCs w:val="28"/>
        </w:rPr>
        <w:t>所提两者中间选择大多数相关公众通常的、普通的、一般的注意力为标准。这就涉及到行为主体的一种行为能力的判断，审判实践中也称为认定商标相同或近似的主观标准。法官在分析、判断和采纳有关证据作为定案依据和产生心证过程中，都要坚持以相关公众的一般注意力为标准。</w:t>
      </w:r>
    </w:p>
    <w:p>
      <w:pPr>
        <w:pStyle w:val="2"/>
        <w:keepNext w:val="0"/>
        <w:keepLines w:val="0"/>
        <w:pageBreakBefore w:val="0"/>
        <w:widowControl w:val="0"/>
        <w:kinsoku/>
        <w:wordWrap/>
        <w:overflowPunct/>
        <w:topLinePunct w:val="0"/>
        <w:bidi w:val="0"/>
        <w:adjustRightInd/>
        <w:spacing w:beforeAutospacing="0" w:afterAutospacing="0" w:line="500" w:lineRule="exact"/>
        <w:ind w:firstLine="522" w:firstLineChars="200"/>
        <w:rPr>
          <w:rFonts w:hint="eastAsia" w:ascii="仿宋_GB2312" w:hAnsi="仿宋" w:eastAsia="仿宋_GB2312" w:cs="仿宋"/>
          <w:b w:val="0"/>
          <w:bCs/>
          <w:color w:val="000000"/>
          <w:sz w:val="28"/>
          <w:szCs w:val="28"/>
        </w:rPr>
      </w:pPr>
      <w:bookmarkStart w:id="231" w:name="_Toc14665"/>
      <w:r>
        <w:rPr>
          <w:rFonts w:hint="eastAsia" w:ascii="仿宋_GB2312" w:hAnsi="仿宋" w:eastAsia="仿宋_GB2312" w:cs="仿宋"/>
          <w:b w:val="0"/>
          <w:color w:val="000000"/>
          <w:sz w:val="28"/>
          <w:szCs w:val="28"/>
        </w:rPr>
        <w:t>（2）准确地掌握对商标相同或者近似的整体、要部和隔离的比对方法。按照消费者在市场中对商标的感知规律，审判和行政执法实  践中常常运用商标整体、要部比对和将商标隔离开比对的方法，来判断商标的相同，特别是商标的近似。</w:t>
      </w:r>
      <w:bookmarkEnd w:id="231"/>
    </w:p>
    <w:p>
      <w:pPr>
        <w:pStyle w:val="7"/>
        <w:keepNext w:val="0"/>
        <w:keepLines w:val="0"/>
        <w:pageBreakBefore w:val="0"/>
        <w:widowControl w:val="0"/>
        <w:numPr>
          <w:ilvl w:val="0"/>
          <w:numId w:val="165"/>
        </w:numPr>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bCs/>
          <w:color w:val="000000"/>
          <w:sz w:val="28"/>
          <w:szCs w:val="28"/>
        </w:rPr>
      </w:pPr>
      <w:r>
        <w:rPr>
          <w:rFonts w:hint="eastAsia" w:ascii="仿宋_GB2312" w:hAnsi="仿宋" w:eastAsia="仿宋_GB2312" w:cs="仿宋"/>
          <w:bCs/>
          <w:color w:val="000000"/>
          <w:sz w:val="28"/>
          <w:szCs w:val="28"/>
        </w:rPr>
        <w:t>整体比对</w:t>
      </w:r>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又称为商标整体观察比较，是指将商标作为一个整体来进行观察，而不是仅仅将商标的各个构成要素抽出来分别进行比对。这是因为商标作为商品或者服务的识别标志，是由整个商标构成的，在消费者的记忆中留下的是该商标的整体印象，而不是构成该商标的某些单个要素。因此，当两个商标在各自具体的构成要素上存在区别，但只要将它们集合起来作为一个整体，因此而产生的整体视觉，仍有可能使消费者产生误认，就应当认定为近似商标。反之，如果两个商标的部分组成要素可能相同，但是它们作为一个整体并不会使消费者产生误认，即整体视觉不同，就不能认定为近似商标。</w:t>
      </w:r>
    </w:p>
    <w:p>
      <w:pPr>
        <w:pStyle w:val="7"/>
        <w:keepNext w:val="0"/>
        <w:keepLines w:val="0"/>
        <w:pageBreakBefore w:val="0"/>
        <w:widowControl w:val="0"/>
        <w:numPr>
          <w:ilvl w:val="0"/>
          <w:numId w:val="165"/>
        </w:numPr>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bCs/>
          <w:color w:val="000000"/>
          <w:sz w:val="28"/>
          <w:szCs w:val="28"/>
        </w:rPr>
      </w:pPr>
      <w:r>
        <w:rPr>
          <w:rFonts w:hint="eastAsia" w:ascii="仿宋_GB2312" w:hAnsi="仿宋" w:eastAsia="仿宋_GB2312" w:cs="仿宋"/>
          <w:bCs/>
          <w:color w:val="000000"/>
          <w:sz w:val="28"/>
          <w:szCs w:val="28"/>
        </w:rPr>
        <w:t>要部比对</w:t>
      </w:r>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又称为商标主要部分观察比较，是指将商标中发挥主要识别作用的部分抽出来进行重点比较和对照，是对整体比对的补充。此种比对方法也是根据消费者在市场中对商标与商品的具体感受和记忆而采用的一种方法。一般地说，消费者对商标的感受和留下最深的记忆，是商标的主要部分或者称要部，即商标中起主要识别作用的部分。当两个商标的主要部分相同或者近似，就容易造成消费者的误认，就可以判断为商标近似。</w:t>
      </w:r>
    </w:p>
    <w:p>
      <w:pPr>
        <w:pStyle w:val="7"/>
        <w:keepNext w:val="0"/>
        <w:keepLines w:val="0"/>
        <w:pageBreakBefore w:val="0"/>
        <w:widowControl w:val="0"/>
        <w:numPr>
          <w:ilvl w:val="0"/>
          <w:numId w:val="165"/>
        </w:numPr>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bCs/>
          <w:color w:val="000000"/>
          <w:sz w:val="28"/>
          <w:szCs w:val="28"/>
        </w:rPr>
      </w:pPr>
      <w:r>
        <w:rPr>
          <w:rFonts w:hint="eastAsia" w:ascii="仿宋_GB2312" w:hAnsi="仿宋" w:eastAsia="仿宋_GB2312" w:cs="仿宋"/>
          <w:bCs/>
          <w:color w:val="000000"/>
          <w:sz w:val="28"/>
          <w:szCs w:val="28"/>
        </w:rPr>
        <w:t>隔离比对</w:t>
      </w:r>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又称为对商标的隔离观察比较，是指将注册商标与被控侵权的商标放置于不同的地点在不同的时间进行观察比对，不是把要比对的两个商标摆放在一起进行对比观察。这是一种基本的商标比对方法，无论在进行整体比对还是要部比对时，都应当采用隔离比对的方式。一般地说，消费者寻找自己所要的商品，总是凭着以往头脑中对某种商品或者服务的广告宣传所遗留的商标印象，在市场中寻找所感知的某种品牌的商品或者服务。在市场中，不同商标的商品一般也不是同时摆放在同一个柜台中。在消费者的思维中，多数情况下不是两种要比对的商标同时存在，而是存在以前见到过在头脑中记忆的商标，与当前见到的商标的比较。</w:t>
      </w:r>
    </w:p>
    <w:p>
      <w:pPr>
        <w:pStyle w:val="2"/>
        <w:keepNext w:val="0"/>
        <w:keepLines w:val="0"/>
        <w:pageBreakBefore w:val="0"/>
        <w:widowControl w:val="0"/>
        <w:kinsoku/>
        <w:wordWrap/>
        <w:overflowPunct/>
        <w:topLinePunct w:val="0"/>
        <w:bidi w:val="0"/>
        <w:adjustRightInd/>
        <w:spacing w:beforeAutospacing="0" w:afterAutospacing="0" w:line="500" w:lineRule="exact"/>
        <w:ind w:firstLine="522" w:firstLineChars="200"/>
        <w:rPr>
          <w:rFonts w:hint="eastAsia" w:ascii="仿宋_GB2312" w:hAnsi="仿宋" w:eastAsia="仿宋_GB2312" w:cs="仿宋"/>
          <w:b w:val="0"/>
          <w:bCs/>
          <w:color w:val="000000"/>
          <w:sz w:val="28"/>
          <w:szCs w:val="28"/>
        </w:rPr>
      </w:pPr>
      <w:bookmarkStart w:id="232" w:name="_Toc14829"/>
      <w:r>
        <w:rPr>
          <w:rFonts w:hint="eastAsia" w:ascii="仿宋_GB2312" w:hAnsi="仿宋" w:eastAsia="仿宋_GB2312" w:cs="仿宋"/>
          <w:b w:val="0"/>
          <w:color w:val="000000"/>
          <w:sz w:val="28"/>
          <w:szCs w:val="28"/>
        </w:rPr>
        <w:t>（3）判断商标近似中的注册商标显著性和知名度要素</w:t>
      </w:r>
      <w:bookmarkEnd w:id="232"/>
    </w:p>
    <w:p>
      <w:pPr>
        <w:pStyle w:val="7"/>
        <w:keepNext w:val="0"/>
        <w:keepLines w:val="0"/>
        <w:pageBreakBefore w:val="0"/>
        <w:widowControl w:val="0"/>
        <w:numPr>
          <w:ilvl w:val="0"/>
          <w:numId w:val="166"/>
        </w:numPr>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bCs/>
          <w:color w:val="000000"/>
          <w:sz w:val="28"/>
          <w:szCs w:val="28"/>
        </w:rPr>
      </w:pPr>
      <w:r>
        <w:rPr>
          <w:rFonts w:hint="eastAsia" w:ascii="仿宋_GB2312" w:hAnsi="仿宋" w:eastAsia="仿宋_GB2312" w:cs="仿宋"/>
          <w:bCs/>
          <w:color w:val="000000"/>
          <w:sz w:val="28"/>
          <w:szCs w:val="28"/>
        </w:rPr>
        <w:t>商标显著性要素：根据商标法第九条的规定，注册商标应当具有显著特征，便于识别。显著性，又称为识别性，是指将商标使用于商品或其包装以及服务上时，能够引起一般消费者的注意，并凭此与其他商品或者服务相区别。商标的显著性，是注册商标的构成要件， 是对申请商标进行实质审查的重要方面。对于注册商标来说，应当都具有显著性，当实践中，其显著性仍旧存在大小程度不同之分。有的商标设计独创性很强，如用文字、拼音字母等，可以组合成并未实际存在的文字字义，属于生造的文字，被控商标的“搭车”近似，很容易认定。对于显著性弱的商标，指控他人商标与自己商标近似就相对难以判断。</w:t>
      </w:r>
    </w:p>
    <w:p>
      <w:pPr>
        <w:pStyle w:val="7"/>
        <w:keepNext w:val="0"/>
        <w:keepLines w:val="0"/>
        <w:pageBreakBefore w:val="0"/>
        <w:widowControl w:val="0"/>
        <w:numPr>
          <w:ilvl w:val="0"/>
          <w:numId w:val="166"/>
        </w:numPr>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lang w:eastAsia="zh-CN"/>
        </w:rPr>
      </w:pPr>
      <w:r>
        <w:rPr>
          <w:rFonts w:hint="eastAsia" w:ascii="仿宋_GB2312" w:hAnsi="仿宋" w:eastAsia="仿宋_GB2312" w:cs="仿宋"/>
          <w:bCs/>
          <w:color w:val="000000"/>
          <w:sz w:val="28"/>
          <w:szCs w:val="28"/>
        </w:rPr>
        <w:t>商标知名度要素：</w:t>
      </w:r>
      <w:r>
        <w:rPr>
          <w:rFonts w:hint="eastAsia" w:ascii="仿宋_GB2312" w:hAnsi="仿宋" w:eastAsia="仿宋_GB2312" w:cs="仿宋"/>
          <w:color w:val="000000"/>
          <w:sz w:val="28"/>
          <w:szCs w:val="28"/>
        </w:rPr>
        <w:t>商标知名度对商标近似的认定与商标的知名度也密切相关。依据商标对社会影响的大小强弱，可以将商标分为驰名商标和非驰名商标。在驰名商标或者非驰名商标中，对商标的知名度也有不同的等级和程度。一些违法行为人为自己的私利往往设计与他人知名度高的商标，甚至驰名商标近似的商标，此种行为会造成淡化他人驰名商标损害他人合法权益的后果。所以，对显著性强、知名度高的商标，容易被当成目标受到不法侵害，应当提供更加充分的保护。在判断认定商标近似时，应当考虑商标的显著性与知名度要素。</w:t>
      </w:r>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 xml:space="preserve">  </w:t>
      </w:r>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0" w:firstLineChars="0"/>
        <w:jc w:val="center"/>
        <w:rPr>
          <w:rFonts w:hint="eastAsia" w:ascii="黑体" w:hAnsi="黑体" w:eastAsia="黑体"/>
          <w:color w:val="000000"/>
          <w:sz w:val="28"/>
          <w:szCs w:val="28"/>
          <w:lang w:eastAsia="zh-CN"/>
        </w:rPr>
      </w:pPr>
      <w:r>
        <w:rPr>
          <w:rFonts w:hint="eastAsia" w:ascii="黑体" w:hAnsi="黑体" w:eastAsia="黑体"/>
          <w:color w:val="000000"/>
          <w:sz w:val="28"/>
          <w:szCs w:val="28"/>
          <w:lang w:eastAsia="zh-CN"/>
        </w:rPr>
        <w:t xml:space="preserve">第三章   </w:t>
      </w:r>
      <w:r>
        <w:rPr>
          <w:rFonts w:hint="eastAsia" w:ascii="黑体" w:hAnsi="黑体" w:eastAsia="黑体"/>
          <w:color w:val="000000"/>
          <w:sz w:val="28"/>
          <w:szCs w:val="28"/>
        </w:rPr>
        <w:t>商标侵权案件的常用取证方式</w:t>
      </w:r>
      <w:r>
        <w:rPr>
          <w:rFonts w:hint="eastAsia" w:ascii="黑体" w:hAnsi="黑体" w:eastAsia="黑体"/>
          <w:color w:val="000000"/>
          <w:sz w:val="28"/>
          <w:szCs w:val="28"/>
          <w:lang w:eastAsia="zh-CN"/>
        </w:rPr>
        <w:t>及取证内容</w:t>
      </w:r>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4"/>
        <w:jc w:val="both"/>
        <w:rPr>
          <w:rFonts w:hint="eastAsia" w:ascii="楷体" w:hAnsi="楷体" w:eastAsia="楷体" w:cs="仿宋"/>
          <w:b/>
          <w:bCs/>
          <w:color w:val="000000"/>
          <w:sz w:val="28"/>
          <w:szCs w:val="28"/>
          <w:lang w:eastAsia="zh-CN"/>
        </w:rPr>
      </w:pPr>
      <w:r>
        <w:rPr>
          <w:rFonts w:hint="eastAsia" w:ascii="楷体" w:hAnsi="楷体" w:eastAsia="楷体" w:cs="仿宋"/>
          <w:b/>
          <w:bCs/>
          <w:color w:val="000000"/>
          <w:sz w:val="28"/>
          <w:szCs w:val="28"/>
          <w:lang w:eastAsia="zh-CN"/>
        </w:rPr>
        <w:t>一、商标侵权案件的常用取证方式</w:t>
      </w:r>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4"/>
        <w:jc w:val="both"/>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lang w:eastAsia="zh-CN"/>
        </w:rPr>
        <w:t>（一）</w:t>
      </w:r>
      <w:r>
        <w:rPr>
          <w:rFonts w:hint="eastAsia" w:ascii="仿宋_GB2312" w:hAnsi="仿宋" w:eastAsia="仿宋_GB2312" w:cs="仿宋"/>
          <w:b/>
          <w:color w:val="000000"/>
          <w:sz w:val="28"/>
          <w:szCs w:val="28"/>
        </w:rPr>
        <w:t>公证</w:t>
      </w:r>
      <w:r>
        <w:rPr>
          <w:rFonts w:hint="eastAsia" w:ascii="仿宋_GB2312" w:hAnsi="仿宋" w:eastAsia="仿宋_GB2312" w:cs="仿宋"/>
          <w:b/>
          <w:color w:val="000000"/>
          <w:sz w:val="28"/>
          <w:szCs w:val="28"/>
          <w:lang w:eastAsia="zh-CN"/>
        </w:rPr>
        <w:t>取</w:t>
      </w:r>
      <w:r>
        <w:rPr>
          <w:rFonts w:hint="eastAsia" w:ascii="仿宋_GB2312" w:hAnsi="仿宋" w:eastAsia="仿宋_GB2312" w:cs="仿宋"/>
          <w:b/>
          <w:color w:val="000000"/>
          <w:sz w:val="28"/>
          <w:szCs w:val="28"/>
        </w:rPr>
        <w:t>证</w:t>
      </w:r>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根据《民事诉讼法》第六十九条之规定经过法定程序公证证明的法律事实和文书，人民法院应当作为认定事实的根据，但有相反证据足以推翻公证证明的除外。公证证据具有推定为真的效果，一般为法院直接采信，除非有相反证据足以推翻公证证明的除外。公证机关对证据进行保全，其效果与法院依职权所进行的</w:t>
      </w:r>
      <w:r>
        <w:rPr>
          <w:rFonts w:hint="eastAsia" w:ascii="仿宋_GB2312" w:hAnsi="仿宋" w:eastAsia="仿宋_GB2312" w:cs="仿宋"/>
          <w:color w:val="000000"/>
          <w:sz w:val="28"/>
          <w:szCs w:val="28"/>
          <w:lang w:eastAsia="zh-CN"/>
        </w:rPr>
        <w:t>证据</w:t>
      </w:r>
      <w:r>
        <w:rPr>
          <w:rFonts w:hint="eastAsia" w:ascii="仿宋_GB2312" w:hAnsi="仿宋" w:eastAsia="仿宋_GB2312" w:cs="仿宋"/>
          <w:color w:val="000000"/>
          <w:sz w:val="28"/>
          <w:szCs w:val="28"/>
        </w:rPr>
        <w:t>保全，是基本相等的。因此，当发现商标侵权行为事实存在</w:t>
      </w:r>
      <w:r>
        <w:rPr>
          <w:rFonts w:hint="eastAsia" w:ascii="仿宋_GB2312" w:hAnsi="仿宋" w:eastAsia="仿宋_GB2312" w:cs="仿宋"/>
          <w:color w:val="000000"/>
          <w:sz w:val="28"/>
          <w:szCs w:val="28"/>
          <w:lang w:eastAsia="zh-CN"/>
        </w:rPr>
        <w:t>时</w:t>
      </w:r>
      <w:r>
        <w:rPr>
          <w:rFonts w:hint="eastAsia" w:ascii="仿宋_GB2312" w:hAnsi="仿宋" w:eastAsia="仿宋_GB2312" w:cs="仿宋"/>
          <w:color w:val="000000"/>
          <w:sz w:val="28"/>
          <w:szCs w:val="28"/>
        </w:rPr>
        <w:t>，可向公证机关申请公证保全侵权事实的证据，以便诉讼之需。</w:t>
      </w:r>
    </w:p>
    <w:p>
      <w:pPr>
        <w:pStyle w:val="2"/>
        <w:keepNext w:val="0"/>
        <w:keepLines w:val="0"/>
        <w:pageBreakBefore w:val="0"/>
        <w:widowControl w:val="0"/>
        <w:kinsoku/>
        <w:wordWrap/>
        <w:overflowPunct/>
        <w:topLinePunct w:val="0"/>
        <w:bidi w:val="0"/>
        <w:adjustRightInd/>
        <w:spacing w:beforeAutospacing="0" w:afterAutospacing="0" w:line="500" w:lineRule="exact"/>
        <w:ind w:firstLine="522" w:firstLineChars="200"/>
        <w:rPr>
          <w:rFonts w:hint="eastAsia" w:ascii="仿宋_GB2312" w:hAnsi="仿宋" w:eastAsia="仿宋_GB2312" w:cs="仿宋"/>
          <w:bCs/>
          <w:color w:val="000000"/>
          <w:sz w:val="28"/>
          <w:szCs w:val="28"/>
        </w:rPr>
      </w:pPr>
      <w:bookmarkStart w:id="233" w:name="_Toc18412"/>
      <w:r>
        <w:rPr>
          <w:rFonts w:hint="eastAsia" w:ascii="仿宋_GB2312" w:hAnsi="仿宋" w:eastAsia="仿宋_GB2312" w:cs="仿宋"/>
          <w:color w:val="000000"/>
          <w:sz w:val="28"/>
          <w:szCs w:val="28"/>
        </w:rPr>
        <w:t>（二）可信时间戳取证</w:t>
      </w:r>
      <w:bookmarkEnd w:id="233"/>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可信时间戳是由权威可信时间戳服务中心签发的一个能证明数据电文(电子文件）在一个时间点是已经存在的、完整的、可验证的</w:t>
      </w:r>
      <w:r>
        <w:rPr>
          <w:rFonts w:hint="eastAsia" w:ascii="仿宋_GB2312" w:hAnsi="仿宋" w:eastAsia="仿宋_GB2312" w:cs="仿宋"/>
          <w:color w:val="000000"/>
          <w:sz w:val="28"/>
          <w:szCs w:val="28"/>
          <w:lang w:eastAsia="zh-CN"/>
        </w:rPr>
        <w:t>、</w:t>
      </w:r>
      <w:r>
        <w:rPr>
          <w:rFonts w:hint="eastAsia" w:ascii="仿宋_GB2312" w:hAnsi="仿宋" w:eastAsia="仿宋_GB2312" w:cs="仿宋"/>
          <w:color w:val="000000"/>
          <w:sz w:val="28"/>
          <w:szCs w:val="28"/>
        </w:rPr>
        <w:t>具备法律效力的电子凭证，可信时间戳主要用于电子文件防篡改和事后抵赖，确定电子文件产生的准确时间。针对互联网上的侵权事实，如网页、电子邮箱、网络图片、音频、视频影像、微信、微博等可通过可信时间戳进行证据保全。</w:t>
      </w:r>
      <w:r>
        <w:rPr>
          <w:rFonts w:hint="eastAsia" w:ascii="仿宋_GB2312" w:hAnsi="仿宋" w:eastAsia="仿宋_GB2312" w:cs="仿宋"/>
          <w:color w:val="000000"/>
          <w:sz w:val="28"/>
          <w:szCs w:val="28"/>
          <w:lang w:eastAsia="zh-CN"/>
        </w:rPr>
        <w:t>可信时间戳取证网址为https://www.tsa.cn/；取证流程为：注册/登录可信时间戳网站——登录取证系统取证——证据确认——下载可信时间戳证据包。</w:t>
      </w:r>
    </w:p>
    <w:p>
      <w:pPr>
        <w:pStyle w:val="2"/>
        <w:keepNext w:val="0"/>
        <w:keepLines w:val="0"/>
        <w:pageBreakBefore w:val="0"/>
        <w:widowControl w:val="0"/>
        <w:kinsoku/>
        <w:wordWrap/>
        <w:overflowPunct/>
        <w:topLinePunct w:val="0"/>
        <w:bidi w:val="0"/>
        <w:adjustRightInd/>
        <w:spacing w:beforeAutospacing="0" w:afterAutospacing="0" w:line="500" w:lineRule="exact"/>
        <w:ind w:firstLine="522" w:firstLineChars="200"/>
        <w:rPr>
          <w:rFonts w:hint="eastAsia" w:ascii="仿宋_GB2312" w:hAnsi="仿宋" w:eastAsia="仿宋_GB2312" w:cs="仿宋"/>
          <w:bCs/>
          <w:color w:val="000000"/>
          <w:sz w:val="28"/>
          <w:szCs w:val="28"/>
        </w:rPr>
      </w:pPr>
      <w:bookmarkStart w:id="234" w:name="_Toc14425"/>
      <w:r>
        <w:rPr>
          <w:rFonts w:hint="eastAsia" w:ascii="仿宋_GB2312" w:hAnsi="仿宋" w:eastAsia="仿宋_GB2312" w:cs="仿宋"/>
          <w:color w:val="000000"/>
          <w:sz w:val="28"/>
          <w:szCs w:val="28"/>
        </w:rPr>
        <w:t>（三）行政投诉取证</w:t>
      </w:r>
      <w:bookmarkEnd w:id="234"/>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lang w:eastAsia="zh-CN"/>
        </w:rPr>
      </w:pPr>
      <w:r>
        <w:rPr>
          <w:rFonts w:hint="eastAsia" w:ascii="仿宋_GB2312" w:hAnsi="仿宋" w:eastAsia="仿宋_GB2312" w:cs="仿宋"/>
          <w:color w:val="000000"/>
          <w:sz w:val="28"/>
          <w:szCs w:val="28"/>
          <w:lang w:eastAsia="zh-CN"/>
        </w:rPr>
        <w:t>商标权利人</w:t>
      </w:r>
      <w:r>
        <w:rPr>
          <w:rFonts w:hint="eastAsia" w:ascii="仿宋_GB2312" w:hAnsi="仿宋" w:eastAsia="仿宋_GB2312" w:cs="仿宋"/>
          <w:color w:val="000000"/>
          <w:sz w:val="28"/>
          <w:szCs w:val="28"/>
        </w:rPr>
        <w:t>可以向侵权所在地行政职能部门进行侵权举报，在举报时商标权利人需要提交相应的主体资格证明文件</w:t>
      </w:r>
      <w:r>
        <w:rPr>
          <w:rFonts w:hint="eastAsia" w:ascii="仿宋_GB2312" w:hAnsi="仿宋" w:eastAsia="仿宋_GB2312" w:cs="仿宋"/>
          <w:color w:val="000000"/>
          <w:sz w:val="28"/>
          <w:szCs w:val="28"/>
          <w:lang w:eastAsia="zh-CN"/>
        </w:rPr>
        <w:t>、商标</w:t>
      </w:r>
      <w:r>
        <w:rPr>
          <w:rFonts w:hint="eastAsia" w:ascii="仿宋_GB2312" w:hAnsi="仿宋" w:eastAsia="仿宋_GB2312" w:cs="仿宋"/>
          <w:color w:val="000000"/>
          <w:sz w:val="28"/>
          <w:szCs w:val="28"/>
        </w:rPr>
        <w:t>权属证明文件</w:t>
      </w:r>
      <w:r>
        <w:rPr>
          <w:rFonts w:hint="eastAsia" w:ascii="仿宋_GB2312" w:hAnsi="仿宋" w:eastAsia="仿宋_GB2312" w:cs="仿宋"/>
          <w:color w:val="000000"/>
          <w:sz w:val="28"/>
          <w:szCs w:val="28"/>
          <w:lang w:eastAsia="zh-CN"/>
        </w:rPr>
        <w:t>，举报申请书等</w:t>
      </w:r>
      <w:r>
        <w:rPr>
          <w:rFonts w:hint="eastAsia" w:ascii="仿宋_GB2312" w:hAnsi="仿宋" w:eastAsia="仿宋_GB2312" w:cs="仿宋"/>
          <w:color w:val="000000"/>
          <w:sz w:val="28"/>
          <w:szCs w:val="28"/>
        </w:rPr>
        <w:t>材料</w:t>
      </w:r>
      <w:r>
        <w:rPr>
          <w:rFonts w:hint="eastAsia" w:ascii="仿宋_GB2312" w:hAnsi="仿宋" w:eastAsia="仿宋_GB2312" w:cs="仿宋"/>
          <w:color w:val="000000"/>
          <w:sz w:val="28"/>
          <w:szCs w:val="28"/>
          <w:lang w:eastAsia="zh-CN"/>
        </w:rPr>
        <w:t>。</w:t>
      </w:r>
      <w:r>
        <w:rPr>
          <w:rFonts w:hint="eastAsia" w:ascii="仿宋_GB2312" w:hAnsi="仿宋" w:eastAsia="仿宋_GB2312" w:cs="仿宋"/>
          <w:color w:val="000000"/>
          <w:sz w:val="28"/>
          <w:szCs w:val="28"/>
        </w:rPr>
        <w:t>行政机关可以查阅、复制与案件有关的合同、帐册等有关文件，询问当事人和证人，采用拍照、摄像等方式进行现场执法检查。涉嫌侵犯商标专用权的，上述行政执法部门可以对涉嫌侵权的产品清点数量、规格后查封并从中抽取样品</w:t>
      </w:r>
      <w:r>
        <w:rPr>
          <w:rFonts w:hint="eastAsia" w:ascii="仿宋_GB2312" w:hAnsi="仿宋" w:eastAsia="仿宋_GB2312" w:cs="仿宋"/>
          <w:color w:val="000000"/>
          <w:sz w:val="28"/>
          <w:szCs w:val="28"/>
          <w:lang w:eastAsia="zh-CN"/>
        </w:rPr>
        <w:t>，进行行政查处。</w:t>
      </w:r>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4"/>
        <w:jc w:val="both"/>
        <w:rPr>
          <w:rFonts w:hint="eastAsia" w:ascii="楷体" w:hAnsi="楷体" w:eastAsia="楷体" w:cs="仿宋"/>
          <w:b/>
          <w:bCs/>
          <w:color w:val="000000"/>
          <w:sz w:val="28"/>
          <w:szCs w:val="28"/>
          <w:lang w:eastAsia="zh-CN"/>
        </w:rPr>
      </w:pPr>
      <w:r>
        <w:rPr>
          <w:rFonts w:hint="eastAsia" w:ascii="楷体" w:hAnsi="楷体" w:eastAsia="楷体" w:cs="仿宋"/>
          <w:b/>
          <w:bCs/>
          <w:color w:val="000000"/>
          <w:sz w:val="28"/>
          <w:szCs w:val="28"/>
          <w:lang w:eastAsia="zh-CN"/>
        </w:rPr>
        <w:t>二、商标侵权案件的取证内容</w:t>
      </w:r>
    </w:p>
    <w:p>
      <w:pPr>
        <w:pStyle w:val="2"/>
        <w:keepNext w:val="0"/>
        <w:keepLines w:val="0"/>
        <w:pageBreakBefore w:val="0"/>
        <w:widowControl w:val="0"/>
        <w:tabs>
          <w:tab w:val="left" w:pos="3851"/>
        </w:tabs>
        <w:kinsoku/>
        <w:wordWrap/>
        <w:overflowPunct/>
        <w:topLinePunct w:val="0"/>
        <w:bidi w:val="0"/>
        <w:adjustRightInd/>
        <w:spacing w:beforeAutospacing="0" w:afterAutospacing="0" w:line="500" w:lineRule="exact"/>
        <w:ind w:firstLine="522" w:firstLineChars="200"/>
        <w:rPr>
          <w:rFonts w:hint="eastAsia" w:ascii="仿宋_GB2312" w:hAnsi="仿宋" w:eastAsia="仿宋_GB2312" w:cs="仿宋"/>
          <w:b w:val="0"/>
          <w:bCs/>
          <w:color w:val="000000"/>
          <w:sz w:val="28"/>
          <w:szCs w:val="28"/>
        </w:rPr>
      </w:pPr>
      <w:bookmarkStart w:id="235" w:name="_Toc7061"/>
      <w:r>
        <w:rPr>
          <w:rFonts w:hint="eastAsia" w:ascii="仿宋_GB2312" w:hAnsi="仿宋" w:eastAsia="仿宋_GB2312" w:cs="仿宋"/>
          <w:b w:val="0"/>
          <w:color w:val="000000"/>
          <w:sz w:val="28"/>
          <w:szCs w:val="28"/>
        </w:rPr>
        <w:t>侵害商标权纠纷案件，在进行取证时需要注意取得侵权商品或服务内容的的呈现样式证据、比如侵权商品实物、宣传单、物料单等能够体现侵权商品或服务所使用的被控侵权商标标识的材料，在取证过程中也要注意收集体现侵权规模、时间等相关证据材料，同时向侵权商品或服务的提供者索要发票或收据等可以证明侵权商品或服务提供者体现获利或损失大小的证据。</w:t>
      </w:r>
      <w:bookmarkEnd w:id="235"/>
    </w:p>
    <w:p>
      <w:pPr>
        <w:keepNext w:val="0"/>
        <w:keepLines w:val="0"/>
        <w:pageBreakBefore w:val="0"/>
        <w:widowControl w:val="0"/>
        <w:kinsoku/>
        <w:wordWrap/>
        <w:overflowPunct/>
        <w:topLinePunct w:val="0"/>
        <w:bidi w:val="0"/>
        <w:adjustRightInd/>
        <w:spacing w:beforeAutospacing="0" w:afterAutospacing="0" w:line="500" w:lineRule="exact"/>
        <w:ind w:firstLine="522" w:firstLineChars="200"/>
        <w:jc w:val="both"/>
        <w:rPr>
          <w:rFonts w:hint="eastAsia" w:ascii="仿宋_GB2312" w:hAnsi="仿宋" w:eastAsia="仿宋_GB2312" w:cs="仿宋"/>
          <w:color w:val="000000"/>
          <w:sz w:val="28"/>
          <w:szCs w:val="28"/>
        </w:rPr>
      </w:pPr>
    </w:p>
    <w:p>
      <w:pPr>
        <w:pStyle w:val="2"/>
        <w:keepNext w:val="0"/>
        <w:keepLines w:val="0"/>
        <w:pageBreakBefore w:val="0"/>
        <w:widowControl w:val="0"/>
        <w:tabs>
          <w:tab w:val="left" w:pos="3851"/>
        </w:tabs>
        <w:kinsoku/>
        <w:wordWrap/>
        <w:overflowPunct/>
        <w:topLinePunct w:val="0"/>
        <w:bidi w:val="0"/>
        <w:adjustRightInd/>
        <w:spacing w:beforeAutospacing="0" w:afterAutospacing="0" w:line="500" w:lineRule="exact"/>
        <w:jc w:val="center"/>
        <w:rPr>
          <w:rFonts w:hint="eastAsia" w:ascii="黑体" w:hAnsi="黑体" w:eastAsia="黑体" w:cs="黑体"/>
          <w:b w:val="0"/>
          <w:bCs/>
          <w:color w:val="000000"/>
          <w:sz w:val="28"/>
          <w:szCs w:val="28"/>
        </w:rPr>
      </w:pPr>
      <w:bookmarkStart w:id="236" w:name="_Toc29267"/>
      <w:r>
        <w:rPr>
          <w:rFonts w:hint="eastAsia" w:ascii="黑体" w:hAnsi="黑体" w:eastAsia="黑体" w:cs="黑体"/>
          <w:b w:val="0"/>
          <w:bCs/>
          <w:color w:val="000000"/>
          <w:sz w:val="28"/>
          <w:szCs w:val="28"/>
        </w:rPr>
        <w:t>第四章  商标侵权案件的诉讼请求</w:t>
      </w:r>
      <w:bookmarkEnd w:id="236"/>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4"/>
        <w:jc w:val="both"/>
        <w:rPr>
          <w:rFonts w:hint="eastAsia" w:ascii="楷体" w:hAnsi="楷体" w:eastAsia="楷体" w:cs="仿宋"/>
          <w:b/>
          <w:bCs/>
          <w:color w:val="000000"/>
          <w:sz w:val="28"/>
          <w:szCs w:val="28"/>
        </w:rPr>
      </w:pPr>
      <w:r>
        <w:rPr>
          <w:rFonts w:hint="eastAsia" w:ascii="楷体" w:hAnsi="楷体" w:eastAsia="楷体" w:cs="仿宋"/>
          <w:b/>
          <w:bCs/>
          <w:color w:val="000000"/>
          <w:sz w:val="28"/>
          <w:szCs w:val="28"/>
        </w:rPr>
        <w:t>一、停止侵害</w:t>
      </w:r>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对于行为人实施的侵害权利人商标的行为，依据《</w:t>
      </w:r>
      <w:r>
        <w:rPr>
          <w:rFonts w:hint="eastAsia" w:ascii="仿宋_GB2312" w:hAnsi="仿宋" w:eastAsia="仿宋_GB2312" w:cs="仿宋"/>
          <w:color w:val="000000"/>
          <w:sz w:val="28"/>
          <w:szCs w:val="28"/>
          <w:lang w:eastAsia="zh-CN"/>
        </w:rPr>
        <w:t>中华人民共和国</w:t>
      </w:r>
      <w:r>
        <w:rPr>
          <w:rFonts w:hint="eastAsia" w:ascii="仿宋_GB2312" w:hAnsi="仿宋" w:eastAsia="仿宋_GB2312" w:cs="仿宋"/>
          <w:color w:val="000000"/>
          <w:sz w:val="28"/>
          <w:szCs w:val="28"/>
        </w:rPr>
        <w:t>民法典》第1167条 规定，权利人有权主张其停止侵权行为，如果在案件审理过程中行为人已经停止被控侵权行为，权利人可以当庭放弃停止侵害的主张。</w:t>
      </w:r>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4"/>
        <w:jc w:val="both"/>
        <w:rPr>
          <w:rFonts w:hint="eastAsia" w:ascii="楷体" w:hAnsi="楷体" w:eastAsia="楷体" w:cs="仿宋"/>
          <w:b/>
          <w:bCs/>
          <w:color w:val="000000"/>
          <w:sz w:val="28"/>
          <w:szCs w:val="28"/>
        </w:rPr>
      </w:pPr>
      <w:r>
        <w:rPr>
          <w:rFonts w:hint="eastAsia" w:ascii="楷体" w:hAnsi="楷体" w:eastAsia="楷体" w:cs="仿宋"/>
          <w:b/>
          <w:bCs/>
          <w:color w:val="000000"/>
          <w:sz w:val="28"/>
          <w:szCs w:val="28"/>
        </w:rPr>
        <w:t xml:space="preserve"> 二、赔礼道歉、消除影响</w:t>
      </w:r>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对于行为人实施的侵害权利人商标的行为，如果导致权利人人格、信誉、商誉受损，依据《</w:t>
      </w:r>
      <w:r>
        <w:rPr>
          <w:rFonts w:hint="eastAsia" w:ascii="仿宋_GB2312" w:hAnsi="仿宋" w:eastAsia="仿宋_GB2312" w:cs="仿宋"/>
          <w:color w:val="000000"/>
          <w:sz w:val="28"/>
          <w:szCs w:val="28"/>
          <w:lang w:eastAsia="zh-CN"/>
        </w:rPr>
        <w:t>中华人民共和国</w:t>
      </w:r>
      <w:r>
        <w:rPr>
          <w:rFonts w:hint="eastAsia" w:ascii="仿宋_GB2312" w:hAnsi="仿宋" w:eastAsia="仿宋_GB2312" w:cs="仿宋"/>
          <w:color w:val="000000"/>
          <w:sz w:val="28"/>
          <w:szCs w:val="28"/>
        </w:rPr>
        <w:t>民法典》第1167条 规定，权利人可以根据案件具体类型主张行为人在一定范围内赔礼道歉、消除影响。</w:t>
      </w:r>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4"/>
        <w:jc w:val="both"/>
        <w:rPr>
          <w:rFonts w:hint="eastAsia" w:ascii="楷体" w:hAnsi="楷体" w:eastAsia="楷体" w:cs="仿宋"/>
          <w:b/>
          <w:bCs/>
          <w:color w:val="000000"/>
          <w:sz w:val="28"/>
          <w:szCs w:val="28"/>
        </w:rPr>
      </w:pPr>
      <w:r>
        <w:rPr>
          <w:rFonts w:hint="eastAsia" w:ascii="楷体" w:hAnsi="楷体" w:eastAsia="楷体" w:cs="仿宋"/>
          <w:b/>
          <w:bCs/>
          <w:color w:val="000000"/>
          <w:sz w:val="28"/>
          <w:szCs w:val="28"/>
        </w:rPr>
        <w:t>三、赔偿损失</w:t>
      </w:r>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对于行为人实施的侵害权利人商标的行为，根据《</w:t>
      </w:r>
      <w:r>
        <w:rPr>
          <w:rFonts w:hint="eastAsia" w:ascii="仿宋_GB2312" w:hAnsi="仿宋" w:eastAsia="仿宋_GB2312" w:cs="仿宋"/>
          <w:color w:val="000000"/>
          <w:sz w:val="28"/>
          <w:szCs w:val="28"/>
          <w:lang w:eastAsia="zh-CN"/>
        </w:rPr>
        <w:t>中华人民共和国</w:t>
      </w:r>
      <w:r>
        <w:rPr>
          <w:rFonts w:hint="eastAsia" w:ascii="仿宋_GB2312" w:hAnsi="仿宋" w:eastAsia="仿宋_GB2312" w:cs="仿宋"/>
          <w:color w:val="000000"/>
          <w:sz w:val="28"/>
          <w:szCs w:val="28"/>
        </w:rPr>
        <w:t>民法典》1167、1184、1185条的规定，权利人可主张行为人赔偿财产损失，对于故意侵害他人知识产权的，情节严重的，权利人有权主张相应的惩罚性赔偿，即商标侵权赔偿可主张惩罚性赔偿。但商标侵权损害赔偿以弥补权利人因侵权所遭受的损失为目的，同时考虑商标的使用，除了权利人自己使用，还可以通过与他人签订商标许可使用合同并由对方支付一定的许可使用费后，由他人使用及侵权人恶意侵权的情形。因此根据《</w:t>
      </w:r>
      <w:r>
        <w:rPr>
          <w:rFonts w:hint="eastAsia" w:ascii="仿宋_GB2312" w:hAnsi="仿宋" w:eastAsia="仿宋_GB2312" w:cs="仿宋"/>
          <w:color w:val="000000"/>
          <w:sz w:val="28"/>
          <w:szCs w:val="28"/>
          <w:lang w:eastAsia="zh-CN"/>
        </w:rPr>
        <w:t>中华人民共和国</w:t>
      </w:r>
      <w:r>
        <w:rPr>
          <w:rFonts w:hint="eastAsia" w:ascii="仿宋_GB2312" w:hAnsi="仿宋" w:eastAsia="仿宋_GB2312" w:cs="仿宋"/>
          <w:color w:val="000000"/>
          <w:sz w:val="28"/>
          <w:szCs w:val="28"/>
        </w:rPr>
        <w:t>商标法》第六十三条之规定侵犯商标专用权的赔偿数额，按照权利人因被侵权所受到的实际损失确定；实际损失难以确定的，可以按照侵权人因侵权所获得的利益确定；权利人的损失或者侵权人获得的利益难以确定的，参照该商标许可使用费的倍数合理确定。对恶意侵犯商标专用权，情节严重的，可以在按照上述方法确定数额的一倍以上五倍以下确定赔偿数额。赔偿数额应当包括权利人为制止侵权行为所支付的合理开支。人民法院为确定赔偿数额，在权利人已经尽力举证，而与侵权行为相关的账簿、资料主要由侵权人掌握的情况下，可以责令侵权人提供与侵权行为相关的账簿、资料；侵权人不提供或者提供虚假的账簿、资料的，人民法院可以参考权利人的主张和提供的证据判定赔偿数额。权利人因被侵权所受到的实际损失、侵权人因侵权所获得的利益、注册商标许可使用费难以确定的，由人民法院根据侵权行为的情节判决给予五百万元以下的赔偿。</w:t>
      </w:r>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 w:hAnsi="仿宋" w:eastAsia="仿宋" w:cs="仿宋"/>
          <w:color w:val="000000"/>
          <w:sz w:val="28"/>
          <w:szCs w:val="28"/>
        </w:rPr>
      </w:pPr>
    </w:p>
    <w:p>
      <w:pPr>
        <w:pStyle w:val="2"/>
        <w:keepNext w:val="0"/>
        <w:keepLines w:val="0"/>
        <w:pageBreakBefore w:val="0"/>
        <w:widowControl w:val="0"/>
        <w:tabs>
          <w:tab w:val="left" w:pos="3851"/>
        </w:tabs>
        <w:kinsoku/>
        <w:wordWrap/>
        <w:overflowPunct/>
        <w:topLinePunct w:val="0"/>
        <w:bidi w:val="0"/>
        <w:adjustRightInd/>
        <w:spacing w:beforeAutospacing="0" w:afterAutospacing="0" w:line="500" w:lineRule="exact"/>
        <w:jc w:val="center"/>
        <w:rPr>
          <w:rFonts w:hint="eastAsia" w:ascii="黑体" w:hAnsi="黑体" w:eastAsia="黑体" w:cs="黑体"/>
          <w:b w:val="0"/>
          <w:bCs/>
          <w:color w:val="000000"/>
          <w:sz w:val="28"/>
          <w:szCs w:val="28"/>
        </w:rPr>
      </w:pPr>
      <w:bookmarkStart w:id="237" w:name="_Toc11844"/>
      <w:r>
        <w:rPr>
          <w:rFonts w:hint="eastAsia" w:ascii="黑体" w:hAnsi="黑体" w:eastAsia="黑体" w:cs="黑体"/>
          <w:b w:val="0"/>
          <w:bCs/>
          <w:color w:val="000000"/>
          <w:sz w:val="28"/>
          <w:szCs w:val="28"/>
        </w:rPr>
        <w:t>第五章  商标侵权的被诉抗辩</w:t>
      </w:r>
      <w:bookmarkEnd w:id="237"/>
    </w:p>
    <w:p>
      <w:pPr>
        <w:pStyle w:val="2"/>
        <w:keepNext w:val="0"/>
        <w:keepLines w:val="0"/>
        <w:pageBreakBefore w:val="0"/>
        <w:widowControl w:val="0"/>
        <w:numPr>
          <w:ilvl w:val="0"/>
          <w:numId w:val="167"/>
        </w:numPr>
        <w:tabs>
          <w:tab w:val="left" w:pos="3851"/>
        </w:tabs>
        <w:kinsoku/>
        <w:wordWrap/>
        <w:overflowPunct/>
        <w:topLinePunct w:val="0"/>
        <w:autoSpaceDE w:val="0"/>
        <w:autoSpaceDN w:val="0"/>
        <w:bidi w:val="0"/>
        <w:adjustRightInd/>
        <w:spacing w:beforeAutospacing="0" w:afterAutospacing="0" w:line="500" w:lineRule="exact"/>
        <w:ind w:firstLine="522" w:firstLineChars="200"/>
        <w:rPr>
          <w:rFonts w:hint="eastAsia" w:ascii="楷体" w:hAnsi="楷体" w:eastAsia="楷体" w:cs="仿宋"/>
          <w:color w:val="000000"/>
          <w:sz w:val="28"/>
          <w:szCs w:val="28"/>
        </w:rPr>
      </w:pPr>
      <w:bookmarkStart w:id="238" w:name="_Toc3683"/>
      <w:r>
        <w:rPr>
          <w:rFonts w:hint="eastAsia" w:ascii="楷体" w:hAnsi="楷体" w:eastAsia="楷体" w:cs="仿宋"/>
          <w:color w:val="000000"/>
          <w:sz w:val="28"/>
          <w:szCs w:val="28"/>
        </w:rPr>
        <w:t>诉讼主体不适格抗辩</w:t>
      </w:r>
      <w:bookmarkEnd w:id="238"/>
    </w:p>
    <w:p>
      <w:pPr>
        <w:pStyle w:val="2"/>
        <w:keepNext w:val="0"/>
        <w:keepLines w:val="0"/>
        <w:pageBreakBefore w:val="0"/>
        <w:widowControl w:val="0"/>
        <w:kinsoku/>
        <w:wordWrap/>
        <w:overflowPunct/>
        <w:topLinePunct w:val="0"/>
        <w:bidi w:val="0"/>
        <w:adjustRightInd/>
        <w:spacing w:beforeAutospacing="0" w:afterAutospacing="0" w:line="500" w:lineRule="exact"/>
        <w:ind w:firstLine="522" w:firstLineChars="200"/>
        <w:rPr>
          <w:rFonts w:hint="eastAsia" w:ascii="仿宋_GB2312" w:hAnsi="仿宋" w:eastAsia="仿宋_GB2312" w:cs="仿宋"/>
          <w:b w:val="0"/>
          <w:bCs/>
          <w:color w:val="000000"/>
          <w:sz w:val="28"/>
          <w:szCs w:val="28"/>
        </w:rPr>
      </w:pPr>
      <w:bookmarkStart w:id="239" w:name="_Toc29923"/>
      <w:r>
        <w:rPr>
          <w:rFonts w:hint="eastAsia" w:ascii="仿宋_GB2312" w:hAnsi="仿宋" w:eastAsia="仿宋_GB2312" w:cs="仿宋"/>
          <w:b w:val="0"/>
          <w:color w:val="000000"/>
          <w:sz w:val="28"/>
          <w:szCs w:val="28"/>
          <w:lang w:eastAsia="en-US"/>
        </w:rPr>
        <w:t>根据《最高人民法院关于审理商标</w:t>
      </w: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"https://www.66law.cn/special/msjf/" \t "_blank" \o "民事纠纷"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b w:val="0"/>
          <w:color w:val="000000"/>
          <w:sz w:val="28"/>
          <w:szCs w:val="28"/>
          <w:lang w:eastAsia="en-US"/>
        </w:rPr>
        <w:t>民事纠纷</w:t>
      </w:r>
      <w:r>
        <w:rPr>
          <w:rFonts w:hint="eastAsia" w:ascii="仿宋_GB2312" w:hAnsi="仿宋" w:eastAsia="仿宋_GB2312" w:cs="仿宋"/>
          <w:b w:val="0"/>
          <w:color w:val="000000"/>
          <w:sz w:val="28"/>
          <w:szCs w:val="28"/>
          <w:lang w:eastAsia="en-US"/>
        </w:rPr>
        <w:fldChar w:fldCharType="end"/>
      </w:r>
      <w:r>
        <w:rPr>
          <w:rFonts w:hint="eastAsia" w:ascii="仿宋_GB2312" w:hAnsi="仿宋" w:eastAsia="仿宋_GB2312" w:cs="仿宋"/>
          <w:b w:val="0"/>
          <w:color w:val="000000"/>
          <w:sz w:val="28"/>
          <w:szCs w:val="28"/>
          <w:lang w:eastAsia="en-US"/>
        </w:rPr>
        <w:t>案件适用法律若干问题的解释》的规定，</w:t>
      </w: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"https://www.66law.cn/special/sbqq/" \t "_blank" \o "商标侵权"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b w:val="0"/>
          <w:color w:val="000000"/>
          <w:sz w:val="28"/>
          <w:szCs w:val="28"/>
          <w:lang w:eastAsia="en-US"/>
        </w:rPr>
        <w:t>商标侵权</w:t>
      </w:r>
      <w:r>
        <w:rPr>
          <w:rFonts w:hint="eastAsia" w:ascii="仿宋_GB2312" w:hAnsi="仿宋" w:eastAsia="仿宋_GB2312" w:cs="仿宋"/>
          <w:b w:val="0"/>
          <w:color w:val="000000"/>
          <w:sz w:val="28"/>
          <w:szCs w:val="28"/>
          <w:lang w:eastAsia="en-US"/>
        </w:rPr>
        <w:fldChar w:fldCharType="end"/>
      </w:r>
      <w:r>
        <w:rPr>
          <w:rFonts w:hint="eastAsia" w:ascii="仿宋_GB2312" w:hAnsi="仿宋" w:eastAsia="仿宋_GB2312" w:cs="仿宋"/>
          <w:b w:val="0"/>
          <w:color w:val="000000"/>
          <w:sz w:val="28"/>
          <w:szCs w:val="28"/>
          <w:lang w:eastAsia="en-US"/>
        </w:rPr>
        <w:t>诉讼的原告应当是注册商标的所有权人或者利害关系人，利害关系人包括注册商标使用许可合同的被许可人、注册商标财产权利的合法继承人等。在发生注册商标专用权被侵害时，独占使用许可合同的被许可人可以向人民法院提起诉讼;排他使用许可合同的被许可人可以和</w:t>
      </w: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"https://www.66law.cn/special/shangbiaozhuce/" \t "_blank" \o "商标注册"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b w:val="0"/>
          <w:color w:val="000000"/>
          <w:sz w:val="28"/>
          <w:szCs w:val="28"/>
          <w:lang w:eastAsia="en-US"/>
        </w:rPr>
        <w:t>商标注册</w:t>
      </w:r>
      <w:r>
        <w:rPr>
          <w:rFonts w:hint="eastAsia" w:ascii="仿宋_GB2312" w:hAnsi="仿宋" w:eastAsia="仿宋_GB2312" w:cs="仿宋"/>
          <w:b w:val="0"/>
          <w:color w:val="000000"/>
          <w:sz w:val="28"/>
          <w:szCs w:val="28"/>
          <w:lang w:eastAsia="en-US"/>
        </w:rPr>
        <w:fldChar w:fldCharType="end"/>
      </w:r>
      <w:r>
        <w:rPr>
          <w:rFonts w:hint="eastAsia" w:ascii="仿宋_GB2312" w:hAnsi="仿宋" w:eastAsia="仿宋_GB2312" w:cs="仿宋"/>
          <w:b w:val="0"/>
          <w:color w:val="000000"/>
          <w:sz w:val="28"/>
          <w:szCs w:val="28"/>
          <w:lang w:eastAsia="en-US"/>
        </w:rPr>
        <w:t>人共同起诉，也可以在商标注册人不起诉的情况下，自行提起诉讼;普通使用许可合同的被许可人经商标注册人明确授权，可以提起诉讼。因此，商标侵权案件原告的主体应当符合上述规定，如果原告不符合上述规定，被告可以提出原告诉讼主体不适格的抗辩。</w:t>
      </w:r>
      <w:bookmarkEnd w:id="239"/>
    </w:p>
    <w:p>
      <w:pPr>
        <w:pStyle w:val="2"/>
        <w:keepNext w:val="0"/>
        <w:keepLines w:val="0"/>
        <w:pageBreakBefore w:val="0"/>
        <w:widowControl w:val="0"/>
        <w:kinsoku/>
        <w:wordWrap/>
        <w:overflowPunct/>
        <w:topLinePunct w:val="0"/>
        <w:bidi w:val="0"/>
        <w:adjustRightInd/>
        <w:spacing w:beforeAutospacing="0" w:afterAutospacing="0" w:line="500" w:lineRule="exact"/>
        <w:ind w:firstLine="522" w:firstLineChars="200"/>
        <w:rPr>
          <w:rFonts w:hint="eastAsia" w:ascii="楷体" w:hAnsi="楷体" w:eastAsia="楷体" w:cs="仿宋"/>
          <w:color w:val="000000"/>
          <w:sz w:val="28"/>
          <w:szCs w:val="28"/>
        </w:rPr>
      </w:pPr>
      <w:bookmarkStart w:id="240" w:name="_Toc9404"/>
      <w:r>
        <w:rPr>
          <w:rFonts w:hint="eastAsia" w:ascii="楷体" w:hAnsi="楷体" w:eastAsia="楷体" w:cs="仿宋"/>
          <w:color w:val="000000"/>
          <w:sz w:val="28"/>
          <w:szCs w:val="28"/>
        </w:rPr>
        <w:t>二、被控侵权商标与注册商标不构成相同或类似的抗辩。</w:t>
      </w:r>
      <w:bookmarkEnd w:id="240"/>
    </w:p>
    <w:p>
      <w:pPr>
        <w:pStyle w:val="7"/>
        <w:keepNext w:val="0"/>
        <w:keepLines w:val="0"/>
        <w:pageBreakBefore w:val="0"/>
        <w:widowControl w:val="0"/>
        <w:tabs>
          <w:tab w:val="left" w:pos="1240"/>
        </w:tabs>
        <w:kinsoku/>
        <w:wordWrap/>
        <w:overflowPunct/>
        <w:topLinePunct w:val="0"/>
        <w:bidi w:val="0"/>
        <w:adjustRightInd/>
        <w:spacing w:beforeLines="0" w:beforeAutospacing="0" w:afterLines="0" w:afterAutospacing="0" w:line="500" w:lineRule="exact"/>
        <w:ind w:firstLine="602"/>
        <w:jc w:val="both"/>
        <w:rPr>
          <w:rFonts w:hint="eastAsia" w:ascii="仿宋_GB2312" w:hAnsi="楷体" w:eastAsia="仿宋_GB2312" w:cs="仿宋"/>
          <w:color w:val="000000"/>
          <w:sz w:val="28"/>
          <w:szCs w:val="28"/>
        </w:rPr>
      </w:pPr>
      <w:r>
        <w:rPr>
          <w:rFonts w:hint="eastAsia" w:ascii="仿宋_GB2312" w:hAnsi="楷体" w:eastAsia="仿宋_GB2312" w:cs="仿宋"/>
          <w:color w:val="000000"/>
          <w:sz w:val="28"/>
          <w:szCs w:val="28"/>
        </w:rPr>
        <w:t>根据商标法的规定，未经商标注册人的许可，在同一种商品上使用与其注册商标相同的商标的；在同一种商品上使用与其注册商标近似的商标，或者在类似商品上使用与其注册商标相同或者近似的商标，容易导致混淆的。首先，确定注册商标专用权的权利范围，应当以核准注册的商标和核定使用的商品为限。而不能以注册商标所有人实际使用的商标和该商标实际使用的商品为准。其次，确定被控侵权的具体对象，被控侵权的商标，接下来将被控侵权对象与注册商标和该注册商标所核定使用的商品进行比较，认定被控侵权的商标与注册商标是否相同或者近似，以及被控侵权商标所使用的商品与该注册商标所核定使用的商品是否属于同一种类或者相类似。判断近似商标时所称的近似需要达到了易造成混淆的程度，即将该商标使用在与注册商标核定使用的商品相同或者类似的商品上，普通消费者可能会对商品的来源产生错误的认识。比较时应当采用隔离观察、整体观察和要部观察的具体比较方法。第三，是被控侵权的商标所使用的商品。根据《最高人民法院关于审理商标民事纠纷案件适用法律若干问题的解释》第十一条</w:t>
      </w:r>
      <w:r>
        <w:rPr>
          <w:rFonts w:hint="eastAsia" w:ascii="仿宋_GB2312" w:hAnsi="楷体" w:eastAsia="仿宋_GB2312" w:cs="仿宋"/>
          <w:color w:val="000000"/>
          <w:sz w:val="28"/>
          <w:szCs w:val="28"/>
          <w:lang w:eastAsia="zh-CN"/>
        </w:rPr>
        <w:t xml:space="preserve"> </w:t>
      </w:r>
      <w:r>
        <w:rPr>
          <w:rFonts w:hint="eastAsia" w:ascii="仿宋_GB2312" w:hAnsi="楷体" w:eastAsia="仿宋_GB2312" w:cs="仿宋"/>
          <w:color w:val="000000"/>
          <w:sz w:val="28"/>
          <w:szCs w:val="28"/>
        </w:rPr>
        <w:t>商标法第五十七条</w:t>
      </w:r>
      <w:r>
        <w:rPr>
          <w:rFonts w:hint="eastAsia" w:ascii="仿宋_GB2312" w:hAnsi="楷体" w:eastAsia="仿宋_GB2312" w:cs="仿宋"/>
          <w:color w:val="000000"/>
          <w:sz w:val="28"/>
          <w:szCs w:val="28"/>
          <w:lang w:eastAsia="zh-CN"/>
        </w:rPr>
        <w:t>第（二）项</w:t>
      </w:r>
      <w:r>
        <w:rPr>
          <w:rFonts w:hint="eastAsia" w:ascii="仿宋_GB2312" w:hAnsi="楷体" w:eastAsia="仿宋_GB2312" w:cs="仿宋"/>
          <w:color w:val="000000"/>
          <w:sz w:val="28"/>
          <w:szCs w:val="28"/>
        </w:rPr>
        <w:t>规定的类似商品，是指在功能、用途、生产部门、销售渠道、消费对象等方面相同，或者相关公众一般认为其存在特定联系、容易造成混淆的商品。类似服务，是指在服务的目的、内容、方式、对象等方面相同，或者相关公众一般认为存在特定联系容易造成混淆的服务。商品与服务类似， 是指商品和服务之间存在特定联系，容易使相关公众混淆。如果经过上述比较得出商标不相同或者不相近似或者产品不属于同一种商品或者类似商品，就可认定不构成侵权。</w:t>
      </w:r>
    </w:p>
    <w:p>
      <w:pPr>
        <w:pStyle w:val="2"/>
        <w:keepNext w:val="0"/>
        <w:keepLines w:val="0"/>
        <w:pageBreakBefore w:val="0"/>
        <w:widowControl w:val="0"/>
        <w:kinsoku/>
        <w:wordWrap/>
        <w:overflowPunct/>
        <w:topLinePunct w:val="0"/>
        <w:bidi w:val="0"/>
        <w:adjustRightInd/>
        <w:spacing w:beforeAutospacing="0" w:afterAutospacing="0" w:line="500" w:lineRule="exact"/>
        <w:ind w:firstLine="522" w:firstLineChars="200"/>
        <w:rPr>
          <w:rFonts w:hint="eastAsia" w:ascii="楷体" w:hAnsi="楷体" w:eastAsia="楷体" w:cs="仿宋"/>
          <w:color w:val="000000"/>
          <w:sz w:val="28"/>
          <w:szCs w:val="28"/>
        </w:rPr>
      </w:pPr>
      <w:bookmarkStart w:id="241" w:name="_Toc17238"/>
      <w:r>
        <w:rPr>
          <w:rFonts w:hint="eastAsia" w:ascii="楷体" w:hAnsi="楷体" w:eastAsia="楷体" w:cs="仿宋"/>
          <w:color w:val="000000"/>
          <w:sz w:val="28"/>
          <w:szCs w:val="28"/>
        </w:rPr>
        <w:t>三、在先使用抗辩</w:t>
      </w:r>
      <w:bookmarkEnd w:id="241"/>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w:t>
      </w:r>
      <w:r>
        <w:rPr>
          <w:rFonts w:hint="eastAsia" w:ascii="仿宋_GB2312" w:hAnsi="仿宋" w:eastAsia="仿宋_GB2312" w:cs="仿宋"/>
          <w:color w:val="000000"/>
          <w:sz w:val="28"/>
          <w:szCs w:val="28"/>
          <w:lang w:eastAsia="zh-CN"/>
        </w:rPr>
        <w:t>中华人民共和国</w:t>
      </w:r>
      <w:r>
        <w:rPr>
          <w:rFonts w:hint="eastAsia" w:ascii="仿宋_GB2312" w:hAnsi="仿宋" w:eastAsia="仿宋_GB2312" w:cs="仿宋"/>
          <w:color w:val="000000"/>
          <w:sz w:val="28"/>
          <w:szCs w:val="28"/>
        </w:rPr>
        <w:t>商标法》第五十九条商标注册人申请商标注册前，他人已经在同一种商品或者类似商品上先于商标注册人使用与注册商标相同或者近似并有一定影响的商标的，注册商标专用权人无权禁止该使用人在原使用范围内继续使用该商标，但可以要求其附加适当区别标识。</w:t>
      </w:r>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为了平衡在先商标使用人与商标注册人之间的利益，《</w:t>
      </w:r>
      <w:r>
        <w:rPr>
          <w:rFonts w:hint="eastAsia" w:ascii="仿宋_GB2312" w:hAnsi="仿宋" w:eastAsia="仿宋_GB2312" w:cs="仿宋"/>
          <w:color w:val="000000"/>
          <w:sz w:val="28"/>
          <w:szCs w:val="28"/>
          <w:lang w:eastAsia="zh-CN"/>
        </w:rPr>
        <w:t>中华人民共和国</w:t>
      </w:r>
      <w:r>
        <w:rPr>
          <w:rFonts w:hint="eastAsia" w:ascii="仿宋_GB2312" w:hAnsi="仿宋" w:eastAsia="仿宋_GB2312" w:cs="仿宋"/>
          <w:color w:val="000000"/>
          <w:sz w:val="28"/>
          <w:szCs w:val="28"/>
        </w:rPr>
        <w:t>商标法》对在先使用的驰名商标、在先使用并有一定影响的商标给予了保护。在符合下列条件的前提下，被告可以在先使用未注册商标进行有效抗辩：</w:t>
      </w:r>
    </w:p>
    <w:p>
      <w:pPr>
        <w:pStyle w:val="7"/>
        <w:keepNext w:val="0"/>
        <w:keepLines w:val="0"/>
        <w:pageBreakBefore w:val="0"/>
        <w:widowControl w:val="0"/>
        <w:numPr>
          <w:ilvl w:val="0"/>
          <w:numId w:val="168"/>
        </w:numPr>
        <w:kinsoku/>
        <w:wordWrap/>
        <w:overflowPunct/>
        <w:topLinePunct w:val="0"/>
        <w:bidi w:val="0"/>
        <w:adjustRightInd/>
        <w:spacing w:beforeLines="0" w:beforeAutospacing="0" w:afterLines="0" w:afterAutospacing="0" w:line="500" w:lineRule="exact"/>
        <w:ind w:firstLineChars="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被控侵权商标在原告注册商标申请日前使用。</w:t>
      </w:r>
    </w:p>
    <w:p>
      <w:pPr>
        <w:pStyle w:val="7"/>
        <w:keepNext w:val="0"/>
        <w:keepLines w:val="0"/>
        <w:pageBreakBefore w:val="0"/>
        <w:widowControl w:val="0"/>
        <w:numPr>
          <w:ilvl w:val="0"/>
          <w:numId w:val="168"/>
        </w:numPr>
        <w:kinsoku/>
        <w:wordWrap/>
        <w:overflowPunct/>
        <w:topLinePunct w:val="0"/>
        <w:bidi w:val="0"/>
        <w:adjustRightInd/>
        <w:spacing w:beforeLines="0" w:beforeAutospacing="0" w:afterLines="0" w:afterAutospacing="0" w:line="500" w:lineRule="exact"/>
        <w:ind w:firstLineChars="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被控侵权商标与注册商标相同或近似。</w:t>
      </w:r>
    </w:p>
    <w:p>
      <w:pPr>
        <w:pStyle w:val="7"/>
        <w:keepNext w:val="0"/>
        <w:keepLines w:val="0"/>
        <w:pageBreakBefore w:val="0"/>
        <w:widowControl w:val="0"/>
        <w:numPr>
          <w:ilvl w:val="0"/>
          <w:numId w:val="168"/>
        </w:numPr>
        <w:kinsoku/>
        <w:wordWrap/>
        <w:overflowPunct/>
        <w:topLinePunct w:val="0"/>
        <w:bidi w:val="0"/>
        <w:adjustRightInd/>
        <w:spacing w:beforeLines="0" w:beforeAutospacing="0" w:afterLines="0" w:afterAutospacing="0" w:line="500" w:lineRule="exact"/>
        <w:ind w:firstLineChars="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在先使用的商标已具有一定知名度形成一定的影响力，对知名度的要求无需过高，并不要求在全国范围内知名，只要为一定区域的消费者认可，被告也可以此进行抗辩。</w:t>
      </w:r>
    </w:p>
    <w:p>
      <w:pPr>
        <w:pStyle w:val="2"/>
        <w:keepNext w:val="0"/>
        <w:keepLines w:val="0"/>
        <w:pageBreakBefore w:val="0"/>
        <w:widowControl w:val="0"/>
        <w:kinsoku/>
        <w:wordWrap/>
        <w:overflowPunct/>
        <w:topLinePunct w:val="0"/>
        <w:bidi w:val="0"/>
        <w:adjustRightInd/>
        <w:spacing w:beforeAutospacing="0" w:afterAutospacing="0" w:line="500" w:lineRule="exact"/>
        <w:ind w:firstLine="522" w:firstLineChars="200"/>
        <w:rPr>
          <w:rFonts w:hint="eastAsia" w:ascii="楷体" w:hAnsi="楷体" w:eastAsia="楷体" w:cs="仿宋"/>
          <w:color w:val="000000"/>
          <w:sz w:val="28"/>
          <w:szCs w:val="28"/>
        </w:rPr>
      </w:pPr>
      <w:bookmarkStart w:id="242" w:name="_Toc5251"/>
      <w:r>
        <w:rPr>
          <w:rFonts w:hint="eastAsia" w:ascii="楷体" w:hAnsi="楷体" w:eastAsia="楷体" w:cs="仿宋"/>
          <w:color w:val="000000"/>
          <w:sz w:val="28"/>
          <w:szCs w:val="28"/>
        </w:rPr>
        <w:t>四、合法来源抗辩</w:t>
      </w:r>
      <w:bookmarkEnd w:id="242"/>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w:t>
      </w:r>
      <w:r>
        <w:rPr>
          <w:rFonts w:hint="eastAsia" w:ascii="仿宋_GB2312" w:hAnsi="仿宋" w:eastAsia="仿宋_GB2312" w:cs="仿宋"/>
          <w:color w:val="000000"/>
          <w:sz w:val="28"/>
          <w:szCs w:val="28"/>
          <w:lang w:eastAsia="zh-CN"/>
        </w:rPr>
        <w:t>中华人民共和国</w:t>
      </w:r>
      <w:r>
        <w:rPr>
          <w:rFonts w:hint="eastAsia" w:ascii="仿宋_GB2312" w:hAnsi="仿宋" w:eastAsia="仿宋_GB2312" w:cs="仿宋"/>
          <w:color w:val="000000"/>
          <w:sz w:val="28"/>
          <w:szCs w:val="28"/>
        </w:rPr>
        <w:t>商标法》第六十四条销售不知道是侵犯注册商标专用权的商品，能证明该商品是自己合法取得并说明提供者的，不承担赔偿责任。该条规定了商标侵权被告（销售商）的赔偿损失法律责任承担的免责抗辩理由，即在未知的情况下销售了侵犯注册商标专用权的商品，若能证明该商品是自己合法取得并说明提供者的，那么即使构成侵权也不承担赔偿责任。但是，并非所有销售“合法取得”的侵权商品都可以免除侵权责任。还应当结合销售方是否尽到必要的审查注意义务，进而合理确定侵权责任的承担。</w:t>
      </w:r>
    </w:p>
    <w:p>
      <w:pPr>
        <w:pStyle w:val="2"/>
        <w:keepNext w:val="0"/>
        <w:keepLines w:val="0"/>
        <w:pageBreakBefore w:val="0"/>
        <w:widowControl w:val="0"/>
        <w:numPr>
          <w:ilvl w:val="0"/>
          <w:numId w:val="169"/>
        </w:numPr>
        <w:kinsoku/>
        <w:wordWrap/>
        <w:overflowPunct/>
        <w:topLinePunct w:val="0"/>
        <w:autoSpaceDE w:val="0"/>
        <w:autoSpaceDN w:val="0"/>
        <w:bidi w:val="0"/>
        <w:adjustRightInd/>
        <w:spacing w:beforeAutospacing="0" w:afterAutospacing="0" w:line="500" w:lineRule="exact"/>
        <w:ind w:firstLine="522" w:firstLineChars="200"/>
        <w:rPr>
          <w:rFonts w:hint="eastAsia" w:ascii="楷体" w:hAnsi="楷体" w:eastAsia="楷体" w:cs="仿宋"/>
          <w:color w:val="000000"/>
          <w:sz w:val="28"/>
          <w:szCs w:val="28"/>
        </w:rPr>
      </w:pPr>
      <w:bookmarkStart w:id="243" w:name="_Toc13243"/>
      <w:r>
        <w:rPr>
          <w:rFonts w:hint="eastAsia" w:ascii="楷体" w:hAnsi="楷体" w:eastAsia="楷体" w:cs="仿宋"/>
          <w:color w:val="000000"/>
          <w:sz w:val="28"/>
          <w:szCs w:val="28"/>
        </w:rPr>
        <w:t>权利商标瑕疵抗辩</w:t>
      </w:r>
      <w:bookmarkEnd w:id="243"/>
    </w:p>
    <w:p>
      <w:pPr>
        <w:pStyle w:val="2"/>
        <w:keepNext w:val="0"/>
        <w:keepLines w:val="0"/>
        <w:pageBreakBefore w:val="0"/>
        <w:widowControl w:val="0"/>
        <w:kinsoku/>
        <w:wordWrap/>
        <w:overflowPunct/>
        <w:topLinePunct w:val="0"/>
        <w:bidi w:val="0"/>
        <w:adjustRightInd/>
        <w:spacing w:beforeAutospacing="0" w:afterAutospacing="0" w:line="500" w:lineRule="exact"/>
        <w:ind w:firstLine="522" w:firstLineChars="200"/>
        <w:rPr>
          <w:rFonts w:hint="eastAsia" w:ascii="仿宋_GB2312" w:hAnsi="仿宋" w:eastAsia="仿宋_GB2312" w:cs="仿宋"/>
          <w:bCs/>
          <w:color w:val="000000"/>
          <w:sz w:val="28"/>
          <w:szCs w:val="28"/>
        </w:rPr>
      </w:pPr>
      <w:bookmarkStart w:id="244" w:name="_Toc4292"/>
      <w:r>
        <w:rPr>
          <w:rFonts w:hint="eastAsia" w:ascii="仿宋_GB2312" w:hAnsi="仿宋" w:eastAsia="仿宋_GB2312" w:cs="仿宋"/>
          <w:color w:val="000000"/>
          <w:sz w:val="28"/>
          <w:szCs w:val="28"/>
        </w:rPr>
        <w:t>（一）权利商标非规范性使用抗辩</w:t>
      </w:r>
      <w:bookmarkEnd w:id="244"/>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eastAsia="zh-CN"/>
        </w:rPr>
        <w:t>1.</w:t>
      </w:r>
      <w:r>
        <w:rPr>
          <w:rFonts w:hint="eastAsia" w:ascii="仿宋_GB2312" w:hAnsi="仿宋" w:eastAsia="仿宋_GB2312" w:cs="仿宋"/>
          <w:color w:val="000000"/>
          <w:sz w:val="28"/>
          <w:szCs w:val="28"/>
        </w:rPr>
        <w:t>《</w:t>
      </w:r>
      <w:r>
        <w:rPr>
          <w:rFonts w:hint="eastAsia" w:ascii="仿宋_GB2312" w:hAnsi="仿宋" w:eastAsia="仿宋_GB2312" w:cs="仿宋"/>
          <w:color w:val="000000"/>
          <w:sz w:val="28"/>
          <w:szCs w:val="28"/>
          <w:lang w:eastAsia="zh-CN"/>
        </w:rPr>
        <w:t>中华人民共和国</w:t>
      </w:r>
      <w:r>
        <w:rPr>
          <w:rFonts w:hint="eastAsia" w:ascii="仿宋_GB2312" w:hAnsi="仿宋" w:eastAsia="仿宋_GB2312" w:cs="仿宋"/>
          <w:color w:val="000000"/>
          <w:sz w:val="28"/>
          <w:szCs w:val="28"/>
        </w:rPr>
        <w:t>商标法》第四十九条 商标注册人在使用注册商标的过程中，自行改变注册商标、注册人名义、地址或者其他注册事项的，由地方工商行政管理部门责令限期改正；期满不改正的，由商标局撤销其注册商标。</w:t>
      </w:r>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eastAsia="zh-CN"/>
        </w:rPr>
        <w:t>2.</w:t>
      </w:r>
      <w:r>
        <w:rPr>
          <w:rFonts w:hint="eastAsia" w:ascii="仿宋_GB2312" w:hAnsi="仿宋" w:eastAsia="仿宋_GB2312" w:cs="仿宋"/>
          <w:color w:val="000000"/>
          <w:sz w:val="28"/>
          <w:szCs w:val="28"/>
        </w:rPr>
        <w:t>第五十六条 注册商标的专用权，以核准注册的商标和核定使用的商品为限。</w:t>
      </w:r>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根据以上规定，如果原告使用注册商标的过程中自行改变了注册商标，对注册商标进行非规范性的使用，被告可以以权利商标并非对注册商标的使用为由进行抗辩。</w:t>
      </w:r>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注意：权利商标非规范性使用抗辩可以影响赔偿损失中数额的认定，但对侵权行为是否成立不产生实质性影响。</w:t>
      </w:r>
    </w:p>
    <w:p>
      <w:pPr>
        <w:pStyle w:val="2"/>
        <w:keepNext w:val="0"/>
        <w:keepLines w:val="0"/>
        <w:pageBreakBefore w:val="0"/>
        <w:widowControl w:val="0"/>
        <w:kinsoku/>
        <w:wordWrap/>
        <w:overflowPunct/>
        <w:topLinePunct w:val="0"/>
        <w:bidi w:val="0"/>
        <w:adjustRightInd/>
        <w:spacing w:beforeAutospacing="0" w:afterAutospacing="0" w:line="500" w:lineRule="exact"/>
        <w:ind w:firstLine="522" w:firstLineChars="200"/>
        <w:rPr>
          <w:rFonts w:hint="eastAsia" w:ascii="仿宋_GB2312" w:hAnsi="仿宋" w:eastAsia="仿宋_GB2312" w:cs="仿宋"/>
          <w:bCs/>
          <w:color w:val="000000"/>
          <w:sz w:val="28"/>
          <w:szCs w:val="28"/>
        </w:rPr>
      </w:pPr>
      <w:bookmarkStart w:id="245" w:name="_Toc12491"/>
      <w:r>
        <w:rPr>
          <w:rFonts w:hint="eastAsia" w:ascii="仿宋_GB2312" w:hAnsi="仿宋" w:eastAsia="仿宋_GB2312" w:cs="仿宋"/>
          <w:color w:val="000000"/>
          <w:sz w:val="28"/>
          <w:szCs w:val="28"/>
        </w:rPr>
        <w:t>（二）商标连续三年不使用撤销抗辩</w:t>
      </w:r>
      <w:bookmarkEnd w:id="245"/>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eastAsia="zh-CN"/>
        </w:rPr>
        <w:t>1.</w:t>
      </w:r>
      <w:r>
        <w:rPr>
          <w:rFonts w:hint="eastAsia" w:ascii="仿宋_GB2312" w:hAnsi="仿宋" w:eastAsia="仿宋_GB2312" w:cs="仿宋"/>
          <w:color w:val="000000"/>
          <w:sz w:val="28"/>
          <w:szCs w:val="28"/>
        </w:rPr>
        <w:t>《</w:t>
      </w:r>
      <w:r>
        <w:rPr>
          <w:rFonts w:hint="eastAsia" w:ascii="仿宋_GB2312" w:hAnsi="仿宋" w:eastAsia="仿宋_GB2312" w:cs="仿宋"/>
          <w:color w:val="000000"/>
          <w:sz w:val="28"/>
          <w:szCs w:val="28"/>
          <w:lang w:eastAsia="zh-CN"/>
        </w:rPr>
        <w:t>中华人民共和国</w:t>
      </w:r>
      <w:r>
        <w:rPr>
          <w:rFonts w:hint="eastAsia" w:ascii="仿宋_GB2312" w:hAnsi="仿宋" w:eastAsia="仿宋_GB2312" w:cs="仿宋"/>
          <w:color w:val="000000"/>
          <w:sz w:val="28"/>
          <w:szCs w:val="28"/>
        </w:rPr>
        <w:t>商标法》第四十九条</w:t>
      </w:r>
      <w:r>
        <w:rPr>
          <w:rFonts w:hint="eastAsia" w:ascii="仿宋_GB2312" w:hAnsi="仿宋" w:eastAsia="仿宋_GB2312" w:cs="仿宋"/>
          <w:color w:val="000000"/>
          <w:sz w:val="28"/>
          <w:szCs w:val="28"/>
          <w:lang w:eastAsia="zh-CN"/>
        </w:rPr>
        <w:t xml:space="preserve"> </w:t>
      </w:r>
      <w:r>
        <w:rPr>
          <w:rFonts w:hint="eastAsia" w:ascii="仿宋_GB2312" w:hAnsi="仿宋" w:eastAsia="仿宋_GB2312" w:cs="仿宋"/>
          <w:color w:val="000000"/>
          <w:sz w:val="28"/>
          <w:szCs w:val="28"/>
        </w:rPr>
        <w:t>注册商标成为其核定使用的商品的通用名称或者没有正当理由连续三年不使用的，任何单位或者个人可以向商 标局申请撤销该注册商标。</w:t>
      </w:r>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eastAsia="zh-CN"/>
        </w:rPr>
        <w:t>2.</w:t>
      </w:r>
      <w:r>
        <w:rPr>
          <w:rFonts w:hint="eastAsia" w:ascii="仿宋_GB2312" w:hAnsi="仿宋" w:eastAsia="仿宋_GB2312" w:cs="仿宋"/>
          <w:color w:val="000000"/>
          <w:sz w:val="28"/>
          <w:szCs w:val="28"/>
        </w:rPr>
        <w:t>第六十四条 注册商标专用权人请求赔偿，被控侵权人以注册商标专用权人未使用注册商标提出抗辩的，人民法院可以要求注册商标专用权人提供此前三年内实际使用该注册商标的证据。注册商标专用权人不能证明此前三年内实际使用过该注册商标，也不能证明因侵权行为受到其他损失的，被控侵权人不承担赔偿责任。</w:t>
      </w:r>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因此，如果经调查注册商标权利人已连续三年没有使用注册商标，被告可以向商标局对原告注册商标提出连续三年未使用的撤销申请，并可以向法院提出中止审查。是否中止由人民法院依据职权予以审查。</w:t>
      </w:r>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注意：商标连续三年不使用撤销抗辩可以影响赔偿损失中数额的认定，但对侵权行为是否成立不产生实质性影响。</w:t>
      </w:r>
    </w:p>
    <w:p>
      <w:pPr>
        <w:pStyle w:val="2"/>
        <w:keepNext w:val="0"/>
        <w:keepLines w:val="0"/>
        <w:pageBreakBefore w:val="0"/>
        <w:widowControl w:val="0"/>
        <w:kinsoku/>
        <w:wordWrap/>
        <w:overflowPunct/>
        <w:topLinePunct w:val="0"/>
        <w:bidi w:val="0"/>
        <w:adjustRightInd/>
        <w:spacing w:beforeAutospacing="0" w:afterAutospacing="0" w:line="500" w:lineRule="exact"/>
        <w:ind w:firstLine="522" w:firstLineChars="200"/>
        <w:rPr>
          <w:rFonts w:hint="eastAsia" w:ascii="楷体" w:hAnsi="楷体" w:eastAsia="楷体" w:cs="仿宋"/>
          <w:color w:val="000000"/>
          <w:sz w:val="28"/>
          <w:szCs w:val="28"/>
        </w:rPr>
      </w:pPr>
      <w:bookmarkStart w:id="246" w:name="_Toc13765"/>
      <w:r>
        <w:rPr>
          <w:rFonts w:hint="eastAsia" w:ascii="楷体" w:hAnsi="楷体" w:eastAsia="楷体" w:cs="仿宋"/>
          <w:color w:val="000000"/>
          <w:sz w:val="28"/>
          <w:szCs w:val="28"/>
          <w:lang w:val="en-US" w:eastAsia="zh-CN"/>
        </w:rPr>
        <w:t>六</w:t>
      </w:r>
      <w:r>
        <w:rPr>
          <w:rFonts w:hint="eastAsia" w:ascii="楷体" w:hAnsi="楷体" w:eastAsia="楷体" w:cs="仿宋"/>
          <w:color w:val="000000"/>
          <w:sz w:val="28"/>
          <w:szCs w:val="28"/>
        </w:rPr>
        <w:t>、正当使用抗辩</w:t>
      </w:r>
      <w:bookmarkEnd w:id="246"/>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eastAsia="zh-CN"/>
        </w:rPr>
        <w:t>《中华人民共和国商标法》</w:t>
      </w:r>
      <w:r>
        <w:rPr>
          <w:rFonts w:hint="eastAsia" w:ascii="仿宋_GB2312" w:hAnsi="仿宋" w:eastAsia="仿宋_GB2312" w:cs="仿宋"/>
          <w:color w:val="000000"/>
          <w:sz w:val="28"/>
          <w:szCs w:val="28"/>
        </w:rPr>
        <w:t>第五十九条 注册商标中含有的本商品的通用名称、图形、型号， 或者直接表示商品的质量、主要原料、功能、用途、重量、数量及其他特点，或者含有的地名，注册商标专用权人无权禁止他人正当使用。</w:t>
      </w:r>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三维标志注册商标中含有的商品自身的性质产生的形状、为获得技术效果而需有的商品形状或者使商品具有实质性价值的形状，注册商标专用权人无权禁止他人正当使用。主要包括以下几种使用方式：</w:t>
      </w:r>
    </w:p>
    <w:p>
      <w:pPr>
        <w:pStyle w:val="2"/>
        <w:keepNext w:val="0"/>
        <w:keepLines w:val="0"/>
        <w:pageBreakBefore w:val="0"/>
        <w:widowControl w:val="0"/>
        <w:kinsoku/>
        <w:wordWrap/>
        <w:overflowPunct/>
        <w:topLinePunct w:val="0"/>
        <w:bidi w:val="0"/>
        <w:adjustRightInd/>
        <w:spacing w:beforeAutospacing="0" w:afterAutospacing="0" w:line="500" w:lineRule="exact"/>
        <w:ind w:firstLine="522" w:firstLineChars="200"/>
        <w:rPr>
          <w:rFonts w:hint="eastAsia" w:ascii="仿宋_GB2312" w:hAnsi="仿宋" w:eastAsia="仿宋_GB2312" w:cs="仿宋"/>
          <w:bCs/>
          <w:color w:val="000000"/>
          <w:sz w:val="28"/>
          <w:szCs w:val="28"/>
        </w:rPr>
      </w:pPr>
      <w:bookmarkStart w:id="247" w:name="_Toc6229"/>
      <w:r>
        <w:rPr>
          <w:rFonts w:hint="eastAsia" w:ascii="仿宋_GB2312" w:hAnsi="仿宋" w:eastAsia="仿宋_GB2312" w:cs="仿宋"/>
          <w:color w:val="000000"/>
          <w:sz w:val="28"/>
          <w:szCs w:val="28"/>
        </w:rPr>
        <w:t>1、通用名称的正当使用</w:t>
      </w:r>
      <w:bookmarkEnd w:id="247"/>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相对于特有名称而言，通用名称是指在一定范围内被普遍使用的某一商品种类的名称。根据形成过程和原因，通用名称可分为二类：一是规范的商品名称，如在国家标准、行业标准以及专业工具书、辞典中载明的商品名称；二是约定俗成的商品名称、普遍使用的表示某类商品的通用名称或商品名称的简称。</w:t>
      </w:r>
    </w:p>
    <w:p>
      <w:pPr>
        <w:pStyle w:val="2"/>
        <w:keepNext w:val="0"/>
        <w:keepLines w:val="0"/>
        <w:pageBreakBefore w:val="0"/>
        <w:widowControl w:val="0"/>
        <w:kinsoku/>
        <w:wordWrap/>
        <w:overflowPunct/>
        <w:topLinePunct w:val="0"/>
        <w:bidi w:val="0"/>
        <w:adjustRightInd/>
        <w:spacing w:beforeAutospacing="0" w:afterAutospacing="0" w:line="500" w:lineRule="exact"/>
        <w:ind w:firstLine="522" w:firstLineChars="200"/>
        <w:rPr>
          <w:rFonts w:hint="eastAsia" w:ascii="仿宋_GB2312" w:hAnsi="仿宋" w:eastAsia="仿宋_GB2312" w:cs="仿宋"/>
          <w:bCs/>
          <w:color w:val="000000"/>
          <w:sz w:val="28"/>
          <w:szCs w:val="28"/>
        </w:rPr>
      </w:pPr>
      <w:bookmarkStart w:id="248" w:name="_Toc31259"/>
      <w:r>
        <w:rPr>
          <w:rFonts w:hint="eastAsia" w:ascii="仿宋_GB2312" w:hAnsi="仿宋" w:eastAsia="仿宋_GB2312" w:cs="仿宋"/>
          <w:color w:val="000000"/>
          <w:sz w:val="28"/>
          <w:szCs w:val="28"/>
        </w:rPr>
        <w:t>2、地名的正当使用</w:t>
      </w:r>
      <w:bookmarkEnd w:id="248"/>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地名是指具有特定空间位置和地域范围的地理实体的专有名称，包括行政区划的地理名称、自然地理区域的名称等。由于地名是标示特定地理实体的词汇，属于公共资源，为社会公众所共享，故《</w:t>
      </w:r>
      <w:r>
        <w:rPr>
          <w:rFonts w:hint="eastAsia" w:ascii="仿宋_GB2312" w:hAnsi="仿宋" w:eastAsia="仿宋_GB2312" w:cs="仿宋"/>
          <w:color w:val="000000"/>
          <w:sz w:val="28"/>
          <w:szCs w:val="28"/>
          <w:lang w:eastAsia="zh-CN"/>
        </w:rPr>
        <w:t>中华人民共和国</w:t>
      </w:r>
      <w:r>
        <w:rPr>
          <w:rFonts w:hint="eastAsia" w:ascii="仿宋_GB2312" w:hAnsi="仿宋" w:eastAsia="仿宋_GB2312" w:cs="仿宋"/>
          <w:color w:val="000000"/>
          <w:sz w:val="28"/>
          <w:szCs w:val="28"/>
        </w:rPr>
        <w:t>商标法》规定，县级以上行政区划的地名以及为公众知晓的外国地名，不得作为商标注册，但地名具有其他含义或者作为集体商标、证明商标组成部分的除外。但对于已注册为商标的具有第二含义的地名、县级以下行政区划地名以及自然地理名称等，由于其兼具商标法律属性和地名自然属性，两者相互交叉，因此在涉及地名商标的商标侵权诉讼中，可就涉及地名商标正当使用抗辩。</w:t>
      </w:r>
    </w:p>
    <w:p>
      <w:pPr>
        <w:pStyle w:val="2"/>
        <w:keepNext w:val="0"/>
        <w:keepLines w:val="0"/>
        <w:pageBreakBefore w:val="0"/>
        <w:widowControl w:val="0"/>
        <w:tabs>
          <w:tab w:val="left" w:pos="3851"/>
        </w:tabs>
        <w:kinsoku/>
        <w:wordWrap/>
        <w:overflowPunct/>
        <w:topLinePunct w:val="0"/>
        <w:bidi w:val="0"/>
        <w:adjustRightInd/>
        <w:spacing w:beforeAutospacing="0" w:afterAutospacing="0" w:line="500" w:lineRule="exact"/>
        <w:jc w:val="center"/>
        <w:outlineLvl w:val="9"/>
        <w:rPr>
          <w:rFonts w:hint="eastAsia" w:ascii="黑体" w:hAnsi="黑体" w:eastAsia="黑体" w:cs="黑体"/>
          <w:b w:val="0"/>
          <w:bCs/>
          <w:color w:val="000000"/>
          <w:sz w:val="28"/>
          <w:szCs w:val="28"/>
        </w:rPr>
      </w:pPr>
    </w:p>
    <w:p>
      <w:pPr>
        <w:pStyle w:val="2"/>
        <w:keepNext w:val="0"/>
        <w:keepLines w:val="0"/>
        <w:pageBreakBefore w:val="0"/>
        <w:widowControl w:val="0"/>
        <w:tabs>
          <w:tab w:val="left" w:pos="3851"/>
        </w:tabs>
        <w:kinsoku/>
        <w:wordWrap/>
        <w:overflowPunct/>
        <w:topLinePunct w:val="0"/>
        <w:bidi w:val="0"/>
        <w:adjustRightInd/>
        <w:spacing w:beforeAutospacing="0" w:afterAutospacing="0" w:line="500" w:lineRule="exact"/>
        <w:jc w:val="center"/>
        <w:rPr>
          <w:rFonts w:hint="eastAsia" w:ascii="黑体" w:hAnsi="黑体" w:eastAsia="黑体" w:cs="黑体"/>
          <w:b w:val="0"/>
          <w:bCs/>
          <w:color w:val="000000"/>
          <w:sz w:val="28"/>
          <w:szCs w:val="28"/>
        </w:rPr>
      </w:pPr>
      <w:bookmarkStart w:id="249" w:name="_Toc24222"/>
      <w:r>
        <w:rPr>
          <w:rFonts w:hint="eastAsia" w:ascii="黑体" w:hAnsi="黑体" w:eastAsia="黑体" w:cs="黑体"/>
          <w:b w:val="0"/>
          <w:bCs/>
          <w:color w:val="000000"/>
          <w:sz w:val="28"/>
          <w:szCs w:val="28"/>
        </w:rPr>
        <w:t>第六章  注意事项</w:t>
      </w:r>
      <w:bookmarkEnd w:id="249"/>
    </w:p>
    <w:p>
      <w:pPr>
        <w:keepNext w:val="0"/>
        <w:keepLines w:val="0"/>
        <w:pageBreakBefore w:val="0"/>
        <w:widowControl w:val="0"/>
        <w:kinsoku/>
        <w:wordWrap/>
        <w:overflowPunct/>
        <w:topLinePunct w:val="0"/>
        <w:bidi w:val="0"/>
        <w:adjustRightInd/>
        <w:spacing w:beforeAutospacing="0" w:afterAutospacing="0" w:line="500" w:lineRule="exact"/>
        <w:ind w:firstLine="522" w:firstLineChars="200"/>
        <w:jc w:val="both"/>
        <w:rPr>
          <w:rFonts w:hint="eastAsia" w:ascii="楷体" w:hAnsi="楷体" w:eastAsia="楷体" w:cs="仿宋"/>
          <w:b/>
          <w:color w:val="000000"/>
          <w:sz w:val="28"/>
          <w:szCs w:val="28"/>
        </w:rPr>
      </w:pPr>
      <w:r>
        <w:rPr>
          <w:rFonts w:hint="eastAsia" w:ascii="楷体" w:hAnsi="楷体" w:eastAsia="楷体" w:cs="仿宋"/>
          <w:b/>
          <w:color w:val="000000"/>
          <w:sz w:val="28"/>
          <w:szCs w:val="28"/>
        </w:rPr>
        <w:t>一、两个注册商标之间产生的冲突争议，人民法院不予受理，应先向有关行政主管机关申请解决。</w:t>
      </w:r>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根据《最高人民法院关于审理注册商标、企业名称与在先权利冲突的民事纠纷案件若干问题的规定》第一条第二款：原告以他人使用在核定商品上的注册商标与其在先的注册商标相同或者近似为由提起诉讼的，人民法院应当根据</w:t>
      </w: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"https://www.pkulaw.com/chl/javascript:SLC(297379)"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民事诉讼法</w:t>
      </w:r>
      <w:r>
        <w:rPr>
          <w:rFonts w:hint="eastAsia" w:ascii="仿宋_GB2312" w:hAnsi="仿宋" w:eastAsia="仿宋_GB2312" w:cs="仿宋"/>
          <w:color w:val="000000"/>
          <w:sz w:val="28"/>
          <w:szCs w:val="28"/>
        </w:rPr>
        <w:fldChar w:fldCharType="end"/>
      </w:r>
      <w:r>
        <w:rPr>
          <w:rFonts w:hint="eastAsia" w:ascii="仿宋_GB2312" w:hAnsi="仿宋" w:eastAsia="仿宋_GB2312" w:cs="仿宋"/>
          <w:color w:val="000000"/>
          <w:sz w:val="28"/>
          <w:szCs w:val="28"/>
        </w:rPr>
        <w:t>第</w:t>
      </w: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"https://www.pkulaw.com/chl/javascript:SLC(297379,124)"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一百二十四条</w:t>
      </w:r>
      <w:r>
        <w:rPr>
          <w:rFonts w:hint="eastAsia" w:ascii="仿宋_GB2312" w:hAnsi="仿宋" w:eastAsia="仿宋_GB2312" w:cs="仿宋"/>
          <w:color w:val="000000"/>
          <w:sz w:val="28"/>
          <w:szCs w:val="28"/>
        </w:rPr>
        <w:fldChar w:fldCharType="end"/>
      </w:r>
      <w:r>
        <w:rPr>
          <w:rFonts w:hint="eastAsia" w:ascii="仿宋_GB2312" w:hAnsi="仿宋" w:eastAsia="仿宋_GB2312" w:cs="仿宋"/>
          <w:color w:val="000000"/>
          <w:sz w:val="28"/>
          <w:szCs w:val="28"/>
        </w:rPr>
        <w:t>第</w:t>
      </w: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"https://www.pkulaw.com/chl/javascript:SLC(297379,124,1,3)"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（三）项</w:t>
      </w:r>
      <w:r>
        <w:rPr>
          <w:rFonts w:hint="eastAsia" w:ascii="仿宋_GB2312" w:hAnsi="仿宋" w:eastAsia="仿宋_GB2312" w:cs="仿宋"/>
          <w:color w:val="000000"/>
          <w:sz w:val="28"/>
          <w:szCs w:val="28"/>
        </w:rPr>
        <w:fldChar w:fldCharType="end"/>
      </w:r>
      <w:r>
        <w:rPr>
          <w:rFonts w:hint="eastAsia" w:ascii="仿宋_GB2312" w:hAnsi="仿宋" w:eastAsia="仿宋_GB2312" w:cs="仿宋"/>
          <w:color w:val="000000"/>
          <w:sz w:val="28"/>
          <w:szCs w:val="28"/>
        </w:rPr>
        <w:t>的规定，告知原告向有关行政主管机关申请解决。因此，两个注册商标之间产生的冲突争议，应先向有关行政主管机关申请解决。</w:t>
      </w:r>
    </w:p>
    <w:p>
      <w:pPr>
        <w:pStyle w:val="2"/>
        <w:keepNext w:val="0"/>
        <w:keepLines w:val="0"/>
        <w:pageBreakBefore w:val="0"/>
        <w:widowControl w:val="0"/>
        <w:kinsoku/>
        <w:wordWrap/>
        <w:overflowPunct/>
        <w:topLinePunct w:val="0"/>
        <w:bidi w:val="0"/>
        <w:adjustRightInd/>
        <w:spacing w:beforeAutospacing="0" w:afterAutospacing="0" w:line="500" w:lineRule="exact"/>
        <w:ind w:firstLine="522" w:firstLineChars="200"/>
        <w:rPr>
          <w:rFonts w:hint="eastAsia" w:ascii="楷体" w:hAnsi="楷体" w:eastAsia="楷体" w:cs="仿宋"/>
          <w:color w:val="000000"/>
          <w:sz w:val="28"/>
          <w:szCs w:val="28"/>
        </w:rPr>
      </w:pPr>
      <w:bookmarkStart w:id="250" w:name="_Toc24838"/>
      <w:r>
        <w:rPr>
          <w:rFonts w:hint="eastAsia" w:ascii="楷体" w:hAnsi="楷体" w:eastAsia="楷体" w:cs="仿宋"/>
          <w:color w:val="000000"/>
          <w:sz w:val="28"/>
          <w:szCs w:val="28"/>
        </w:rPr>
        <w:t>二、被控侵权人拥有注册商标但系对注册商标进行非规范性使用的，原告提起诉讼的，人民法院应当予以受理。</w:t>
      </w:r>
      <w:bookmarkEnd w:id="250"/>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根据《最高人民法院关于审理注册商标、企业名称与在先权利冲 突的民事纠纷案件若干问题的规定》第一条第二款规定：原告以他人超出核定商品的范围或者以改变显著特征、拆分、组合等方式使用的注册商标，与其注册商标相同或者近似为由提起诉讼的，人民法院应当受理。这是对于超出注册商标专用权范围使用的注册商标直接的冲突，人民法院可以作为民事案件予以受理。根据商标法 第五十六条注册商标的专用权，以核准注册的商标和核定使用的商品为限。被告超出商标专用权的范围不再是对注册商标专用权的行</w:t>
      </w:r>
      <w:r>
        <w:rPr>
          <w:rFonts w:hint="eastAsia" w:ascii="仿宋_GB2312" w:hAnsi="仿宋" w:eastAsia="仿宋_GB2312" w:cs="仿宋"/>
          <w:color w:val="000000"/>
          <w:sz w:val="28"/>
          <w:szCs w:val="28"/>
          <w:lang w:eastAsia="zh-CN"/>
        </w:rPr>
        <w:t>使</w:t>
      </w:r>
      <w:r>
        <w:rPr>
          <w:rFonts w:hint="eastAsia" w:ascii="仿宋_GB2312" w:hAnsi="仿宋" w:eastAsia="仿宋_GB2312" w:cs="仿宋"/>
          <w:color w:val="000000"/>
          <w:sz w:val="28"/>
          <w:szCs w:val="28"/>
        </w:rPr>
        <w:t>，不能阻却侵权行为的构成。因此，《最高人民法院关于审理注册商标、企业名称与在先权利冲突的民事纠纷案件若干问题的规定》第一条第二款但书部分规定了由此引发的纠纷，人民法院应当受理，对注册商标非规范性使用是否构成侵犯他人注册商标专用权进行认定，但是如果被告未 改变注册商标的显著特征，原告对被告注册商标的使用提出侵权诉请，不属于人民法院的受案范围。</w:t>
      </w:r>
    </w:p>
    <w:p>
      <w:pPr>
        <w:pStyle w:val="2"/>
        <w:keepNext w:val="0"/>
        <w:keepLines w:val="0"/>
        <w:pageBreakBefore w:val="0"/>
        <w:widowControl w:val="0"/>
        <w:kinsoku/>
        <w:wordWrap/>
        <w:overflowPunct/>
        <w:topLinePunct w:val="0"/>
        <w:bidi w:val="0"/>
        <w:adjustRightInd/>
        <w:spacing w:beforeAutospacing="0" w:afterAutospacing="0" w:line="500" w:lineRule="exact"/>
        <w:ind w:firstLine="522" w:firstLineChars="200"/>
        <w:rPr>
          <w:rFonts w:hint="eastAsia" w:ascii="楷体" w:hAnsi="楷体" w:eastAsia="楷体" w:cs="仿宋"/>
          <w:color w:val="000000"/>
          <w:sz w:val="28"/>
          <w:szCs w:val="28"/>
        </w:rPr>
      </w:pPr>
      <w:bookmarkStart w:id="251" w:name="_Toc8614"/>
      <w:r>
        <w:rPr>
          <w:rFonts w:hint="eastAsia" w:ascii="楷体" w:hAnsi="楷体" w:eastAsia="楷体" w:cs="仿宋"/>
          <w:color w:val="000000"/>
          <w:sz w:val="28"/>
          <w:szCs w:val="28"/>
        </w:rPr>
        <w:t>三、被控侵权人即使有注册商标，并且规范使用，如果违反商标法第十三条的规定，人民法院依法可以判决禁止被告使用该注册商标。</w:t>
      </w:r>
      <w:bookmarkEnd w:id="251"/>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lang w:eastAsia="zh-CN"/>
        </w:rPr>
      </w:pPr>
      <w:r>
        <w:rPr>
          <w:rFonts w:hint="eastAsia" w:ascii="仿宋_GB2312" w:hAnsi="仿宋" w:eastAsia="仿宋_GB2312" w:cs="仿宋"/>
          <w:color w:val="000000"/>
          <w:sz w:val="28"/>
          <w:szCs w:val="28"/>
        </w:rPr>
        <w:t xml:space="preserve">根据《最高人民法院关于审理涉及驰名商标保护的民事纠纷案件应用法律若干问题的解释》第十一条 </w:t>
      </w:r>
      <w:r>
        <w:rPr>
          <w:rFonts w:hint="eastAsia" w:ascii="仿宋_GB2312" w:hAnsi="仿宋" w:eastAsia="仿宋_GB2312" w:cs="仿宋"/>
          <w:color w:val="000000"/>
          <w:sz w:val="28"/>
          <w:szCs w:val="28"/>
          <w:lang w:eastAsia="zh-CN"/>
        </w:rPr>
        <w:t>被告使用的注册商标违反</w:t>
      </w: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"https://www.pkulaw.com/chl/javascript:SLC(331486)"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商标法</w:t>
      </w:r>
      <w:r>
        <w:rPr>
          <w:rFonts w:hint="eastAsia" w:ascii="仿宋_GB2312" w:hAnsi="仿宋" w:eastAsia="仿宋_GB2312" w:cs="仿宋"/>
          <w:color w:val="000000"/>
          <w:sz w:val="28"/>
          <w:szCs w:val="28"/>
        </w:rPr>
        <w:fldChar w:fldCharType="end"/>
      </w:r>
      <w:r>
        <w:rPr>
          <w:rFonts w:hint="eastAsia" w:ascii="仿宋_GB2312" w:hAnsi="仿宋" w:eastAsia="仿宋_GB2312" w:cs="仿宋"/>
          <w:color w:val="000000"/>
          <w:sz w:val="28"/>
          <w:szCs w:val="28"/>
          <w:lang w:eastAsia="zh-CN"/>
        </w:rPr>
        <w:t>第</w:t>
      </w: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"https://www.pkulaw.com/chl/javascript:SLC(331486,13)"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十三条</w:t>
      </w:r>
      <w:r>
        <w:rPr>
          <w:rFonts w:hint="eastAsia" w:ascii="仿宋_GB2312" w:hAnsi="仿宋" w:eastAsia="仿宋_GB2312" w:cs="仿宋"/>
          <w:color w:val="000000"/>
          <w:sz w:val="28"/>
          <w:szCs w:val="28"/>
        </w:rPr>
        <w:fldChar w:fldCharType="end"/>
      </w:r>
      <w:r>
        <w:rPr>
          <w:rFonts w:hint="eastAsia" w:ascii="仿宋_GB2312" w:hAnsi="仿宋" w:eastAsia="仿宋_GB2312" w:cs="仿宋"/>
          <w:color w:val="000000"/>
          <w:sz w:val="28"/>
          <w:szCs w:val="28"/>
          <w:lang w:eastAsia="zh-CN"/>
        </w:rPr>
        <w:t>的规定，复制、摹仿或者翻译原告驰名商标，构成侵犯商标权的，人民法院应当根据原告的请求，依法判决禁止被告使用该商标，但被告的注册商标有下列情形之一的，人民法院对原告的请求不予支持：</w:t>
      </w:r>
      <w:bookmarkStart w:id="252" w:name="tiao_11_kuan_1_xiang_1"/>
      <w:bookmarkEnd w:id="252"/>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lang w:eastAsia="zh-CN"/>
        </w:rPr>
      </w:pPr>
      <w:r>
        <w:rPr>
          <w:rFonts w:hint="eastAsia" w:ascii="仿宋_GB2312" w:hAnsi="仿宋" w:eastAsia="仿宋_GB2312" w:cs="仿宋"/>
          <w:color w:val="000000"/>
          <w:sz w:val="28"/>
          <w:szCs w:val="28"/>
          <w:lang w:eastAsia="zh-CN"/>
        </w:rPr>
        <w:t>（一）已经超过</w:t>
      </w: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"https://www.pkulaw.com/chl/javascript:SLC(331486)"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商标法</w:t>
      </w:r>
      <w:r>
        <w:rPr>
          <w:rFonts w:hint="eastAsia" w:ascii="仿宋_GB2312" w:hAnsi="仿宋" w:eastAsia="仿宋_GB2312" w:cs="仿宋"/>
          <w:color w:val="000000"/>
          <w:sz w:val="28"/>
          <w:szCs w:val="28"/>
        </w:rPr>
        <w:fldChar w:fldCharType="end"/>
      </w:r>
      <w:r>
        <w:rPr>
          <w:rFonts w:hint="eastAsia" w:ascii="仿宋_GB2312" w:hAnsi="仿宋" w:eastAsia="仿宋_GB2312" w:cs="仿宋"/>
          <w:color w:val="000000"/>
          <w:sz w:val="28"/>
          <w:szCs w:val="28"/>
          <w:lang w:eastAsia="zh-CN"/>
        </w:rPr>
        <w:t>第</w:t>
      </w: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"https://www.pkulaw.com/chl/javascript:SLC(331486,45)"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四十五条</w:t>
      </w:r>
      <w:r>
        <w:rPr>
          <w:rFonts w:hint="eastAsia" w:ascii="仿宋_GB2312" w:hAnsi="仿宋" w:eastAsia="仿宋_GB2312" w:cs="仿宋"/>
          <w:color w:val="000000"/>
          <w:sz w:val="28"/>
          <w:szCs w:val="28"/>
        </w:rPr>
        <w:fldChar w:fldCharType="end"/>
      </w:r>
      <w:r>
        <w:rPr>
          <w:rFonts w:hint="eastAsia" w:ascii="仿宋_GB2312" w:hAnsi="仿宋" w:eastAsia="仿宋_GB2312" w:cs="仿宋"/>
          <w:color w:val="000000"/>
          <w:sz w:val="28"/>
          <w:szCs w:val="28"/>
          <w:lang w:eastAsia="zh-CN"/>
        </w:rPr>
        <w:t>第</w:t>
      </w: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"https://www.pkulaw.com/chl/javascript:SLC(331486,45,1)"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一款</w:t>
      </w:r>
      <w:r>
        <w:rPr>
          <w:rFonts w:hint="eastAsia" w:ascii="仿宋_GB2312" w:hAnsi="仿宋" w:eastAsia="仿宋_GB2312" w:cs="仿宋"/>
          <w:color w:val="000000"/>
          <w:sz w:val="28"/>
          <w:szCs w:val="28"/>
        </w:rPr>
        <w:fldChar w:fldCharType="end"/>
      </w:r>
      <w:r>
        <w:rPr>
          <w:rFonts w:hint="eastAsia" w:ascii="仿宋_GB2312" w:hAnsi="仿宋" w:eastAsia="仿宋_GB2312" w:cs="仿宋"/>
          <w:color w:val="000000"/>
          <w:sz w:val="28"/>
          <w:szCs w:val="28"/>
          <w:lang w:eastAsia="zh-CN"/>
        </w:rPr>
        <w:t>规定的请求宣告无效期限的；</w:t>
      </w:r>
      <w:bookmarkStart w:id="253" w:name="tiao_11_kuan_1_xiang_2"/>
      <w:bookmarkEnd w:id="253"/>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eastAsia="zh-CN"/>
        </w:rPr>
        <w:t>（二）被告提出注册申请时，原告的商标并不驰名的。</w:t>
      </w:r>
    </w:p>
    <w:p>
      <w:pPr>
        <w:pStyle w:val="2"/>
        <w:keepNext w:val="0"/>
        <w:keepLines w:val="0"/>
        <w:pageBreakBefore w:val="0"/>
        <w:widowControl w:val="0"/>
        <w:kinsoku/>
        <w:wordWrap/>
        <w:overflowPunct/>
        <w:topLinePunct w:val="0"/>
        <w:bidi w:val="0"/>
        <w:adjustRightInd/>
        <w:spacing w:beforeAutospacing="0" w:afterAutospacing="0" w:line="500" w:lineRule="exact"/>
        <w:ind w:firstLine="522" w:firstLineChars="200"/>
        <w:rPr>
          <w:rFonts w:hint="eastAsia" w:ascii="楷体" w:hAnsi="楷体" w:eastAsia="楷体" w:cs="仿宋"/>
          <w:color w:val="000000"/>
          <w:sz w:val="28"/>
          <w:szCs w:val="28"/>
        </w:rPr>
      </w:pPr>
      <w:bookmarkStart w:id="254" w:name="_Toc16684"/>
      <w:r>
        <w:rPr>
          <w:rFonts w:hint="eastAsia" w:ascii="楷体" w:hAnsi="楷体" w:eastAsia="楷体" w:cs="仿宋"/>
          <w:color w:val="000000"/>
          <w:sz w:val="28"/>
          <w:szCs w:val="28"/>
        </w:rPr>
        <w:t>四、将与他人注册商标相同或者相近似的文字作为企业的字号在相同或者类似商品上突出使用，容易使相关公众产生误认的，构成对他人注册商标的侵权。</w:t>
      </w:r>
      <w:bookmarkEnd w:id="254"/>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任何民事主体在市场经营交易中都要使用自己的名称或者姓名</w:t>
      </w:r>
      <w:r>
        <w:rPr>
          <w:rFonts w:hint="eastAsia" w:ascii="仿宋_GB2312" w:hAnsi="仿宋" w:eastAsia="仿宋_GB2312" w:cs="仿宋"/>
          <w:color w:val="000000"/>
          <w:sz w:val="28"/>
          <w:szCs w:val="28"/>
          <w:lang w:eastAsia="zh-CN"/>
        </w:rPr>
        <w:t>，</w:t>
      </w:r>
      <w:r>
        <w:rPr>
          <w:rFonts w:hint="eastAsia" w:ascii="仿宋_GB2312" w:hAnsi="仿宋" w:eastAsia="仿宋_GB2312" w:cs="仿宋"/>
          <w:color w:val="000000"/>
          <w:sz w:val="28"/>
          <w:szCs w:val="28"/>
        </w:rPr>
        <w:t>特别是自然人以外的民事主体，如企事业单位法人，他们的名称都要经过工商行政主管部门办理登记手续。个体工商户等在经营中也可以起字号。民事主体在市场经营中的名称字号，也成为重要的标识，起着区分民事主体和他们商品或者服务来源的重要作用。由于名称字号有地域性的特点，又由各地方工商行政管理部门注册登记，因此，在不同地区可能存在相同或者相近似的名称字号。注册商标是由文字、图形或者它们的组合等经过国家</w:t>
      </w:r>
      <w:r>
        <w:rPr>
          <w:rFonts w:hint="eastAsia" w:ascii="仿宋_GB2312" w:hAnsi="仿宋" w:eastAsia="仿宋_GB2312" w:cs="仿宋"/>
          <w:color w:val="000000"/>
          <w:sz w:val="28"/>
          <w:szCs w:val="28"/>
          <w:lang w:eastAsia="zh-CN"/>
        </w:rPr>
        <w:t>市场监督管理</w:t>
      </w:r>
      <w:r>
        <w:rPr>
          <w:rFonts w:hint="eastAsia" w:ascii="仿宋_GB2312" w:hAnsi="仿宋" w:eastAsia="仿宋_GB2312" w:cs="仿宋"/>
          <w:color w:val="000000"/>
          <w:sz w:val="28"/>
          <w:szCs w:val="28"/>
        </w:rPr>
        <w:t>总局商标局注册而授予的。不少商标注册人以自己企业的名称字号注册为商标。国家</w:t>
      </w:r>
      <w:r>
        <w:rPr>
          <w:rFonts w:hint="eastAsia" w:ascii="仿宋_GB2312" w:hAnsi="仿宋" w:eastAsia="仿宋_GB2312" w:cs="仿宋"/>
          <w:color w:val="000000"/>
          <w:sz w:val="28"/>
          <w:szCs w:val="28"/>
          <w:lang w:eastAsia="zh-CN"/>
        </w:rPr>
        <w:t>市场监督管理</w:t>
      </w:r>
      <w:r>
        <w:rPr>
          <w:rFonts w:hint="eastAsia" w:ascii="仿宋_GB2312" w:hAnsi="仿宋" w:eastAsia="仿宋_GB2312" w:cs="仿宋"/>
          <w:color w:val="000000"/>
          <w:sz w:val="28"/>
          <w:szCs w:val="28"/>
        </w:rPr>
        <w:t>总局对名称字号的登记与商标注册分别由两个不同的部门办理。在实践中常出现企业名称字号与注册商标文字相同或者近似的情形，如果他人故意在相同或者近似商品上突出使用他人注册商标的企业字号，造成相关公众产生误认，构成商标侵权。</w:t>
      </w:r>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认定此种侵犯注册商标权的行为，要注意构成的条件：</w:t>
      </w:r>
    </w:p>
    <w:p>
      <w:pPr>
        <w:pStyle w:val="7"/>
        <w:keepNext w:val="0"/>
        <w:keepLines w:val="0"/>
        <w:pageBreakBefore w:val="0"/>
        <w:widowControl w:val="0"/>
        <w:numPr>
          <w:ilvl w:val="0"/>
          <w:numId w:val="170"/>
        </w:numPr>
        <w:kinsoku/>
        <w:wordWrap/>
        <w:overflowPunct/>
        <w:topLinePunct w:val="0"/>
        <w:bidi w:val="0"/>
        <w:adjustRightInd/>
        <w:spacing w:beforeLines="0" w:beforeAutospacing="0" w:afterLines="0" w:afterAutospacing="0" w:line="500" w:lineRule="exact"/>
        <w:ind w:firstLineChars="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使用了与他人注册商标相同或者相近似的文字；</w:t>
      </w:r>
    </w:p>
    <w:p>
      <w:pPr>
        <w:pStyle w:val="7"/>
        <w:keepNext w:val="0"/>
        <w:keepLines w:val="0"/>
        <w:pageBreakBefore w:val="0"/>
        <w:widowControl w:val="0"/>
        <w:numPr>
          <w:ilvl w:val="0"/>
          <w:numId w:val="170"/>
        </w:numPr>
        <w:kinsoku/>
        <w:wordWrap/>
        <w:overflowPunct/>
        <w:topLinePunct w:val="0"/>
        <w:bidi w:val="0"/>
        <w:adjustRightInd/>
        <w:spacing w:beforeLines="0" w:beforeAutospacing="0" w:afterLines="0" w:afterAutospacing="0" w:line="500" w:lineRule="exact"/>
        <w:ind w:firstLineChars="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行为人将所使用的文字作为其企业的名称字号；</w:t>
      </w:r>
    </w:p>
    <w:p>
      <w:pPr>
        <w:pStyle w:val="7"/>
        <w:keepNext w:val="0"/>
        <w:keepLines w:val="0"/>
        <w:pageBreakBefore w:val="0"/>
        <w:widowControl w:val="0"/>
        <w:numPr>
          <w:ilvl w:val="0"/>
          <w:numId w:val="170"/>
        </w:numPr>
        <w:kinsoku/>
        <w:wordWrap/>
        <w:overflowPunct/>
        <w:topLinePunct w:val="0"/>
        <w:bidi w:val="0"/>
        <w:adjustRightInd/>
        <w:spacing w:beforeLines="0" w:beforeAutospacing="0" w:afterLines="0" w:afterAutospacing="0" w:line="500" w:lineRule="exact"/>
        <w:ind w:firstLineChars="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将名称字号在与商标权人注册商标所标识的相同或者类似商品上突出醒目地使用；</w:t>
      </w:r>
    </w:p>
    <w:p>
      <w:pPr>
        <w:pStyle w:val="7"/>
        <w:keepNext w:val="0"/>
        <w:keepLines w:val="0"/>
        <w:pageBreakBefore w:val="0"/>
        <w:widowControl w:val="0"/>
        <w:numPr>
          <w:ilvl w:val="0"/>
          <w:numId w:val="170"/>
        </w:numPr>
        <w:kinsoku/>
        <w:wordWrap/>
        <w:overflowPunct/>
        <w:topLinePunct w:val="0"/>
        <w:bidi w:val="0"/>
        <w:adjustRightInd/>
        <w:spacing w:beforeLines="0" w:beforeAutospacing="0" w:afterLines="0" w:afterAutospacing="0" w:line="500" w:lineRule="exact"/>
        <w:ind w:firstLineChars="0"/>
        <w:jc w:val="both"/>
        <w:rPr>
          <w:rFonts w:hint="eastAsia" w:ascii="仿宋_GB2312" w:hAnsi="仿宋" w:eastAsia="仿宋_GB2312" w:cs="仿宋"/>
          <w:color w:val="000000"/>
          <w:sz w:val="28"/>
          <w:szCs w:val="28"/>
          <w:lang w:eastAsia="zh-CN"/>
        </w:rPr>
      </w:pPr>
      <w:r>
        <w:rPr>
          <w:rFonts w:hint="eastAsia" w:ascii="仿宋_GB2312" w:hAnsi="仿宋" w:eastAsia="仿宋_GB2312" w:cs="仿宋"/>
          <w:color w:val="000000"/>
          <w:sz w:val="28"/>
          <w:szCs w:val="28"/>
        </w:rPr>
        <w:t>造成了容易使相关公众产生混淆、误认。</w:t>
      </w:r>
    </w:p>
    <w:p>
      <w:pPr>
        <w:pStyle w:val="7"/>
        <w:keepNext w:val="0"/>
        <w:keepLines w:val="0"/>
        <w:pageBreakBefore w:val="0"/>
        <w:widowControl w:val="0"/>
        <w:kinsoku/>
        <w:wordWrap/>
        <w:overflowPunct/>
        <w:topLinePunct w:val="0"/>
        <w:bidi w:val="0"/>
        <w:adjustRightInd/>
        <w:spacing w:beforeLines="0" w:beforeAutospacing="0" w:afterLines="0" w:afterAutospacing="0" w:line="500" w:lineRule="exact"/>
        <w:ind w:firstLine="604"/>
        <w:jc w:val="both"/>
        <w:rPr>
          <w:rFonts w:hint="eastAsia" w:ascii="楷体" w:hAnsi="楷体" w:eastAsia="楷体" w:cs="仿宋"/>
          <w:b/>
          <w:bCs/>
          <w:color w:val="000000"/>
          <w:sz w:val="28"/>
          <w:szCs w:val="28"/>
          <w:lang w:eastAsia="zh-CN"/>
        </w:rPr>
      </w:pPr>
      <w:r>
        <w:rPr>
          <w:rFonts w:hint="eastAsia" w:ascii="楷体" w:hAnsi="楷体" w:eastAsia="楷体" w:cs="仿宋"/>
          <w:b/>
          <w:bCs/>
          <w:color w:val="000000"/>
          <w:sz w:val="28"/>
          <w:szCs w:val="28"/>
          <w:lang w:eastAsia="zh-CN"/>
        </w:rPr>
        <w:t>五、商标侵权案件管辖</w:t>
      </w:r>
    </w:p>
    <w:p>
      <w:pPr>
        <w:pStyle w:val="14"/>
        <w:keepNext w:val="0"/>
        <w:keepLines w:val="0"/>
        <w:pageBreakBefore w:val="0"/>
        <w:widowControl w:val="0"/>
        <w:kinsoku/>
        <w:wordWrap/>
        <w:overflowPunct/>
        <w:topLinePunct w:val="0"/>
        <w:bidi w:val="0"/>
        <w:adjustRightInd/>
        <w:spacing w:before="0"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根据《最高人民法院关于审理商标民事纠纷案件适用法律若干问题的解释》第六条因侵犯注册商标专用权行为提起的民事诉讼，由</w:t>
      </w: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"https://www.66law.cn/tiaoli/13.aspx" \t "https://www.66law.cn/laws/_blank" \o "商标法"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商标法</w:t>
      </w:r>
      <w:r>
        <w:rPr>
          <w:rFonts w:hint="eastAsia" w:ascii="仿宋_GB2312" w:hAnsi="仿宋" w:eastAsia="仿宋_GB2312" w:cs="仿宋"/>
          <w:color w:val="000000"/>
          <w:sz w:val="28"/>
          <w:szCs w:val="28"/>
        </w:rPr>
        <w:fldChar w:fldCharType="end"/>
      </w:r>
      <w:r>
        <w:rPr>
          <w:rFonts w:hint="eastAsia" w:ascii="仿宋_GB2312" w:hAnsi="仿宋" w:eastAsia="仿宋_GB2312" w:cs="仿宋"/>
          <w:color w:val="000000"/>
          <w:sz w:val="28"/>
          <w:szCs w:val="28"/>
        </w:rPr>
        <w:t>第十三条、第五十二条所规定侵权行为的实施地、侵权商品的储藏地或者查封扣押地、被告住所地人民法院管辖。</w:t>
      </w:r>
    </w:p>
    <w:p>
      <w:pPr>
        <w:pStyle w:val="14"/>
        <w:keepNext w:val="0"/>
        <w:keepLines w:val="0"/>
        <w:pageBreakBefore w:val="0"/>
        <w:widowControl w:val="0"/>
        <w:kinsoku/>
        <w:wordWrap/>
        <w:overflowPunct/>
        <w:topLinePunct w:val="0"/>
        <w:bidi w:val="0"/>
        <w:adjustRightInd/>
        <w:spacing w:before="0"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前款规定的侵权商品的储藏地，是指大量或者经常性储存、隐匿侵权商品所在地；查封扣押地，是指海关、市场监督等行政机关依法查封、扣押侵权商品所在地。</w:t>
      </w:r>
    </w:p>
    <w:p>
      <w:pPr>
        <w:pStyle w:val="14"/>
        <w:keepNext w:val="0"/>
        <w:keepLines w:val="0"/>
        <w:pageBreakBefore w:val="0"/>
        <w:widowControl w:val="0"/>
        <w:kinsoku/>
        <w:wordWrap/>
        <w:overflowPunct/>
        <w:topLinePunct w:val="0"/>
        <w:bidi w:val="0"/>
        <w:adjustRightInd/>
        <w:spacing w:before="0"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第七条 对涉及不同侵权行为实施地的多个被告提起的共同诉讼，原告可以选择其中一个被告的侵权行为实施地人民法院管辖；仅对其中某一被告提起的诉讼，该被告侵权行为实施地的人民法院有管辖权。</w:t>
      </w:r>
    </w:p>
    <w:p>
      <w:pPr>
        <w:pStyle w:val="14"/>
        <w:keepNext w:val="0"/>
        <w:keepLines w:val="0"/>
        <w:pageBreakBefore w:val="0"/>
        <w:widowControl w:val="0"/>
        <w:kinsoku/>
        <w:wordWrap/>
        <w:overflowPunct/>
        <w:topLinePunct w:val="0"/>
        <w:bidi w:val="0"/>
        <w:adjustRightInd/>
        <w:spacing w:before="0" w:beforeAutospacing="0" w:after="0" w:afterAutospacing="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侵权商品的储藏地，是指大量或者经常性储存、隐匿侵权商品所在地；查封扣押地，是指海关、市场监督等行政机关依法查封、扣押侵权商品所在地，不包括法院采取临时措施进行扣押查封侵权商品所在地。在侵权商品储藏地或者扣押地，当事人可以起诉实施储存、保管、运输等行为的行为人，也可以起诉该部分商品的经销商、制造商，或者同时起诉各行为人。</w:t>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240" w:lineRule="auto"/>
        <w:jc w:val="center"/>
        <w:rPr>
          <w:rFonts w:hint="eastAsia" w:ascii="方正小标宋简体" w:hAnsi="方正小标宋简体" w:eastAsia="方正小标宋简体" w:cs="方正小标宋简体"/>
          <w:color w:val="000000"/>
          <w:sz w:val="48"/>
          <w:szCs w:val="48"/>
        </w:rPr>
      </w:pPr>
      <w:r>
        <w:rPr>
          <w:sz w:val="24"/>
          <w:szCs w:val="21"/>
        </w:rPr>
        <mc:AlternateContent>
          <mc:Choice Requires="wps">
            <w:drawing>
              <wp:anchor distT="0" distB="0" distL="114300" distR="114300" simplePos="0" relativeHeight="251719680" behindDoc="0" locked="0" layoutInCell="1" allowOverlap="1">
                <wp:simplePos x="0" y="0"/>
                <wp:positionH relativeFrom="column">
                  <wp:posOffset>-64770</wp:posOffset>
                </wp:positionH>
                <wp:positionV relativeFrom="paragraph">
                  <wp:posOffset>7115175</wp:posOffset>
                </wp:positionV>
                <wp:extent cx="1023620" cy="678815"/>
                <wp:effectExtent l="4445" t="5080" r="19685" b="20955"/>
                <wp:wrapNone/>
                <wp:docPr id="85" name="矩形 85"/>
                <wp:cNvGraphicFramePr/>
                <a:graphic xmlns:a="http://schemas.openxmlformats.org/drawingml/2006/main">
                  <a:graphicData uri="http://schemas.microsoft.com/office/word/2010/wordprocessingShape">
                    <wps:wsp>
                      <wps:cNvSpPr/>
                      <wps:spPr>
                        <a:xfrm>
                          <a:off x="0" y="0"/>
                          <a:ext cx="1023620" cy="678815"/>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5.1pt;margin-top:560.25pt;height:53.45pt;width:80.6pt;z-index:251719680;mso-width-relative:page;mso-height-relative:page;" fillcolor="#FFFFFF" filled="t" stroked="t" coordsize="21600,21600" o:gfxdata="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1b/bH2QAAAA0BAAAPAAAAAAAAAAEAIAAAACIAAABkcnMvZG93bnJldi54&#10;bWxQSwECFAAUAAAACACHTuJAg2kO//kBAAAgBAAADgAAAAAAAAABACAAAAAoAQAAZHJzL2Uyb0Rv&#10;Yy54bWxQSwUGAAAAAAYABgBZAQAAkwUAAAAA&#10;">
                <v:fill on="t" focussize="0,0"/>
                <v:stroke color="#FFFFFF" joinstyle="miter"/>
                <v:imagedata o:title=""/>
                <o:lock v:ext="edit" aspectratio="f"/>
              </v:rect>
            </w:pict>
          </mc:Fallback>
        </mc:AlternateContent>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240" w:lineRule="auto"/>
        <w:jc w:val="center"/>
        <w:rPr>
          <w:rFonts w:hint="eastAsia" w:ascii="方正小标宋简体" w:hAnsi="方正小标宋简体" w:eastAsia="方正小标宋简体" w:cs="方正小标宋简体"/>
          <w:color w:val="000000"/>
          <w:sz w:val="48"/>
          <w:szCs w:val="48"/>
        </w:rPr>
      </w:pP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240" w:lineRule="auto"/>
        <w:jc w:val="center"/>
        <w:rPr>
          <w:rFonts w:hint="eastAsia" w:ascii="方正小标宋简体" w:hAnsi="方正小标宋简体" w:eastAsia="方正小标宋简体" w:cs="方正小标宋简体"/>
          <w:color w:val="000000"/>
          <w:sz w:val="48"/>
          <w:szCs w:val="48"/>
        </w:rPr>
      </w:pP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240" w:lineRule="auto"/>
        <w:jc w:val="center"/>
        <w:rPr>
          <w:rFonts w:hint="eastAsia" w:ascii="方正小标宋简体" w:hAnsi="方正小标宋简体" w:eastAsia="方正小标宋简体" w:cs="方正小标宋简体"/>
          <w:color w:val="000000"/>
          <w:sz w:val="48"/>
          <w:szCs w:val="48"/>
        </w:rPr>
      </w:pPr>
      <w:r>
        <w:rPr>
          <w:rFonts w:hint="eastAsia" w:ascii="方正小标宋简体" w:hAnsi="方正小标宋简体" w:eastAsia="方正小标宋简体" w:cs="方正小标宋简体"/>
          <w:color w:val="000000"/>
          <w:sz w:val="48"/>
          <w:szCs w:val="48"/>
        </w:rPr>
        <w:t>律师办理工伤劳动争议案件</w:t>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240" w:lineRule="auto"/>
        <w:jc w:val="center"/>
        <w:rPr>
          <w:rFonts w:hint="eastAsia" w:ascii="方正小标宋简体" w:hAnsi="方正小标宋简体" w:eastAsia="方正小标宋简体" w:cs="方正小标宋简体"/>
          <w:color w:val="000000"/>
          <w:sz w:val="48"/>
          <w:szCs w:val="48"/>
        </w:rPr>
      </w:pPr>
      <w:r>
        <w:rPr>
          <w:rFonts w:hint="eastAsia" w:ascii="方正小标宋简体" w:hAnsi="方正小标宋简体" w:eastAsia="方正小标宋简体" w:cs="方正小标宋简体"/>
          <w:color w:val="000000"/>
          <w:sz w:val="48"/>
          <w:szCs w:val="48"/>
        </w:rPr>
        <w:t>业务操作指引</w:t>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240" w:lineRule="auto"/>
        <w:jc w:val="center"/>
        <w:rPr>
          <w:rFonts w:hint="eastAsia" w:ascii="方正小标宋简体" w:hAnsi="方正小标宋简体" w:eastAsia="方正小标宋简体" w:cs="方正小标宋简体"/>
          <w:color w:val="000000"/>
          <w:sz w:val="48"/>
          <w:szCs w:val="48"/>
        </w:rPr>
      </w:pPr>
      <w:r>
        <w:rPr>
          <w:rFonts w:hint="eastAsia" w:ascii="方正小标宋简体" w:hAnsi="方正小标宋简体" w:eastAsia="方正小标宋简体" w:cs="方正小标宋简体"/>
          <w:color w:val="000000"/>
          <w:sz w:val="48"/>
          <w:szCs w:val="48"/>
        </w:rPr>
        <w:br w:type="page"/>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227" w:beforeLines="50" w:after="227" w:afterLines="50" w:line="500" w:lineRule="exact"/>
        <w:jc w:val="center"/>
        <w:rPr>
          <w:rFonts w:ascii="仿宋" w:hAnsi="仿宋" w:eastAsia="仿宋" w:cs="仿宋"/>
          <w:b/>
          <w:bCs/>
          <w:color w:val="000000"/>
          <w:sz w:val="48"/>
          <w:szCs w:val="48"/>
        </w:rPr>
      </w:pP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227" w:beforeLines="50" w:after="227" w:afterLines="50" w:line="500" w:lineRule="exact"/>
        <w:jc w:val="center"/>
        <w:rPr>
          <w:rFonts w:ascii="仿宋" w:hAnsi="仿宋" w:eastAsia="仿宋" w:cs="仿宋"/>
          <w:b/>
          <w:bCs/>
          <w:color w:val="000000"/>
          <w:sz w:val="48"/>
          <w:szCs w:val="48"/>
        </w:rPr>
      </w:pP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227" w:beforeLines="50" w:after="227" w:afterLines="50" w:line="500" w:lineRule="exact"/>
        <w:jc w:val="center"/>
        <w:rPr>
          <w:rFonts w:ascii="仿宋" w:hAnsi="仿宋" w:eastAsia="仿宋" w:cs="仿宋"/>
          <w:b/>
          <w:bCs/>
          <w:color w:val="000000"/>
          <w:sz w:val="48"/>
          <w:szCs w:val="48"/>
        </w:rPr>
      </w:pP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227" w:beforeLines="50" w:after="227" w:afterLines="50" w:line="500" w:lineRule="exact"/>
        <w:jc w:val="center"/>
        <w:rPr>
          <w:rFonts w:ascii="仿宋" w:hAnsi="仿宋" w:eastAsia="仿宋" w:cs="仿宋"/>
          <w:b/>
          <w:bCs/>
          <w:color w:val="000000"/>
          <w:sz w:val="48"/>
          <w:szCs w:val="48"/>
        </w:rPr>
      </w:pP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227" w:beforeLines="50" w:after="227" w:afterLines="50" w:line="500" w:lineRule="exact"/>
        <w:jc w:val="center"/>
        <w:rPr>
          <w:rFonts w:ascii="仿宋" w:hAnsi="仿宋" w:eastAsia="仿宋" w:cs="仿宋"/>
          <w:b/>
          <w:bCs/>
          <w:color w:val="000000"/>
          <w:sz w:val="48"/>
          <w:szCs w:val="48"/>
        </w:rPr>
      </w:pPr>
      <w:r>
        <w:rPr>
          <w:sz w:val="28"/>
        </w:rPr>
        <mc:AlternateContent>
          <mc:Choice Requires="wps">
            <w:drawing>
              <wp:anchor distT="0" distB="0" distL="114300" distR="114300" simplePos="0" relativeHeight="251738112" behindDoc="0" locked="0" layoutInCell="1" allowOverlap="1">
                <wp:simplePos x="0" y="0"/>
                <wp:positionH relativeFrom="column">
                  <wp:posOffset>-269875</wp:posOffset>
                </wp:positionH>
                <wp:positionV relativeFrom="paragraph">
                  <wp:posOffset>4118610</wp:posOffset>
                </wp:positionV>
                <wp:extent cx="1227455" cy="751205"/>
                <wp:effectExtent l="0" t="0" r="10795" b="10795"/>
                <wp:wrapNone/>
                <wp:docPr id="88" name="文本框 88"/>
                <wp:cNvGraphicFramePr/>
                <a:graphic xmlns:a="http://schemas.openxmlformats.org/drawingml/2006/main">
                  <a:graphicData uri="http://schemas.microsoft.com/office/word/2010/wordprocessingShape">
                    <wps:wsp>
                      <wps:cNvSpPr txBox="1"/>
                      <wps:spPr>
                        <a:xfrm>
                          <a:off x="0" y="0"/>
                          <a:ext cx="1227455" cy="751205"/>
                        </a:xfrm>
                        <a:prstGeom prst="rect">
                          <a:avLst/>
                        </a:prstGeom>
                        <a:solidFill>
                          <a:srgbClr val="FFFFFF"/>
                        </a:solidFill>
                        <a:ln>
                          <a:noFill/>
                        </a:ln>
                      </wps:spPr>
                      <wps:txbx>
                        <w:txbxContent>
                          <w:p/>
                        </w:txbxContent>
                      </wps:txbx>
                      <wps:bodyPr upright="1"/>
                    </wps:wsp>
                  </a:graphicData>
                </a:graphic>
              </wp:anchor>
            </w:drawing>
          </mc:Choice>
          <mc:Fallback>
            <w:pict>
              <v:shape id="_x0000_s1026" o:spid="_x0000_s1026" o:spt="202" type="#_x0000_t202" style="position:absolute;left:0pt;margin-left:-21.25pt;margin-top:324.3pt;height:59.15pt;width:96.65pt;z-index:251738112;mso-width-relative:page;mso-height-relative:page;" fillcolor="#FFFFFF" filled="t" stroked="f" coordsize="21600,21600" o:gfxdata="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N4TGtkAAAALAQAADwAAAAAAAAABACAAAAAiAAAAZHJzL2Rvd25yZXYu&#10;eG1sUEsBAhQAFAAAAAgAh07iQMkVIQXBAQAAeQMAAA4AAAAAAAAAAQAgAAAAKAEAAGRycy9lMm9E&#10;b2MueG1sUEsFBgAAAAAGAAYAWQEAAFsFAAAAAA==&#10;">
                <v:fill on="t" focussize="0,0"/>
                <v:stroke on="f"/>
                <v:imagedata o:title=""/>
                <o:lock v:ext="edit" aspectratio="f"/>
                <v:textbox>
                  <w:txbxContent>
                    <w:p/>
                  </w:txbxContent>
                </v:textbox>
              </v:shape>
            </w:pict>
          </mc:Fallback>
        </mc:AlternateContent>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227" w:beforeLines="50" w:after="227" w:afterLines="50" w:line="500" w:lineRule="exact"/>
        <w:jc w:val="center"/>
        <w:rPr>
          <w:rFonts w:ascii="仿宋" w:hAnsi="仿宋" w:eastAsia="仿宋" w:cs="仿宋"/>
          <w:b/>
          <w:bCs/>
          <w:color w:val="000000"/>
          <w:sz w:val="48"/>
          <w:szCs w:val="48"/>
        </w:rPr>
      </w:pPr>
    </w:p>
    <w:p>
      <w:pPr>
        <w:keepNext w:val="0"/>
        <w:keepLines w:val="0"/>
        <w:pageBreakBefore w:val="0"/>
        <w:widowControl w:val="0"/>
        <w:wordWrap/>
        <w:bidi w:val="0"/>
        <w:adjustRightInd/>
        <w:snapToGrid/>
        <w:spacing w:after="0" w:line="500" w:lineRule="exact"/>
        <w:jc w:val="center"/>
        <w:rPr>
          <w:rFonts w:hint="eastAsia" w:ascii="方正小标宋简体" w:hAnsi="方正小标宋简体" w:eastAsia="方正小标宋简体" w:cs="方正小标宋简体"/>
          <w:color w:val="000000"/>
          <w:sz w:val="40"/>
          <w:szCs w:val="40"/>
        </w:rPr>
      </w:pPr>
      <w:r>
        <w:rPr>
          <w:sz w:val="24"/>
          <w:szCs w:val="21"/>
        </w:rPr>
        <mc:AlternateContent>
          <mc:Choice Requires="wps">
            <w:drawing>
              <wp:anchor distT="0" distB="0" distL="114300" distR="114300" simplePos="0" relativeHeight="251680768" behindDoc="0" locked="0" layoutInCell="1" allowOverlap="1">
                <wp:simplePos x="0" y="0"/>
                <wp:positionH relativeFrom="column">
                  <wp:posOffset>-265430</wp:posOffset>
                </wp:positionH>
                <wp:positionV relativeFrom="paragraph">
                  <wp:posOffset>4888865</wp:posOffset>
                </wp:positionV>
                <wp:extent cx="1023620" cy="678815"/>
                <wp:effectExtent l="4445" t="5080" r="19685" b="20955"/>
                <wp:wrapNone/>
                <wp:docPr id="79" name="矩形 79"/>
                <wp:cNvGraphicFramePr/>
                <a:graphic xmlns:a="http://schemas.openxmlformats.org/drawingml/2006/main">
                  <a:graphicData uri="http://schemas.microsoft.com/office/word/2010/wordprocessingShape">
                    <wps:wsp>
                      <wps:cNvSpPr/>
                      <wps:spPr>
                        <a:xfrm>
                          <a:off x="0" y="0"/>
                          <a:ext cx="1023620" cy="678815"/>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0.9pt;margin-top:384.95pt;height:53.45pt;width:80.6pt;z-index:251680768;mso-width-relative:page;mso-height-relative:page;" fillcolor="#FFFFFF" filled="t" stroked="t" coordsize="21600,21600" o:gfxdata="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rKv8g2QAAAAsBAAAPAAAAAAAAAAEAIAAAACIAAABkcnMvZG93bnJldi54&#10;bWxQSwECFAAUAAAACACHTuJAd2+kq/kBAAAgBAAADgAAAAAAAAABACAAAAAoAQAAZHJzL2Uyb0Rv&#10;Yy54bWxQSwUGAAAAAAYABgBZAQAAkwUAAAAA&#10;">
                <v:fill on="t" focussize="0,0"/>
                <v:stroke color="#FFFFFF" joinstyle="miter"/>
                <v:imagedata o:title=""/>
                <o:lock v:ext="edit" aspectratio="f"/>
              </v:rect>
            </w:pict>
          </mc:Fallback>
        </mc:AlternateContent>
      </w:r>
      <w:r>
        <w:rPr>
          <w:rFonts w:ascii="仿宋" w:hAnsi="仿宋" w:eastAsia="仿宋" w:cs="仿宋"/>
          <w:b/>
          <w:bCs/>
          <w:color w:val="000000"/>
          <w:sz w:val="24"/>
          <w:szCs w:val="24"/>
        </w:rPr>
        <w:br w:type="page"/>
      </w:r>
      <w:r>
        <w:rPr>
          <w:rFonts w:hint="eastAsia" w:ascii="方正小标宋简体" w:hAnsi="方正小标宋简体" w:eastAsia="方正小标宋简体" w:cs="方正小标宋简体"/>
          <w:color w:val="000000"/>
          <w:sz w:val="40"/>
          <w:szCs w:val="40"/>
        </w:rPr>
        <w:t>目   录</w:t>
      </w:r>
    </w:p>
    <w:p>
      <w:pPr>
        <w:keepNext w:val="0"/>
        <w:keepLines w:val="0"/>
        <w:pageBreakBefore w:val="0"/>
        <w:widowControl w:val="0"/>
        <w:wordWrap/>
        <w:bidi w:val="0"/>
        <w:adjustRightInd/>
        <w:snapToGrid/>
        <w:spacing w:after="0" w:line="500" w:lineRule="exact"/>
        <w:jc w:val="center"/>
        <w:rPr>
          <w:rFonts w:hint="eastAsia" w:ascii="方正小标宋简体" w:hAnsi="方正小标宋简体" w:eastAsia="方正小标宋简体" w:cs="方正小标宋简体"/>
          <w:color w:val="000000"/>
          <w:sz w:val="40"/>
          <w:szCs w:val="40"/>
        </w:rPr>
      </w:pP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tabs>
          <w:tab w:val="left" w:pos="1680"/>
          <w:tab w:val="right" w:leader="dot" w:pos="9062"/>
        </w:tabs>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TOC \o "1-3" \h \u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\l "_Toc75114609"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u w:val="single"/>
        </w:rPr>
        <w:t>第一章</w:t>
      </w:r>
      <w:r>
        <w:rPr>
          <w:rFonts w:hint="eastAsia" w:ascii="仿宋_GB2312" w:hAnsi="仿宋" w:eastAsia="仿宋_GB2312" w:cs="仿宋"/>
          <w:color w:val="000000"/>
          <w:kern w:val="2"/>
          <w:sz w:val="28"/>
          <w:szCs w:val="28"/>
        </w:rPr>
        <w:tab/>
      </w:r>
      <w:r>
        <w:rPr>
          <w:rFonts w:hint="eastAsia" w:ascii="仿宋_GB2312" w:hAnsi="仿宋" w:eastAsia="仿宋_GB2312" w:cs="仿宋"/>
          <w:color w:val="000000"/>
          <w:kern w:val="2"/>
          <w:sz w:val="28"/>
          <w:szCs w:val="28"/>
        </w:rPr>
        <w:t xml:space="preserve"> </w:t>
      </w:r>
      <w:r>
        <w:rPr>
          <w:rFonts w:hint="eastAsia" w:ascii="仿宋_GB2312" w:hAnsi="仿宋" w:eastAsia="仿宋_GB2312" w:cs="仿宋"/>
          <w:color w:val="000000"/>
          <w:sz w:val="28"/>
          <w:szCs w:val="28"/>
          <w:u w:val="single"/>
        </w:rPr>
        <w:t>总则</w:t>
      </w:r>
      <w:r>
        <w:rPr>
          <w:rFonts w:hint="eastAsia" w:ascii="仿宋_GB2312" w:hAnsi="仿宋" w:eastAsia="仿宋_GB2312" w:cs="仿宋"/>
          <w:color w:val="000000"/>
          <w:sz w:val="28"/>
          <w:szCs w:val="28"/>
        </w:rPr>
        <w:fldChar w:fldCharType="end"/>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tabs>
          <w:tab w:val="left" w:pos="1680"/>
          <w:tab w:val="right" w:leader="dot" w:pos="9062"/>
        </w:tabs>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\l "_Toc75114610"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第二章</w:t>
      </w:r>
      <w:r>
        <w:rPr>
          <w:rFonts w:hint="eastAsia" w:ascii="仿宋_GB2312" w:hAnsi="仿宋" w:eastAsia="仿宋_GB2312" w:cs="仿宋"/>
          <w:color w:val="000000"/>
          <w:sz w:val="28"/>
          <w:szCs w:val="28"/>
        </w:rPr>
        <w:tab/>
      </w:r>
      <w:r>
        <w:rPr>
          <w:rFonts w:hint="eastAsia" w:ascii="仿宋_GB2312" w:hAnsi="仿宋" w:eastAsia="仿宋_GB2312" w:cs="仿宋"/>
          <w:color w:val="000000"/>
          <w:sz w:val="28"/>
          <w:szCs w:val="28"/>
        </w:rPr>
        <w:t xml:space="preserve"> 提供法律咨询</w:t>
      </w:r>
      <w:r>
        <w:rPr>
          <w:rFonts w:hint="eastAsia" w:ascii="仿宋_GB2312" w:hAnsi="仿宋" w:eastAsia="仿宋_GB2312" w:cs="仿宋"/>
          <w:color w:val="000000"/>
          <w:sz w:val="28"/>
          <w:szCs w:val="28"/>
        </w:rPr>
        <w:fldChar w:fldCharType="end"/>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tabs>
          <w:tab w:val="left" w:pos="1680"/>
          <w:tab w:val="right" w:leader="dot" w:pos="9062"/>
        </w:tabs>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\l "_Toc75114611"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第三章</w:t>
      </w:r>
      <w:r>
        <w:rPr>
          <w:rFonts w:hint="eastAsia" w:ascii="仿宋_GB2312" w:hAnsi="仿宋" w:eastAsia="仿宋_GB2312" w:cs="仿宋"/>
          <w:color w:val="000000"/>
          <w:sz w:val="28"/>
          <w:szCs w:val="28"/>
        </w:rPr>
        <w:tab/>
      </w:r>
      <w:r>
        <w:rPr>
          <w:rFonts w:hint="eastAsia" w:ascii="仿宋_GB2312" w:hAnsi="仿宋" w:eastAsia="仿宋_GB2312" w:cs="仿宋"/>
          <w:color w:val="000000"/>
          <w:sz w:val="28"/>
          <w:szCs w:val="28"/>
        </w:rPr>
        <w:t xml:space="preserve"> 案件受理</w:t>
      </w:r>
      <w:r>
        <w:rPr>
          <w:rFonts w:hint="eastAsia" w:ascii="仿宋_GB2312" w:hAnsi="仿宋" w:eastAsia="仿宋_GB2312" w:cs="仿宋"/>
          <w:color w:val="000000"/>
          <w:sz w:val="28"/>
          <w:szCs w:val="28"/>
        </w:rPr>
        <w:fldChar w:fldCharType="end"/>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tabs>
          <w:tab w:val="right" w:leader="dot" w:pos="9062"/>
        </w:tabs>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\l "_Toc75114612"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u w:val="single"/>
        </w:rPr>
        <w:t>第一节  律师接受委托</w:t>
      </w:r>
      <w:r>
        <w:rPr>
          <w:rFonts w:hint="eastAsia" w:ascii="仿宋_GB2312" w:hAnsi="仿宋" w:eastAsia="仿宋_GB2312" w:cs="仿宋"/>
          <w:color w:val="000000"/>
          <w:sz w:val="28"/>
          <w:szCs w:val="28"/>
        </w:rPr>
        <w:fldChar w:fldCharType="end"/>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tabs>
          <w:tab w:val="right" w:leader="dot" w:pos="9062"/>
        </w:tabs>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\l "_Toc75114613"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u w:val="single"/>
        </w:rPr>
        <w:t>第二节  律师收费</w:t>
      </w:r>
      <w:r>
        <w:rPr>
          <w:rFonts w:hint="eastAsia" w:ascii="仿宋_GB2312" w:hAnsi="仿宋" w:eastAsia="仿宋_GB2312" w:cs="仿宋"/>
          <w:color w:val="000000"/>
          <w:sz w:val="28"/>
          <w:szCs w:val="28"/>
        </w:rPr>
        <w:fldChar w:fldCharType="end"/>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tabs>
          <w:tab w:val="left" w:pos="1680"/>
          <w:tab w:val="right" w:leader="dot" w:pos="9062"/>
        </w:tabs>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\l "_Toc75114614"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第四章</w:t>
      </w:r>
      <w:r>
        <w:rPr>
          <w:rFonts w:hint="eastAsia" w:ascii="仿宋_GB2312" w:hAnsi="仿宋" w:eastAsia="仿宋_GB2312" w:cs="仿宋"/>
          <w:color w:val="000000"/>
          <w:sz w:val="28"/>
          <w:szCs w:val="28"/>
        </w:rPr>
        <w:tab/>
      </w:r>
      <w:r>
        <w:rPr>
          <w:rFonts w:hint="eastAsia" w:ascii="仿宋_GB2312" w:hAnsi="仿宋" w:eastAsia="仿宋_GB2312" w:cs="仿宋"/>
          <w:color w:val="000000"/>
          <w:sz w:val="28"/>
          <w:szCs w:val="28"/>
        </w:rPr>
        <w:t xml:space="preserve"> 劳动关系的确认或用工主体责任的确定</w:t>
      </w:r>
      <w:r>
        <w:rPr>
          <w:rFonts w:hint="eastAsia" w:ascii="仿宋_GB2312" w:hAnsi="仿宋" w:eastAsia="仿宋_GB2312" w:cs="仿宋"/>
          <w:color w:val="000000"/>
          <w:sz w:val="28"/>
          <w:szCs w:val="28"/>
        </w:rPr>
        <w:fldChar w:fldCharType="end"/>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tabs>
          <w:tab w:val="left" w:pos="1680"/>
          <w:tab w:val="right" w:leader="dot" w:pos="9062"/>
        </w:tabs>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\l "_Toc75114615"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第五章</w:t>
      </w:r>
      <w:r>
        <w:rPr>
          <w:rFonts w:hint="eastAsia" w:ascii="仿宋_GB2312" w:hAnsi="仿宋" w:eastAsia="仿宋_GB2312" w:cs="仿宋"/>
          <w:color w:val="000000"/>
          <w:sz w:val="28"/>
          <w:szCs w:val="28"/>
        </w:rPr>
        <w:tab/>
      </w:r>
      <w:r>
        <w:rPr>
          <w:rFonts w:hint="eastAsia" w:ascii="仿宋_GB2312" w:hAnsi="仿宋" w:eastAsia="仿宋_GB2312" w:cs="仿宋"/>
          <w:color w:val="000000"/>
          <w:sz w:val="28"/>
          <w:szCs w:val="28"/>
        </w:rPr>
        <w:t xml:space="preserve"> 工伤认定</w:t>
      </w:r>
      <w:r>
        <w:rPr>
          <w:rFonts w:hint="eastAsia" w:ascii="仿宋_GB2312" w:hAnsi="仿宋" w:eastAsia="仿宋_GB2312" w:cs="仿宋"/>
          <w:color w:val="000000"/>
          <w:sz w:val="28"/>
          <w:szCs w:val="28"/>
        </w:rPr>
        <w:fldChar w:fldCharType="end"/>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tabs>
          <w:tab w:val="left" w:pos="1680"/>
          <w:tab w:val="right" w:leader="dot" w:pos="9062"/>
        </w:tabs>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\l "_Toc75114616"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第六章</w:t>
      </w:r>
      <w:r>
        <w:rPr>
          <w:rFonts w:hint="eastAsia" w:ascii="仿宋_GB2312" w:hAnsi="仿宋" w:eastAsia="仿宋_GB2312" w:cs="仿宋"/>
          <w:color w:val="000000"/>
          <w:sz w:val="28"/>
          <w:szCs w:val="28"/>
        </w:rPr>
        <w:tab/>
      </w:r>
      <w:r>
        <w:rPr>
          <w:rFonts w:hint="eastAsia" w:ascii="仿宋_GB2312" w:hAnsi="仿宋" w:eastAsia="仿宋_GB2312" w:cs="仿宋"/>
          <w:color w:val="000000"/>
          <w:sz w:val="28"/>
          <w:szCs w:val="28"/>
        </w:rPr>
        <w:t xml:space="preserve"> 工伤行政复议或诉讼</w:t>
      </w:r>
      <w:r>
        <w:rPr>
          <w:rFonts w:hint="eastAsia" w:ascii="仿宋_GB2312" w:hAnsi="仿宋" w:eastAsia="仿宋_GB2312" w:cs="仿宋"/>
          <w:color w:val="000000"/>
          <w:sz w:val="28"/>
          <w:szCs w:val="28"/>
        </w:rPr>
        <w:fldChar w:fldCharType="end"/>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tabs>
          <w:tab w:val="left" w:pos="1680"/>
          <w:tab w:val="right" w:leader="dot" w:pos="9062"/>
        </w:tabs>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\l "_Toc75114617"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第七章</w:t>
      </w:r>
      <w:r>
        <w:rPr>
          <w:rFonts w:hint="eastAsia" w:ascii="仿宋_GB2312" w:hAnsi="仿宋" w:eastAsia="仿宋_GB2312" w:cs="仿宋"/>
          <w:color w:val="000000"/>
          <w:sz w:val="28"/>
          <w:szCs w:val="28"/>
        </w:rPr>
        <w:tab/>
      </w:r>
      <w:r>
        <w:rPr>
          <w:rFonts w:hint="eastAsia" w:ascii="仿宋_GB2312" w:hAnsi="仿宋" w:eastAsia="仿宋_GB2312" w:cs="仿宋"/>
          <w:color w:val="000000"/>
          <w:sz w:val="28"/>
          <w:szCs w:val="28"/>
        </w:rPr>
        <w:t xml:space="preserve"> 劳动能力鉴定</w:t>
      </w:r>
      <w:r>
        <w:rPr>
          <w:rFonts w:hint="eastAsia" w:ascii="仿宋_GB2312" w:hAnsi="仿宋" w:eastAsia="仿宋_GB2312" w:cs="仿宋"/>
          <w:color w:val="000000"/>
          <w:sz w:val="28"/>
          <w:szCs w:val="28"/>
        </w:rPr>
        <w:fldChar w:fldCharType="end"/>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tabs>
          <w:tab w:val="right" w:leader="dot" w:pos="9062"/>
        </w:tabs>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\l "_Toc75114618"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u w:val="single"/>
        </w:rPr>
        <w:t>第一节  初次劳动能力鉴定</w:t>
      </w:r>
      <w:r>
        <w:rPr>
          <w:rFonts w:hint="eastAsia" w:ascii="仿宋_GB2312" w:hAnsi="仿宋" w:eastAsia="仿宋_GB2312" w:cs="仿宋"/>
          <w:color w:val="000000"/>
          <w:sz w:val="28"/>
          <w:szCs w:val="28"/>
        </w:rPr>
        <w:fldChar w:fldCharType="end"/>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tabs>
          <w:tab w:val="right" w:leader="dot" w:pos="9062"/>
        </w:tabs>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\l "_Toc75114619"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u w:val="single"/>
        </w:rPr>
        <w:t>第二节  再次鉴定和复查鉴定</w:t>
      </w:r>
      <w:r>
        <w:rPr>
          <w:rFonts w:hint="eastAsia" w:ascii="仿宋_GB2312" w:hAnsi="仿宋" w:eastAsia="仿宋_GB2312" w:cs="仿宋"/>
          <w:color w:val="000000"/>
          <w:sz w:val="28"/>
          <w:szCs w:val="28"/>
        </w:rPr>
        <w:fldChar w:fldCharType="end"/>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tabs>
          <w:tab w:val="left" w:pos="1680"/>
          <w:tab w:val="right" w:leader="dot" w:pos="9062"/>
        </w:tabs>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\l "_Toc75114620"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第八章</w:t>
      </w:r>
      <w:r>
        <w:rPr>
          <w:rFonts w:hint="eastAsia" w:ascii="仿宋_GB2312" w:hAnsi="仿宋" w:eastAsia="仿宋_GB2312" w:cs="仿宋"/>
          <w:color w:val="000000"/>
          <w:sz w:val="28"/>
          <w:szCs w:val="28"/>
        </w:rPr>
        <w:tab/>
      </w:r>
      <w:r>
        <w:rPr>
          <w:rFonts w:hint="eastAsia" w:ascii="仿宋_GB2312" w:hAnsi="仿宋" w:eastAsia="仿宋_GB2312" w:cs="仿宋"/>
          <w:color w:val="000000"/>
          <w:sz w:val="28"/>
          <w:szCs w:val="28"/>
        </w:rPr>
        <w:t xml:space="preserve"> 工伤赔偿项目</w:t>
      </w:r>
      <w:r>
        <w:rPr>
          <w:rFonts w:hint="eastAsia" w:ascii="仿宋_GB2312" w:hAnsi="仿宋" w:eastAsia="仿宋_GB2312" w:cs="仿宋"/>
          <w:color w:val="000000"/>
          <w:sz w:val="28"/>
          <w:szCs w:val="28"/>
        </w:rPr>
        <w:fldChar w:fldCharType="end"/>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tabs>
          <w:tab w:val="left" w:pos="1680"/>
          <w:tab w:val="right" w:leader="dot" w:pos="9062"/>
        </w:tabs>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\l "_Toc75114621"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第九章</w:t>
      </w:r>
      <w:r>
        <w:rPr>
          <w:rFonts w:hint="eastAsia" w:ascii="仿宋_GB2312" w:hAnsi="仿宋" w:eastAsia="仿宋_GB2312" w:cs="仿宋"/>
          <w:color w:val="000000"/>
          <w:sz w:val="28"/>
          <w:szCs w:val="28"/>
        </w:rPr>
        <w:tab/>
      </w:r>
      <w:r>
        <w:rPr>
          <w:rFonts w:hint="eastAsia" w:ascii="仿宋_GB2312" w:hAnsi="仿宋" w:eastAsia="仿宋_GB2312" w:cs="仿宋"/>
          <w:color w:val="000000"/>
          <w:sz w:val="28"/>
          <w:szCs w:val="28"/>
        </w:rPr>
        <w:t xml:space="preserve"> 仲裁前的工作</w:t>
      </w:r>
      <w:r>
        <w:rPr>
          <w:rFonts w:hint="eastAsia" w:ascii="仿宋_GB2312" w:hAnsi="仿宋" w:eastAsia="仿宋_GB2312" w:cs="仿宋"/>
          <w:color w:val="000000"/>
          <w:sz w:val="28"/>
          <w:szCs w:val="28"/>
        </w:rPr>
        <w:fldChar w:fldCharType="end"/>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tabs>
          <w:tab w:val="right" w:leader="dot" w:pos="9062"/>
        </w:tabs>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\l "_Toc75114622"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u w:val="single"/>
        </w:rPr>
        <w:t>第一节  调查取证</w:t>
      </w:r>
      <w:r>
        <w:rPr>
          <w:rFonts w:hint="eastAsia" w:ascii="仿宋_GB2312" w:hAnsi="仿宋" w:eastAsia="仿宋_GB2312" w:cs="仿宋"/>
          <w:color w:val="000000"/>
          <w:sz w:val="28"/>
          <w:szCs w:val="28"/>
        </w:rPr>
        <w:fldChar w:fldCharType="end"/>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tabs>
          <w:tab w:val="right" w:leader="dot" w:pos="9062"/>
        </w:tabs>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\l "_Toc75114623"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u w:val="single"/>
        </w:rPr>
        <w:t>第二节  其他诉前工作</w:t>
      </w:r>
      <w:r>
        <w:rPr>
          <w:rFonts w:hint="eastAsia" w:ascii="仿宋_GB2312" w:hAnsi="仿宋" w:eastAsia="仿宋_GB2312" w:cs="仿宋"/>
          <w:color w:val="000000"/>
          <w:sz w:val="28"/>
          <w:szCs w:val="28"/>
        </w:rPr>
        <w:fldChar w:fldCharType="end"/>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tabs>
          <w:tab w:val="left" w:pos="1680"/>
          <w:tab w:val="right" w:leader="dot" w:pos="9062"/>
        </w:tabs>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\l "_Toc75114624"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第十章</w:t>
      </w:r>
      <w:r>
        <w:rPr>
          <w:rFonts w:hint="eastAsia" w:ascii="仿宋_GB2312" w:hAnsi="仿宋" w:eastAsia="仿宋_GB2312" w:cs="仿宋"/>
          <w:color w:val="000000"/>
          <w:sz w:val="28"/>
          <w:szCs w:val="28"/>
        </w:rPr>
        <w:tab/>
      </w:r>
      <w:r>
        <w:rPr>
          <w:rFonts w:hint="eastAsia" w:ascii="仿宋_GB2312" w:hAnsi="仿宋" w:eastAsia="仿宋_GB2312" w:cs="仿宋"/>
          <w:color w:val="000000"/>
          <w:sz w:val="28"/>
          <w:szCs w:val="28"/>
        </w:rPr>
        <w:t xml:space="preserve"> 仲裁阶段</w:t>
      </w:r>
      <w:r>
        <w:rPr>
          <w:rFonts w:hint="eastAsia" w:ascii="仿宋_GB2312" w:hAnsi="仿宋" w:eastAsia="仿宋_GB2312" w:cs="仿宋"/>
          <w:color w:val="000000"/>
          <w:sz w:val="28"/>
          <w:szCs w:val="28"/>
        </w:rPr>
        <w:fldChar w:fldCharType="end"/>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tabs>
          <w:tab w:val="right" w:leader="dot" w:pos="9062"/>
        </w:tabs>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\l "_Toc75114625"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u w:val="single"/>
        </w:rPr>
        <w:t>第一节  立案</w:t>
      </w:r>
      <w:r>
        <w:rPr>
          <w:rFonts w:hint="eastAsia" w:ascii="仿宋_GB2312" w:hAnsi="仿宋" w:eastAsia="仿宋_GB2312" w:cs="仿宋"/>
          <w:color w:val="000000"/>
          <w:sz w:val="28"/>
          <w:szCs w:val="28"/>
        </w:rPr>
        <w:fldChar w:fldCharType="end"/>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tabs>
          <w:tab w:val="right" w:leader="dot" w:pos="9062"/>
        </w:tabs>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\l "_Toc75114626"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u w:val="single"/>
        </w:rPr>
        <w:t>第二节  举证及答辩</w:t>
      </w:r>
      <w:r>
        <w:rPr>
          <w:rFonts w:hint="eastAsia" w:ascii="仿宋_GB2312" w:hAnsi="仿宋" w:eastAsia="仿宋_GB2312" w:cs="仿宋"/>
          <w:color w:val="000000"/>
          <w:sz w:val="28"/>
          <w:szCs w:val="28"/>
        </w:rPr>
        <w:fldChar w:fldCharType="end"/>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tabs>
          <w:tab w:val="right" w:leader="dot" w:pos="9062"/>
        </w:tabs>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\l "_Toc75114627"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u w:val="single"/>
        </w:rPr>
        <w:t>第二节  开庭</w:t>
      </w:r>
      <w:r>
        <w:rPr>
          <w:rFonts w:hint="eastAsia" w:ascii="仿宋_GB2312" w:hAnsi="仿宋" w:eastAsia="仿宋_GB2312" w:cs="仿宋"/>
          <w:color w:val="000000"/>
          <w:sz w:val="28"/>
          <w:szCs w:val="28"/>
        </w:rPr>
        <w:fldChar w:fldCharType="end"/>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tabs>
          <w:tab w:val="left" w:pos="1680"/>
          <w:tab w:val="right" w:leader="dot" w:pos="9062"/>
        </w:tabs>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\l "_Toc75114628"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第十一章  诉讼阶段</w:t>
      </w:r>
      <w:r>
        <w:rPr>
          <w:rFonts w:hint="eastAsia" w:ascii="仿宋_GB2312" w:hAnsi="仿宋" w:eastAsia="仿宋_GB2312" w:cs="仿宋"/>
          <w:color w:val="000000"/>
          <w:sz w:val="28"/>
          <w:szCs w:val="28"/>
        </w:rPr>
        <w:fldChar w:fldCharType="end"/>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tabs>
          <w:tab w:val="left" w:pos="1680"/>
          <w:tab w:val="right" w:leader="dot" w:pos="9062"/>
        </w:tabs>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\l "_Toc75114629"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第十二章  调解</w:t>
      </w:r>
      <w:r>
        <w:rPr>
          <w:rFonts w:hint="eastAsia" w:ascii="仿宋_GB2312" w:hAnsi="仿宋" w:eastAsia="仿宋_GB2312" w:cs="仿宋"/>
          <w:color w:val="000000"/>
          <w:sz w:val="28"/>
          <w:szCs w:val="28"/>
        </w:rPr>
        <w:fldChar w:fldCharType="end"/>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tabs>
          <w:tab w:val="left" w:pos="1680"/>
          <w:tab w:val="right" w:leader="dot" w:pos="9062"/>
        </w:tabs>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\l "_Toc75114630"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第十三章  执行阶段</w:t>
      </w:r>
      <w:r>
        <w:rPr>
          <w:rFonts w:hint="eastAsia" w:ascii="仿宋_GB2312" w:hAnsi="仿宋" w:eastAsia="仿宋_GB2312" w:cs="仿宋"/>
          <w:color w:val="000000"/>
          <w:sz w:val="28"/>
          <w:szCs w:val="28"/>
        </w:rPr>
        <w:fldChar w:fldCharType="end"/>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tabs>
          <w:tab w:val="left" w:pos="1680"/>
          <w:tab w:val="right" w:leader="dot" w:pos="9062"/>
        </w:tabs>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\l "_Toc75114631"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第十四章  工伤法律援助案件的办理</w:t>
      </w:r>
      <w:r>
        <w:rPr>
          <w:rFonts w:hint="eastAsia" w:ascii="仿宋_GB2312" w:hAnsi="仿宋" w:eastAsia="仿宋_GB2312" w:cs="仿宋"/>
          <w:color w:val="000000"/>
          <w:sz w:val="28"/>
          <w:szCs w:val="28"/>
        </w:rPr>
        <w:fldChar w:fldCharType="end"/>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tabs>
          <w:tab w:val="left" w:pos="1680"/>
          <w:tab w:val="right" w:leader="dot" w:pos="9062"/>
        </w:tabs>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\l "_Toc75114632"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第十五章  案件归档</w:t>
      </w:r>
      <w:r>
        <w:rPr>
          <w:rFonts w:hint="eastAsia" w:ascii="仿宋_GB2312" w:hAnsi="仿宋" w:eastAsia="仿宋_GB2312" w:cs="仿宋"/>
          <w:color w:val="000000"/>
          <w:sz w:val="28"/>
          <w:szCs w:val="28"/>
        </w:rPr>
        <w:fldChar w:fldCharType="end"/>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tabs>
          <w:tab w:val="left" w:pos="1680"/>
          <w:tab w:val="right" w:leader="dot" w:pos="9062"/>
        </w:tabs>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\l "_Toc75114633"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第十六章  附则</w:t>
      </w:r>
      <w:r>
        <w:rPr>
          <w:rFonts w:hint="eastAsia" w:ascii="仿宋_GB2312" w:hAnsi="仿宋" w:eastAsia="仿宋_GB2312" w:cs="仿宋"/>
          <w:color w:val="000000"/>
          <w:sz w:val="28"/>
          <w:szCs w:val="28"/>
        </w:rPr>
        <w:fldChar w:fldCharType="end"/>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tabs>
          <w:tab w:val="right" w:leader="dot" w:pos="9062"/>
        </w:tabs>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\l "_Toc75114634"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u w:val="single"/>
        </w:rPr>
        <w:t>1.工伤认定赔付流程图</w:t>
      </w:r>
      <w:r>
        <w:rPr>
          <w:rFonts w:hint="eastAsia" w:ascii="仿宋_GB2312" w:hAnsi="仿宋" w:eastAsia="仿宋_GB2312" w:cs="仿宋"/>
          <w:color w:val="000000"/>
          <w:sz w:val="28"/>
          <w:szCs w:val="28"/>
        </w:rPr>
        <w:fldChar w:fldCharType="end"/>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tabs>
          <w:tab w:val="right" w:leader="dot" w:pos="9062"/>
        </w:tabs>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\l "_Toc75114635"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u w:val="single"/>
        </w:rPr>
        <w:t>2.工伤案件咨询登记表</w:t>
      </w:r>
      <w:r>
        <w:rPr>
          <w:rFonts w:hint="eastAsia" w:ascii="仿宋_GB2312" w:hAnsi="仿宋" w:eastAsia="仿宋_GB2312" w:cs="仿宋"/>
          <w:color w:val="000000"/>
          <w:sz w:val="28"/>
          <w:szCs w:val="28"/>
        </w:rPr>
        <w:fldChar w:fldCharType="end"/>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tabs>
          <w:tab w:val="right" w:leader="dot" w:pos="9062"/>
        </w:tabs>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\l "_Toc75114636"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u w:val="single"/>
        </w:rPr>
        <w:t>3.工伤待遇赔付清单</w:t>
      </w:r>
      <w:r>
        <w:rPr>
          <w:rFonts w:hint="eastAsia" w:ascii="仿宋_GB2312" w:hAnsi="仿宋" w:eastAsia="仿宋_GB2312" w:cs="仿宋"/>
          <w:color w:val="000000"/>
          <w:sz w:val="28"/>
          <w:szCs w:val="28"/>
        </w:rPr>
        <w:fldChar w:fldCharType="end"/>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tabs>
          <w:tab w:val="right" w:leader="dot" w:pos="9062"/>
        </w:tabs>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\l "_Toc75114637"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u w:val="single"/>
        </w:rPr>
        <w:t>4.风险告知书</w:t>
      </w:r>
      <w:r>
        <w:rPr>
          <w:rFonts w:hint="eastAsia" w:ascii="仿宋_GB2312" w:hAnsi="仿宋" w:eastAsia="仿宋_GB2312" w:cs="仿宋"/>
          <w:color w:val="000000"/>
          <w:sz w:val="28"/>
          <w:szCs w:val="28"/>
        </w:rPr>
        <w:fldChar w:fldCharType="end"/>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tabs>
          <w:tab w:val="right" w:leader="dot" w:pos="9062"/>
        </w:tabs>
        <w:wordWrap/>
        <w:bidi w:val="0"/>
        <w:adjustRightInd/>
        <w:snapToGrid/>
        <w:spacing w:after="0" w:line="500" w:lineRule="exact"/>
        <w:ind w:firstLine="522" w:firstLineChars="200"/>
        <w:jc w:val="both"/>
        <w:rPr>
          <w:rFonts w:hint="eastAsia" w:ascii="仿宋_GB2312" w:hAnsi="仿宋" w:eastAsia="仿宋_GB2312" w:cs="仿宋"/>
          <w:color w:val="000000"/>
          <w:kern w:val="2"/>
          <w:sz w:val="28"/>
          <w:szCs w:val="28"/>
        </w:rPr>
      </w:pP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\l "_Toc75114638"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u w:val="single"/>
        </w:rPr>
        <w:t>5.和解协议</w:t>
      </w:r>
      <w:r>
        <w:rPr>
          <w:rFonts w:hint="eastAsia" w:ascii="仿宋_GB2312" w:hAnsi="仿宋" w:eastAsia="仿宋_GB2312" w:cs="仿宋"/>
          <w:color w:val="000000"/>
          <w:sz w:val="28"/>
          <w:szCs w:val="28"/>
        </w:rPr>
        <w:fldChar w:fldCharType="end"/>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227" w:beforeLines="50" w:after="227" w:afterLines="50" w:line="500" w:lineRule="exact"/>
        <w:ind w:firstLine="522" w:firstLineChars="200"/>
        <w:jc w:val="both"/>
        <w:rPr>
          <w:rFonts w:hint="eastAsia" w:ascii="仿宋" w:hAnsi="仿宋" w:eastAsia="仿宋" w:cs="仿宋"/>
          <w:color w:val="000000"/>
          <w:sz w:val="28"/>
          <w:szCs w:val="28"/>
        </w:rPr>
      </w:pPr>
      <w:r>
        <w:rPr>
          <w:rFonts w:hint="eastAsia" w:ascii="仿宋_GB2312" w:hAnsi="仿宋" w:eastAsia="仿宋_GB2312" w:cs="仿宋"/>
          <w:color w:val="000000"/>
          <w:sz w:val="28"/>
          <w:szCs w:val="28"/>
        </w:rPr>
        <w:fldChar w:fldCharType="end"/>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jc w:val="center"/>
        <w:rPr>
          <w:rFonts w:hint="eastAsia" w:ascii="方正小标宋简体" w:hAnsi="方正小标宋简体" w:eastAsia="方正小标宋简体" w:cs="方正小标宋简体"/>
          <w:color w:val="000000"/>
          <w:sz w:val="40"/>
          <w:szCs w:val="40"/>
        </w:rPr>
      </w:pPr>
      <w:r>
        <w:rPr>
          <w:rFonts w:hint="eastAsia" w:ascii="Calibri" w:hAnsi="Calibri" w:eastAsia="仿宋" w:cs="Calibri"/>
          <w:b/>
          <w:bCs/>
          <w:color w:val="000000"/>
          <w:sz w:val="28"/>
          <w:szCs w:val="28"/>
        </w:rPr>
        <w:br w:type="page"/>
      </w:r>
      <w:r>
        <w:rPr>
          <w:rFonts w:hint="eastAsia" w:ascii="方正小标宋简体" w:hAnsi="方正小标宋简体" w:eastAsia="方正小标宋简体" w:cs="方正小标宋简体"/>
          <w:color w:val="000000"/>
          <w:sz w:val="40"/>
          <w:szCs w:val="40"/>
        </w:rPr>
        <w:t>律师办理工伤劳动争议案件业务操作指引</w:t>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522" w:firstLineChars="200"/>
        <w:jc w:val="both"/>
        <w:rPr>
          <w:rFonts w:hint="eastAsia" w:ascii="仿宋" w:hAnsi="仿宋" w:eastAsia="仿宋" w:cs="仿宋"/>
          <w:b/>
          <w:bCs/>
          <w:color w:val="000000"/>
          <w:sz w:val="28"/>
          <w:szCs w:val="28"/>
        </w:rPr>
      </w:pPr>
    </w:p>
    <w:p>
      <w:pPr>
        <w:keepNext w:val="0"/>
        <w:keepLines w:val="0"/>
        <w:pageBreakBefore w:val="0"/>
        <w:widowControl w:val="0"/>
        <w:numPr>
          <w:ilvl w:val="0"/>
          <w:numId w:val="171"/>
        </w:numPr>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522" w:firstLineChars="200"/>
        <w:jc w:val="center"/>
        <w:outlineLvl w:val="0"/>
        <w:rPr>
          <w:rFonts w:hint="eastAsia" w:ascii="黑体" w:hAnsi="黑体" w:eastAsia="黑体" w:cs="黑体"/>
          <w:color w:val="000000"/>
          <w:kern w:val="2"/>
          <w:sz w:val="28"/>
          <w:szCs w:val="28"/>
        </w:rPr>
      </w:pPr>
      <w:bookmarkStart w:id="255" w:name="_Toc8706"/>
      <w:bookmarkStart w:id="256" w:name="_Toc75114609"/>
      <w:bookmarkStart w:id="257" w:name="_Toc73975151"/>
      <w:r>
        <w:rPr>
          <w:rFonts w:hint="eastAsia" w:ascii="黑体" w:hAnsi="黑体" w:eastAsia="黑体" w:cs="黑体"/>
          <w:color w:val="000000"/>
          <w:kern w:val="2"/>
          <w:sz w:val="28"/>
          <w:szCs w:val="28"/>
        </w:rPr>
        <w:t xml:space="preserve">  </w:t>
      </w:r>
      <w:bookmarkStart w:id="258" w:name="_Toc21406"/>
      <w:r>
        <w:rPr>
          <w:rFonts w:hint="eastAsia" w:ascii="黑体" w:hAnsi="黑体" w:eastAsia="黑体" w:cs="黑体"/>
          <w:color w:val="000000"/>
          <w:kern w:val="2"/>
          <w:sz w:val="28"/>
          <w:szCs w:val="28"/>
        </w:rPr>
        <w:t>总则</w:t>
      </w:r>
      <w:bookmarkEnd w:id="255"/>
      <w:bookmarkEnd w:id="256"/>
      <w:bookmarkEnd w:id="257"/>
      <w:bookmarkEnd w:id="258"/>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rPr>
        <w:t xml:space="preserve">  为了规范律师办理工伤劳动争议纠纷案件，依法履行职责，防范执业风险，提高律师办理工伤纠纷案件的办案质量和效率，维护委托人的合法权益，特制定本指引。</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 xml:space="preserve">  本指引所指的律师，是指依法取得律师执业证书，接受委托或者指定，为委托人提供法律服务的执业人员。未取得律师执业证书的实习律师不得单独办理劳动争议案件，但可协助执业律师工作。</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 xml:space="preserve">  律师在引用本指引办理工伤纠纷案件时，应充分认识到工伤纠纷案件的复杂性和特殊性，注意到不同法律层级的规定与新旧法律之间的衔接，注意到司法实务中存在的争议，并结合个案的事实，作出正确的判断。</w:t>
      </w:r>
    </w:p>
    <w:p>
      <w:pPr>
        <w:keepNext w:val="0"/>
        <w:keepLines w:val="0"/>
        <w:pageBreakBefore w:val="0"/>
        <w:widowControl w:val="0"/>
        <w:pBdr>
          <w:between w:val="none" w:color="000000" w:sz="0" w:space="0"/>
        </w:pBdr>
        <w:shd w:val="clear" w:color="auto" w:fill="FFFFFF"/>
        <w:wordWrap/>
        <w:bidi w:val="0"/>
        <w:adjustRightInd/>
        <w:snapToGrid/>
        <w:spacing w:after="0" w:line="500" w:lineRule="exact"/>
        <w:contextualSpacing/>
        <w:jc w:val="both"/>
        <w:rPr>
          <w:rFonts w:hint="eastAsia" w:ascii="仿宋" w:hAnsi="仿宋" w:eastAsia="仿宋" w:cs="仿宋"/>
          <w:color w:val="000000"/>
          <w:sz w:val="28"/>
          <w:szCs w:val="28"/>
          <w:shd w:val="clear" w:color="auto" w:fill="FFFFFF"/>
        </w:rPr>
      </w:pPr>
    </w:p>
    <w:p>
      <w:pPr>
        <w:keepNext w:val="0"/>
        <w:keepLines w:val="0"/>
        <w:pageBreakBefore w:val="0"/>
        <w:widowControl w:val="0"/>
        <w:numPr>
          <w:ilvl w:val="0"/>
          <w:numId w:val="171"/>
        </w:numPr>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0"/>
        <w:jc w:val="center"/>
        <w:outlineLvl w:val="0"/>
        <w:rPr>
          <w:rFonts w:hint="eastAsia" w:ascii="黑体" w:hAnsi="黑体" w:eastAsia="黑体" w:cs="黑体"/>
          <w:color w:val="000000"/>
          <w:kern w:val="2"/>
          <w:sz w:val="28"/>
          <w:szCs w:val="28"/>
        </w:rPr>
      </w:pPr>
      <w:bookmarkStart w:id="259" w:name="_Toc26341"/>
      <w:bookmarkStart w:id="260" w:name="_Toc73975152"/>
      <w:bookmarkStart w:id="261" w:name="_Toc75114610"/>
      <w:r>
        <w:rPr>
          <w:rFonts w:hint="eastAsia" w:ascii="黑体" w:hAnsi="黑体" w:eastAsia="黑体" w:cs="黑体"/>
          <w:color w:val="000000"/>
          <w:kern w:val="2"/>
          <w:sz w:val="28"/>
          <w:szCs w:val="28"/>
        </w:rPr>
        <w:t xml:space="preserve">  </w:t>
      </w:r>
      <w:bookmarkStart w:id="262" w:name="_Toc18856"/>
      <w:r>
        <w:rPr>
          <w:rFonts w:hint="eastAsia" w:ascii="黑体" w:hAnsi="黑体" w:eastAsia="黑体" w:cs="黑体"/>
          <w:color w:val="000000"/>
          <w:kern w:val="2"/>
          <w:sz w:val="28"/>
          <w:szCs w:val="28"/>
        </w:rPr>
        <w:t>提供法律咨询</w:t>
      </w:r>
      <w:bookmarkEnd w:id="259"/>
      <w:bookmarkEnd w:id="260"/>
      <w:bookmarkEnd w:id="261"/>
      <w:bookmarkEnd w:id="262"/>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 xml:space="preserve">  律师接待工伤纠纷案件咨询时，应当了解案情概况，并要求提供相关书面材料。需要收取咨询费用的，应提前告知相关收费的规定及收费标准。</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如法律咨询主体为用人单位，应告知依照《社会保险法》、《工伤保险条例》、《社会保险费申报缴纳管理规定》等规定，用人单位应当自用工之日起三十日内为其职工向社会保险经办机构申请办理社会保险登记并申报缴纳社会保险费。用人单位应当参加工伤保险而未参加的，社会保险行政部门会责令限期参加，补缴应当缴纳的工伤保险费，并自欠缴之日起，按日加收万分之五的滞纳金；逾期仍不缴纳的，处欠缴数额1倍以上3倍以下的罚款。应当参加工伤保险而未参加工伤保险的用人单位职工发生工伤的，由该用人单位按照《工伤保险条例》规定的工伤保险待遇项目和标准支付费用，用人单位不支付的，从工伤保险基金中先行支付。从工伤保险基金中先行支付的工伤保险待遇应当由用人单位偿还。用人单位不偿还的，社会保险经办机构可以追偿。用人单位参加工伤保险并补缴应当缴纳的工伤保险费、滞纳金后，由工伤保险基金和用人单位依照《工伤保险条例》的规定支付新发生的费用。</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 xml:space="preserve">  律师提供工伤纠纷案件咨询，可结合委托人的诉求，从以下各方面了解相关案件情况，并填写《工伤案件咨询登记表》：</w:t>
      </w:r>
    </w:p>
    <w:p>
      <w:pPr>
        <w:keepNext w:val="0"/>
        <w:keepLines w:val="0"/>
        <w:pageBreakBefore w:val="0"/>
        <w:widowControl w:val="0"/>
        <w:numPr>
          <w:ilvl w:val="0"/>
          <w:numId w:val="173"/>
        </w:numPr>
        <w:pBdr>
          <w:between w:val="none" w:color="000000" w:sz="0" w:space="0"/>
        </w:pBdr>
        <w:shd w:val="clear" w:color="auto" w:fill="FFFFFF"/>
        <w:wordWrap/>
        <w:bidi w:val="0"/>
        <w:adjustRightInd/>
        <w:snapToGrid/>
        <w:spacing w:after="0" w:line="500" w:lineRule="exact"/>
        <w:ind w:left="0"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rPr>
        <w:t>委托人的概况（包括但不限于工伤职工的身份信息以及用人单位的性质、所处地域、规模、员工人数、所属行业等）；</w:t>
      </w:r>
    </w:p>
    <w:p>
      <w:pPr>
        <w:keepNext w:val="0"/>
        <w:keepLines w:val="0"/>
        <w:pageBreakBefore w:val="0"/>
        <w:widowControl w:val="0"/>
        <w:numPr>
          <w:ilvl w:val="0"/>
          <w:numId w:val="173"/>
        </w:numPr>
        <w:pBdr>
          <w:between w:val="none" w:color="000000" w:sz="0" w:space="0"/>
        </w:pBdr>
        <w:shd w:val="clear" w:color="auto" w:fill="FFFFFF"/>
        <w:wordWrap/>
        <w:bidi w:val="0"/>
        <w:adjustRightInd/>
        <w:snapToGrid/>
        <w:spacing w:after="0" w:line="500" w:lineRule="exact"/>
        <w:ind w:left="0"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rPr>
        <w:t>用工性质；</w:t>
      </w:r>
    </w:p>
    <w:p>
      <w:pPr>
        <w:keepNext w:val="0"/>
        <w:keepLines w:val="0"/>
        <w:pageBreakBefore w:val="0"/>
        <w:widowControl w:val="0"/>
        <w:numPr>
          <w:ilvl w:val="0"/>
          <w:numId w:val="173"/>
        </w:numPr>
        <w:pBdr>
          <w:between w:val="none" w:color="000000" w:sz="0" w:space="0"/>
        </w:pBdr>
        <w:shd w:val="clear" w:color="auto" w:fill="FFFFFF"/>
        <w:wordWrap/>
        <w:bidi w:val="0"/>
        <w:adjustRightInd/>
        <w:snapToGrid/>
        <w:spacing w:after="0" w:line="500" w:lineRule="exact"/>
        <w:ind w:left="0"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rPr>
        <w:t>劳动合同签订情况；</w:t>
      </w:r>
    </w:p>
    <w:p>
      <w:pPr>
        <w:keepNext w:val="0"/>
        <w:keepLines w:val="0"/>
        <w:pageBreakBefore w:val="0"/>
        <w:widowControl w:val="0"/>
        <w:numPr>
          <w:ilvl w:val="0"/>
          <w:numId w:val="173"/>
        </w:numPr>
        <w:pBdr>
          <w:between w:val="none" w:color="000000" w:sz="0" w:space="0"/>
        </w:pBdr>
        <w:shd w:val="clear" w:color="auto" w:fill="FFFFFF"/>
        <w:wordWrap/>
        <w:bidi w:val="0"/>
        <w:adjustRightInd/>
        <w:snapToGrid/>
        <w:spacing w:after="0" w:line="500" w:lineRule="exact"/>
        <w:ind w:left="0"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rPr>
        <w:t>社会保险缴纳情况；</w:t>
      </w:r>
    </w:p>
    <w:p>
      <w:pPr>
        <w:keepNext w:val="0"/>
        <w:keepLines w:val="0"/>
        <w:pageBreakBefore w:val="0"/>
        <w:widowControl w:val="0"/>
        <w:numPr>
          <w:ilvl w:val="0"/>
          <w:numId w:val="173"/>
        </w:numPr>
        <w:pBdr>
          <w:between w:val="none" w:color="000000" w:sz="0" w:space="0"/>
        </w:pBdr>
        <w:shd w:val="clear" w:color="auto" w:fill="FFFFFF"/>
        <w:wordWrap/>
        <w:bidi w:val="0"/>
        <w:adjustRightInd/>
        <w:snapToGrid/>
        <w:spacing w:after="0" w:line="500" w:lineRule="exact"/>
        <w:ind w:left="0"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rPr>
        <w:t>劳动保护的有关情况；</w:t>
      </w:r>
    </w:p>
    <w:p>
      <w:pPr>
        <w:keepNext w:val="0"/>
        <w:keepLines w:val="0"/>
        <w:pageBreakBefore w:val="0"/>
        <w:widowControl w:val="0"/>
        <w:numPr>
          <w:ilvl w:val="0"/>
          <w:numId w:val="173"/>
        </w:numPr>
        <w:pBdr>
          <w:between w:val="none" w:color="000000" w:sz="0" w:space="0"/>
        </w:pBdr>
        <w:shd w:val="clear" w:color="auto" w:fill="FFFFFF"/>
        <w:wordWrap/>
        <w:bidi w:val="0"/>
        <w:adjustRightInd/>
        <w:snapToGrid/>
        <w:spacing w:after="0" w:line="500" w:lineRule="exact"/>
        <w:ind w:left="0" w:firstLine="522" w:firstLineChars="200"/>
        <w:contextualSpacing/>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劳动合同解除、终止及经济补偿、赔偿金的支付情况；</w:t>
      </w:r>
    </w:p>
    <w:p>
      <w:pPr>
        <w:keepNext w:val="0"/>
        <w:keepLines w:val="0"/>
        <w:pageBreakBefore w:val="0"/>
        <w:widowControl w:val="0"/>
        <w:numPr>
          <w:ilvl w:val="0"/>
          <w:numId w:val="173"/>
        </w:numPr>
        <w:pBdr>
          <w:between w:val="none" w:color="000000" w:sz="0" w:space="0"/>
        </w:pBdr>
        <w:shd w:val="clear" w:color="auto" w:fill="FFFFFF"/>
        <w:wordWrap/>
        <w:bidi w:val="0"/>
        <w:adjustRightInd/>
        <w:snapToGrid/>
        <w:spacing w:after="0" w:line="500" w:lineRule="exact"/>
        <w:ind w:left="0"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rPr>
        <w:t>职工受伤前十二个月的月平均工资、离职前十二个月的月平均工资情况；</w:t>
      </w:r>
    </w:p>
    <w:p>
      <w:pPr>
        <w:keepNext w:val="0"/>
        <w:keepLines w:val="0"/>
        <w:pageBreakBefore w:val="0"/>
        <w:widowControl w:val="0"/>
        <w:numPr>
          <w:ilvl w:val="0"/>
          <w:numId w:val="173"/>
        </w:numPr>
        <w:pBdr>
          <w:between w:val="none" w:color="000000" w:sz="0" w:space="0"/>
        </w:pBdr>
        <w:shd w:val="clear" w:color="auto" w:fill="FFFFFF"/>
        <w:wordWrap/>
        <w:bidi w:val="0"/>
        <w:adjustRightInd/>
        <w:snapToGrid/>
        <w:spacing w:after="0" w:line="500" w:lineRule="exact"/>
        <w:ind w:left="0"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rPr>
        <w:t>伤害发生、工伤认定、劳动能力鉴定、工伤赔偿等情况；</w:t>
      </w:r>
    </w:p>
    <w:p>
      <w:pPr>
        <w:keepNext w:val="0"/>
        <w:keepLines w:val="0"/>
        <w:pageBreakBefore w:val="0"/>
        <w:widowControl w:val="0"/>
        <w:numPr>
          <w:ilvl w:val="0"/>
          <w:numId w:val="173"/>
        </w:numPr>
        <w:pBdr>
          <w:between w:val="none" w:color="000000" w:sz="0" w:space="0"/>
        </w:pBdr>
        <w:shd w:val="clear" w:color="auto" w:fill="FFFFFF"/>
        <w:wordWrap/>
        <w:bidi w:val="0"/>
        <w:adjustRightInd/>
        <w:snapToGrid/>
        <w:spacing w:after="0" w:line="500" w:lineRule="exact"/>
        <w:ind w:left="0"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rPr>
        <w:t>伤情及医院诊断结果；</w:t>
      </w:r>
    </w:p>
    <w:p>
      <w:pPr>
        <w:keepNext w:val="0"/>
        <w:keepLines w:val="0"/>
        <w:pageBreakBefore w:val="0"/>
        <w:widowControl w:val="0"/>
        <w:numPr>
          <w:ilvl w:val="0"/>
          <w:numId w:val="173"/>
        </w:numPr>
        <w:pBdr>
          <w:between w:val="none" w:color="000000" w:sz="0" w:space="0"/>
        </w:pBdr>
        <w:shd w:val="clear" w:color="auto" w:fill="FFFFFF"/>
        <w:wordWrap/>
        <w:bidi w:val="0"/>
        <w:adjustRightInd/>
        <w:snapToGrid/>
        <w:spacing w:after="0" w:line="500" w:lineRule="exact"/>
        <w:ind w:left="0"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rPr>
        <w:t>医疗费、护理费等前期垫付费用的支付情况；</w:t>
      </w:r>
    </w:p>
    <w:p>
      <w:pPr>
        <w:keepNext w:val="0"/>
        <w:keepLines w:val="0"/>
        <w:pageBreakBefore w:val="0"/>
        <w:widowControl w:val="0"/>
        <w:numPr>
          <w:ilvl w:val="0"/>
          <w:numId w:val="173"/>
        </w:numPr>
        <w:pBdr>
          <w:between w:val="none" w:color="000000" w:sz="0" w:space="0"/>
        </w:pBdr>
        <w:shd w:val="clear" w:color="auto" w:fill="FFFFFF"/>
        <w:wordWrap/>
        <w:bidi w:val="0"/>
        <w:adjustRightInd/>
        <w:snapToGrid/>
        <w:spacing w:after="0" w:line="500" w:lineRule="exact"/>
        <w:ind w:left="0"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rPr>
        <w:t>职工与用人单位的有关调解和谈判情况；</w:t>
      </w:r>
    </w:p>
    <w:p>
      <w:pPr>
        <w:keepNext w:val="0"/>
        <w:keepLines w:val="0"/>
        <w:pageBreakBefore w:val="0"/>
        <w:widowControl w:val="0"/>
        <w:numPr>
          <w:ilvl w:val="0"/>
          <w:numId w:val="173"/>
        </w:numPr>
        <w:pBdr>
          <w:between w:val="none" w:color="000000" w:sz="0" w:space="0"/>
        </w:pBdr>
        <w:shd w:val="clear" w:color="auto" w:fill="FFFFFF"/>
        <w:wordWrap/>
        <w:bidi w:val="0"/>
        <w:adjustRightInd/>
        <w:snapToGrid/>
        <w:spacing w:after="0" w:line="500" w:lineRule="exact"/>
        <w:ind w:left="0"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rPr>
        <w:t>工伤职工及家属向有关部门反映、投诉、申诉及起诉等情况。</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 xml:space="preserve">  告知工伤认定与赔付的四大阶段十四项流程，根据《劳动能力鉴定 职工工伤与职业病致残等级(GB/T 16180－2014)》的规定，结合病历资料，测算制作《工伤待遇赔付清单》，并解答相关的法律咨询。</w:t>
      </w:r>
    </w:p>
    <w:p>
      <w:pPr>
        <w:keepNext w:val="0"/>
        <w:keepLines w:val="0"/>
        <w:pageBreakBefore w:val="0"/>
        <w:widowControl w:val="0"/>
        <w:pBdr>
          <w:between w:val="none" w:color="000000" w:sz="0" w:space="0"/>
        </w:pBdr>
        <w:shd w:val="clear" w:color="auto" w:fill="FFFFFF"/>
        <w:wordWrap/>
        <w:bidi w:val="0"/>
        <w:adjustRightInd/>
        <w:snapToGrid/>
        <w:spacing w:after="0" w:line="500" w:lineRule="exact"/>
        <w:contextualSpacing/>
        <w:jc w:val="both"/>
        <w:rPr>
          <w:rFonts w:hint="eastAsia" w:ascii="仿宋" w:hAnsi="仿宋" w:eastAsia="仿宋" w:cs="仿宋"/>
          <w:color w:val="000000"/>
          <w:sz w:val="28"/>
          <w:szCs w:val="28"/>
          <w:shd w:val="clear" w:color="auto" w:fill="FFFFFF"/>
        </w:rPr>
      </w:pPr>
    </w:p>
    <w:p>
      <w:pPr>
        <w:keepNext w:val="0"/>
        <w:keepLines w:val="0"/>
        <w:pageBreakBefore w:val="0"/>
        <w:widowControl w:val="0"/>
        <w:numPr>
          <w:ilvl w:val="0"/>
          <w:numId w:val="171"/>
        </w:numPr>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0"/>
        <w:jc w:val="center"/>
        <w:outlineLvl w:val="0"/>
        <w:rPr>
          <w:rFonts w:hint="eastAsia" w:ascii="黑体" w:hAnsi="黑体" w:eastAsia="黑体" w:cs="黑体"/>
          <w:color w:val="000000"/>
          <w:kern w:val="2"/>
          <w:sz w:val="28"/>
          <w:szCs w:val="28"/>
        </w:rPr>
      </w:pPr>
      <w:bookmarkStart w:id="263" w:name="_Toc75114612"/>
      <w:r>
        <w:rPr>
          <w:rFonts w:hint="eastAsia" w:ascii="楷体" w:hAnsi="楷体" w:eastAsia="楷体" w:cs="楷体"/>
          <w:b/>
          <w:bCs/>
          <w:color w:val="000000"/>
          <w:kern w:val="2"/>
          <w:sz w:val="28"/>
          <w:szCs w:val="28"/>
          <w:lang w:eastAsia="en-US"/>
        </w:rPr>
        <w:br w:type="page"/>
      </w:r>
      <w:bookmarkStart w:id="264" w:name="_Toc75114611"/>
      <w:bookmarkStart w:id="265" w:name="_Toc73975153"/>
      <w:bookmarkStart w:id="266" w:name="_Toc19084"/>
      <w:r>
        <w:rPr>
          <w:rFonts w:hint="eastAsia" w:ascii="黑体" w:hAnsi="黑体" w:eastAsia="黑体" w:cs="黑体"/>
          <w:color w:val="000000"/>
          <w:kern w:val="2"/>
          <w:sz w:val="28"/>
          <w:szCs w:val="28"/>
        </w:rPr>
        <w:t xml:space="preserve">  </w:t>
      </w:r>
      <w:bookmarkStart w:id="267" w:name="_Toc7707"/>
      <w:r>
        <w:rPr>
          <w:rFonts w:hint="eastAsia" w:ascii="黑体" w:hAnsi="黑体" w:eastAsia="黑体" w:cs="黑体"/>
          <w:color w:val="000000"/>
          <w:kern w:val="2"/>
          <w:sz w:val="28"/>
          <w:szCs w:val="28"/>
        </w:rPr>
        <w:t>案件受理</w:t>
      </w:r>
      <w:bookmarkEnd w:id="264"/>
      <w:bookmarkEnd w:id="265"/>
      <w:bookmarkEnd w:id="266"/>
      <w:bookmarkEnd w:id="267"/>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jc w:val="center"/>
        <w:outlineLvl w:val="1"/>
        <w:rPr>
          <w:rFonts w:hint="eastAsia" w:ascii="楷体" w:hAnsi="楷体" w:eastAsia="楷体" w:cs="楷体"/>
          <w:b/>
          <w:bCs/>
          <w:color w:val="000000"/>
          <w:kern w:val="2"/>
          <w:sz w:val="28"/>
          <w:szCs w:val="28"/>
          <w:lang w:eastAsia="en-US"/>
        </w:rPr>
      </w:pPr>
      <w:r>
        <w:rPr>
          <w:rFonts w:hint="eastAsia" w:ascii="楷体" w:hAnsi="楷体" w:eastAsia="楷体" w:cs="楷体"/>
          <w:b/>
          <w:bCs/>
          <w:color w:val="000000"/>
          <w:kern w:val="2"/>
          <w:sz w:val="28"/>
          <w:szCs w:val="28"/>
          <w:lang w:eastAsia="en-US"/>
        </w:rPr>
        <w:t>第一节</w:t>
      </w:r>
      <w:r>
        <w:rPr>
          <w:rFonts w:hint="eastAsia" w:ascii="楷体" w:hAnsi="楷体" w:eastAsia="楷体" w:cs="楷体"/>
          <w:b/>
          <w:bCs/>
          <w:color w:val="000000"/>
          <w:kern w:val="2"/>
          <w:sz w:val="28"/>
          <w:szCs w:val="28"/>
        </w:rPr>
        <w:t xml:space="preserve">  </w:t>
      </w:r>
      <w:r>
        <w:rPr>
          <w:rFonts w:hint="eastAsia" w:ascii="楷体" w:hAnsi="楷体" w:eastAsia="楷体" w:cs="楷体"/>
          <w:b/>
          <w:bCs/>
          <w:color w:val="000000"/>
          <w:kern w:val="2"/>
          <w:sz w:val="28"/>
          <w:szCs w:val="28"/>
          <w:lang w:eastAsia="en-US"/>
        </w:rPr>
        <w:t>律师接受委托</w:t>
      </w:r>
      <w:bookmarkEnd w:id="263"/>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 xml:space="preserve">  律师接受委托人委托是指律师事务所经过初步审查，同意接受用人单位、用工单位、</w:t>
      </w:r>
      <w:r>
        <w:rPr>
          <w:rFonts w:hint="eastAsia" w:ascii="仿宋_GB2312" w:hAnsi="仿宋" w:eastAsia="仿宋_GB2312" w:cs="仿宋"/>
          <w:color w:val="000000"/>
          <w:sz w:val="28"/>
          <w:szCs w:val="28"/>
        </w:rPr>
        <w:t>受伤害职工或者其近亲属</w:t>
      </w:r>
      <w:r>
        <w:rPr>
          <w:rFonts w:hint="eastAsia" w:ascii="仿宋_GB2312" w:hAnsi="仿宋" w:eastAsia="仿宋_GB2312" w:cs="仿宋"/>
          <w:color w:val="000000"/>
          <w:sz w:val="28"/>
          <w:szCs w:val="28"/>
          <w:shd w:val="clear" w:color="auto" w:fill="FFFFFF"/>
        </w:rPr>
        <w:t>的委托，并办理签署委托合同书和授权委托书以及指定经办律师等有关委托手续的过程。</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 xml:space="preserve">  律师事务所在接受工伤纠纷案件委托时，应当依法审查以下事项：</w:t>
      </w:r>
    </w:p>
    <w:p>
      <w:pPr>
        <w:keepNext w:val="0"/>
        <w:keepLines w:val="0"/>
        <w:pageBreakBefore w:val="0"/>
        <w:widowControl w:val="0"/>
        <w:numPr>
          <w:ilvl w:val="0"/>
          <w:numId w:val="174"/>
        </w:numPr>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shd w:val="clear" w:color="auto" w:fill="FFFFFF"/>
          <w:lang w:bidi="ar"/>
        </w:rPr>
      </w:pPr>
      <w:r>
        <w:rPr>
          <w:rFonts w:hint="eastAsia" w:ascii="仿宋_GB2312" w:hAnsi="仿宋" w:eastAsia="仿宋_GB2312" w:cs="仿宋"/>
          <w:color w:val="000000"/>
          <w:sz w:val="28"/>
          <w:szCs w:val="28"/>
          <w:shd w:val="clear" w:color="auto" w:fill="FFFFFF"/>
          <w:lang w:bidi="ar"/>
        </w:rPr>
        <w:t>审查委托人是否符合《劳动合同法》及《劳动合同法实施条例》所规定的主体资格；</w:t>
      </w:r>
    </w:p>
    <w:p>
      <w:pPr>
        <w:keepNext w:val="0"/>
        <w:keepLines w:val="0"/>
        <w:pageBreakBefore w:val="0"/>
        <w:widowControl w:val="0"/>
        <w:numPr>
          <w:ilvl w:val="0"/>
          <w:numId w:val="174"/>
        </w:numPr>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shd w:val="clear" w:color="auto" w:fill="FFFFFF"/>
          <w:lang w:bidi="ar"/>
        </w:rPr>
      </w:pPr>
      <w:r>
        <w:rPr>
          <w:rFonts w:hint="eastAsia" w:ascii="仿宋_GB2312" w:hAnsi="仿宋" w:eastAsia="仿宋_GB2312" w:cs="仿宋"/>
          <w:color w:val="000000"/>
          <w:sz w:val="28"/>
          <w:szCs w:val="28"/>
          <w:shd w:val="clear" w:color="auto" w:fill="FFFFFF"/>
          <w:lang w:bidi="ar"/>
        </w:rPr>
        <w:t>初步审查受伤害职工的受伤情形是否符合《工伤保险条例》规定的工伤情形；</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lang w:bidi="ar"/>
        </w:rPr>
        <w:t>（二）审查委托事项是否属于工伤纠纷案件受理的范围；</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lang w:bidi="ar"/>
        </w:rPr>
        <w:t>（三）审查委托人的各项仲裁请求是否超过《劳动争议调解仲裁法》所规定的仲裁时效；</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lang w:bidi="ar"/>
        </w:rPr>
        <w:t>（四）审查委托人是否能够提供其仲裁请求以及陈述事实的证据；</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lang w:bidi="ar"/>
        </w:rPr>
        <w:t>（五）审查委托人工伤纠纷案件受理的管辖级别和管辖范围。</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rPr>
        <w:t xml:space="preserve">  律师决定接受委托人委托时，应当向委托人详细告知以下情况：</w:t>
      </w:r>
    </w:p>
    <w:p>
      <w:pPr>
        <w:keepNext w:val="0"/>
        <w:keepLines w:val="0"/>
        <w:pageBreakBefore w:val="0"/>
        <w:widowControl w:val="0"/>
        <w:numPr>
          <w:ilvl w:val="0"/>
          <w:numId w:val="175"/>
        </w:numPr>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lang w:bidi="ar"/>
        </w:rPr>
        <w:t>工伤劳动争议的受理、认定、劳动能力鉴定和审理程序、审理期限及仲裁诉讼过程中可能发生收费的情况；</w:t>
      </w:r>
    </w:p>
    <w:p>
      <w:pPr>
        <w:keepNext w:val="0"/>
        <w:keepLines w:val="0"/>
        <w:pageBreakBefore w:val="0"/>
        <w:widowControl w:val="0"/>
        <w:numPr>
          <w:ilvl w:val="0"/>
          <w:numId w:val="175"/>
        </w:numPr>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lang w:bidi="ar"/>
        </w:rPr>
        <w:t>律师事务所的收费标准和方式；</w:t>
      </w:r>
    </w:p>
    <w:p>
      <w:pPr>
        <w:keepNext w:val="0"/>
        <w:keepLines w:val="0"/>
        <w:pageBreakBefore w:val="0"/>
        <w:widowControl w:val="0"/>
        <w:numPr>
          <w:ilvl w:val="0"/>
          <w:numId w:val="175"/>
        </w:numPr>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shd w:val="clear" w:color="auto" w:fill="FFFFFF"/>
          <w:lang w:bidi="ar"/>
        </w:rPr>
      </w:pPr>
      <w:r>
        <w:rPr>
          <w:rFonts w:hint="eastAsia" w:ascii="仿宋_GB2312" w:hAnsi="仿宋" w:eastAsia="仿宋_GB2312" w:cs="仿宋"/>
          <w:color w:val="000000"/>
          <w:sz w:val="28"/>
          <w:szCs w:val="28"/>
          <w:shd w:val="clear" w:color="auto" w:fill="FFFFFF"/>
          <w:lang w:bidi="ar"/>
        </w:rPr>
        <w:t>工伤纠纷案件审理过程中可能存在的风险，并可要求其签署风险告知书；</w:t>
      </w:r>
    </w:p>
    <w:p>
      <w:pPr>
        <w:keepNext w:val="0"/>
        <w:keepLines w:val="0"/>
        <w:pageBreakBefore w:val="0"/>
        <w:widowControl w:val="0"/>
        <w:numPr>
          <w:ilvl w:val="0"/>
          <w:numId w:val="175"/>
        </w:numPr>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shd w:val="clear" w:color="auto" w:fill="FFFFFF"/>
          <w:lang w:bidi="ar"/>
        </w:rPr>
      </w:pPr>
      <w:r>
        <w:rPr>
          <w:rFonts w:hint="eastAsia" w:ascii="仿宋_GB2312" w:hAnsi="仿宋" w:eastAsia="仿宋_GB2312" w:cs="仿宋"/>
          <w:color w:val="000000"/>
          <w:sz w:val="28"/>
          <w:szCs w:val="28"/>
          <w:shd w:val="clear" w:color="auto" w:fill="FFFFFF"/>
          <w:lang w:bidi="ar"/>
        </w:rPr>
        <w:t>工伤纠纷案件每一阶段的办理时限及仲裁、诉讼阶段审限；</w:t>
      </w:r>
    </w:p>
    <w:p>
      <w:pPr>
        <w:keepNext w:val="0"/>
        <w:keepLines w:val="0"/>
        <w:pageBreakBefore w:val="0"/>
        <w:widowControl w:val="0"/>
        <w:numPr>
          <w:ilvl w:val="0"/>
          <w:numId w:val="175"/>
        </w:numPr>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lang w:bidi="ar"/>
        </w:rPr>
        <w:t>委托人和被委托人双方的权利和义务。</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 xml:space="preserve">  律师事务所决定接受委托办理工伤纠纷案件后，应当立即与委托人办理委托手续。委托手续应特别注意以下内容的约定：</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lang w:bidi="ar"/>
        </w:rPr>
        <w:t>（一）有特别代理权限的，委托代理合同及授权委托书中应当明确具体的约定权限范围；</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lang w:bidi="ar"/>
        </w:rPr>
        <w:t>（二）在与委托人签署的委托代理合同中，对办案过程中可能发生的交通费、住宿费、鉴定费、翻译费和其他必要办案费用的承担予以明确。</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 xml:space="preserve">  律师事务所接受委托时，应当要求委托人如实告知案件的全部事实，并提供相应的证据或证据线索。律师事务所在接受委托后，律师无正当理由不得拒绝代理；但有下列情况之一的，律师事务所可以单方解除委托代理合同：</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lang w:bidi="ar"/>
        </w:rPr>
        <w:t>（一）委托人隐瞒案件重要事实;</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lang w:bidi="ar"/>
        </w:rPr>
        <w:t>（二）委托人提供伪证、假证或要求律师提供伪证、假证；</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lang w:bidi="ar"/>
        </w:rPr>
        <w:t>（三）委托人利用律师提供的服务从事违法活动；</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lang w:bidi="ar"/>
        </w:rPr>
        <w:t>（四）委托事项违法；</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lang w:bidi="ar"/>
        </w:rPr>
        <w:t>（五）委托人有严重违反委托代理合同约定的情形符合解除条件的。</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 xml:space="preserve">  律师事务所接受工伤纠纷案件的委托时，应遵守《湖南省律师和律师事务所避免利益冲突规定》的要求，如发现委托人或委托事项与本所或承办律师有利益冲突，应立即终止委托并向委托人说明理由。</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 xml:space="preserve">  律师在委托手续办妥后，应当要求委托人提供证据及身份证明材料复印件，同时提供原件核对，核对原件后当即将原件交还委托人妥善保管；若向委托人收取原件，应当制作证据或证物清单，由承办律师向委托人签收，并在质证完毕后及时将原件交还给委托人，并将委托人签收的证据原件清单回收并附卷。</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 xml:space="preserve">  律师在委托手续办妥后，一般应及时组建案件项目法律服务团队，并及时告知委托人。</w:t>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jc w:val="center"/>
        <w:outlineLvl w:val="1"/>
        <w:rPr>
          <w:rFonts w:hint="eastAsia" w:ascii="楷体" w:hAnsi="楷体" w:eastAsia="楷体" w:cs="楷体"/>
          <w:b/>
          <w:bCs/>
          <w:color w:val="000000"/>
          <w:kern w:val="2"/>
          <w:sz w:val="28"/>
          <w:szCs w:val="28"/>
          <w:lang w:eastAsia="en-US"/>
        </w:rPr>
      </w:pPr>
      <w:bookmarkStart w:id="268" w:name="_Toc75114613"/>
      <w:r>
        <w:rPr>
          <w:rFonts w:hint="eastAsia" w:ascii="楷体" w:hAnsi="楷体" w:eastAsia="楷体" w:cs="楷体"/>
          <w:b/>
          <w:bCs/>
          <w:color w:val="000000"/>
          <w:kern w:val="2"/>
          <w:sz w:val="28"/>
          <w:szCs w:val="28"/>
          <w:lang w:eastAsia="en-US"/>
        </w:rPr>
        <w:t>第二节  律师收费</w:t>
      </w:r>
      <w:bookmarkEnd w:id="268"/>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shd w:val="clear" w:color="auto" w:fill="FFFFFF"/>
        </w:rPr>
      </w:pPr>
      <w:r>
        <w:rPr>
          <w:rFonts w:hint="eastAsia" w:ascii="仿宋" w:hAnsi="仿宋" w:eastAsia="仿宋" w:cs="仿宋"/>
          <w:color w:val="000000"/>
          <w:sz w:val="28"/>
          <w:szCs w:val="28"/>
          <w:shd w:val="clear" w:color="auto" w:fill="FFFFFF"/>
        </w:rPr>
        <w:t xml:space="preserve">  </w:t>
      </w:r>
      <w:r>
        <w:rPr>
          <w:rFonts w:hint="eastAsia" w:ascii="仿宋_GB2312" w:hAnsi="仿宋" w:eastAsia="仿宋_GB2312" w:cs="仿宋"/>
          <w:color w:val="000000"/>
          <w:sz w:val="28"/>
          <w:szCs w:val="28"/>
          <w:shd w:val="clear" w:color="auto" w:fill="FFFFFF"/>
        </w:rPr>
        <w:t>律师办理工伤纠纷案件，实行政府指导价。律师服务收费可以根据不同的服务内容，按律所制定的收费标准与委托人协商收取费用。</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 xml:space="preserve">  律师收费应由律师事务所统一收取，律师个人不得向委托人收取任何费用。律师事务所收取费用后，应向委托人开具发票。</w:t>
      </w:r>
    </w:p>
    <w:p>
      <w:pPr>
        <w:keepNext w:val="0"/>
        <w:keepLines w:val="0"/>
        <w:pageBreakBefore w:val="0"/>
        <w:widowControl w:val="0"/>
        <w:pBdr>
          <w:between w:val="none" w:color="000000" w:sz="0" w:space="0"/>
        </w:pBdr>
        <w:shd w:val="clear" w:color="auto" w:fill="FFFFFF"/>
        <w:wordWrap/>
        <w:bidi w:val="0"/>
        <w:adjustRightInd/>
        <w:snapToGrid/>
        <w:spacing w:after="0" w:line="500" w:lineRule="exact"/>
        <w:contextualSpacing/>
        <w:jc w:val="center"/>
        <w:rPr>
          <w:rFonts w:hint="eastAsia" w:ascii="仿宋" w:hAnsi="仿宋" w:eastAsia="仿宋" w:cs="仿宋"/>
          <w:color w:val="000000"/>
          <w:sz w:val="28"/>
          <w:szCs w:val="28"/>
          <w:shd w:val="clear" w:color="auto" w:fill="FFFFFF"/>
        </w:rPr>
      </w:pPr>
    </w:p>
    <w:p>
      <w:pPr>
        <w:keepNext w:val="0"/>
        <w:keepLines w:val="0"/>
        <w:pageBreakBefore w:val="0"/>
        <w:widowControl w:val="0"/>
        <w:numPr>
          <w:ilvl w:val="0"/>
          <w:numId w:val="171"/>
        </w:numPr>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0"/>
        <w:jc w:val="center"/>
        <w:outlineLvl w:val="0"/>
        <w:rPr>
          <w:rFonts w:hint="eastAsia" w:ascii="黑体" w:hAnsi="黑体" w:eastAsia="黑体" w:cs="黑体"/>
          <w:color w:val="000000"/>
          <w:kern w:val="2"/>
          <w:sz w:val="28"/>
          <w:szCs w:val="28"/>
        </w:rPr>
      </w:pPr>
      <w:bookmarkStart w:id="269" w:name="_Toc73975154"/>
      <w:bookmarkStart w:id="270" w:name="_Toc5908"/>
      <w:bookmarkStart w:id="271" w:name="_Toc75114614"/>
      <w:r>
        <w:rPr>
          <w:rFonts w:hint="eastAsia" w:ascii="黑体" w:hAnsi="黑体" w:eastAsia="黑体" w:cs="黑体"/>
          <w:color w:val="000000"/>
          <w:kern w:val="2"/>
          <w:sz w:val="28"/>
          <w:szCs w:val="28"/>
        </w:rPr>
        <w:t xml:space="preserve">  </w:t>
      </w:r>
      <w:bookmarkStart w:id="272" w:name="_Toc256"/>
      <w:r>
        <w:rPr>
          <w:rFonts w:hint="eastAsia" w:ascii="黑体" w:hAnsi="黑体" w:eastAsia="黑体" w:cs="黑体"/>
          <w:color w:val="000000"/>
          <w:kern w:val="2"/>
          <w:sz w:val="28"/>
          <w:szCs w:val="28"/>
        </w:rPr>
        <w:t>劳动关系的确认或用工主体责任的确定</w:t>
      </w:r>
      <w:bookmarkEnd w:id="269"/>
      <w:bookmarkEnd w:id="270"/>
      <w:bookmarkEnd w:id="271"/>
      <w:bookmarkEnd w:id="272"/>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 xml:space="preserve">  工伤认定申请受理前或受理后，社会保险行政部门设定的工伤保险经办机构发现劳动关系存在争议且无法确认的，会要求委托人向劳动人事争议仲裁委员会申请仲裁予以确定。</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 xml:space="preserve">  用人单位招用劳动者未订立书面劳动合同，但同时具备下列情形的，劳动关系成立：</w:t>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shd w:val="clear" w:color="auto" w:fill="FFFFFF"/>
          <w:lang w:bidi="ar"/>
        </w:rPr>
      </w:pPr>
      <w:r>
        <w:rPr>
          <w:rFonts w:hint="eastAsia" w:ascii="仿宋_GB2312" w:hAnsi="仿宋" w:eastAsia="仿宋_GB2312" w:cs="仿宋"/>
          <w:color w:val="000000"/>
          <w:sz w:val="28"/>
          <w:szCs w:val="28"/>
          <w:shd w:val="clear" w:color="auto" w:fill="FFFFFF"/>
          <w:lang w:bidi="ar"/>
        </w:rPr>
        <w:t>（一）用人单位和劳动者符合法律、法规规定的主体资格；</w:t>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shd w:val="clear" w:color="auto" w:fill="FFFFFF"/>
          <w:lang w:bidi="ar"/>
        </w:rPr>
      </w:pPr>
      <w:r>
        <w:rPr>
          <w:rFonts w:hint="eastAsia" w:ascii="仿宋_GB2312" w:hAnsi="仿宋" w:eastAsia="仿宋_GB2312" w:cs="仿宋"/>
          <w:color w:val="000000"/>
          <w:sz w:val="28"/>
          <w:szCs w:val="28"/>
          <w:shd w:val="clear" w:color="auto" w:fill="FFFFFF"/>
          <w:lang w:bidi="ar"/>
        </w:rPr>
        <w:t>（二）用人单位依法制定的各项劳动规章制度适用于劳动者，劳动者受用人单位的劳动管理，从事用人单位安排的有报酬的劳动；</w:t>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shd w:val="clear" w:color="auto" w:fill="FFFFFF"/>
          <w:lang w:bidi="ar"/>
        </w:rPr>
      </w:pPr>
      <w:r>
        <w:rPr>
          <w:rFonts w:hint="eastAsia" w:ascii="仿宋_GB2312" w:hAnsi="仿宋" w:eastAsia="仿宋_GB2312" w:cs="仿宋"/>
          <w:color w:val="000000"/>
          <w:sz w:val="28"/>
          <w:szCs w:val="28"/>
          <w:shd w:val="clear" w:color="auto" w:fill="FFFFFF"/>
          <w:lang w:bidi="ar"/>
        </w:rPr>
        <w:t>（三）劳动者提供的劳动是用人单位业务的组成部分。</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 xml:space="preserve">  用人单位未与劳动者签订劳动合同，认定双方存在劳动关系时可参照下列凭证：</w:t>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shd w:val="clear" w:color="auto" w:fill="FFFFFF"/>
          <w:lang w:bidi="ar"/>
        </w:rPr>
      </w:pPr>
      <w:r>
        <w:rPr>
          <w:rFonts w:hint="eastAsia" w:ascii="仿宋_GB2312" w:hAnsi="仿宋" w:eastAsia="仿宋_GB2312" w:cs="仿宋"/>
          <w:color w:val="000000"/>
          <w:sz w:val="28"/>
          <w:szCs w:val="28"/>
          <w:shd w:val="clear" w:color="auto" w:fill="FFFFFF"/>
          <w:lang w:bidi="ar"/>
        </w:rPr>
        <w:t>（一）工资支付凭证或记录(职工工资发放花名册)、缴纳各项社会保险费的记录；</w:t>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shd w:val="clear" w:color="auto" w:fill="FFFFFF"/>
          <w:lang w:bidi="ar"/>
        </w:rPr>
      </w:pPr>
      <w:r>
        <w:rPr>
          <w:rFonts w:hint="eastAsia" w:ascii="仿宋_GB2312" w:hAnsi="仿宋" w:eastAsia="仿宋_GB2312" w:cs="仿宋"/>
          <w:color w:val="000000"/>
          <w:sz w:val="28"/>
          <w:szCs w:val="28"/>
          <w:shd w:val="clear" w:color="auto" w:fill="FFFFFF"/>
          <w:lang w:bidi="ar"/>
        </w:rPr>
        <w:t>（二）用人单位向劳动者发放的“工作证”、“服务证”等能够证明身份的证件；</w:t>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shd w:val="clear" w:color="auto" w:fill="FFFFFF"/>
          <w:lang w:bidi="ar"/>
        </w:rPr>
      </w:pPr>
      <w:r>
        <w:rPr>
          <w:rFonts w:hint="eastAsia" w:ascii="仿宋_GB2312" w:hAnsi="仿宋" w:eastAsia="仿宋_GB2312" w:cs="仿宋"/>
          <w:color w:val="000000"/>
          <w:sz w:val="28"/>
          <w:szCs w:val="28"/>
          <w:shd w:val="clear" w:color="auto" w:fill="FFFFFF"/>
          <w:lang w:bidi="ar"/>
        </w:rPr>
        <w:t>（三）劳动者填写的用人单位招工招聘“登记表”、“报名表”等招用记录；</w:t>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shd w:val="clear" w:color="auto" w:fill="FFFFFF"/>
          <w:lang w:bidi="ar"/>
        </w:rPr>
      </w:pPr>
      <w:r>
        <w:rPr>
          <w:rFonts w:hint="eastAsia" w:ascii="仿宋_GB2312" w:hAnsi="仿宋" w:eastAsia="仿宋_GB2312" w:cs="仿宋"/>
          <w:color w:val="000000"/>
          <w:sz w:val="28"/>
          <w:szCs w:val="28"/>
          <w:shd w:val="clear" w:color="auto" w:fill="FFFFFF"/>
          <w:lang w:bidi="ar"/>
        </w:rPr>
        <w:t>（四）考勤记录；</w:t>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shd w:val="clear" w:color="auto" w:fill="FFFFFF"/>
          <w:lang w:bidi="ar"/>
        </w:rPr>
      </w:pPr>
      <w:r>
        <w:rPr>
          <w:rFonts w:hint="eastAsia" w:ascii="仿宋_GB2312" w:hAnsi="仿宋" w:eastAsia="仿宋_GB2312" w:cs="仿宋"/>
          <w:color w:val="000000"/>
          <w:sz w:val="28"/>
          <w:szCs w:val="28"/>
          <w:shd w:val="clear" w:color="auto" w:fill="FFFFFF"/>
          <w:lang w:bidi="ar"/>
        </w:rPr>
        <w:t>（五）其他劳动者的证言等。</w:t>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shd w:val="clear" w:color="auto" w:fill="FFFFFF"/>
          <w:lang w:bidi="ar"/>
        </w:rPr>
      </w:pPr>
      <w:r>
        <w:rPr>
          <w:rFonts w:hint="eastAsia" w:ascii="仿宋_GB2312" w:hAnsi="仿宋" w:eastAsia="仿宋_GB2312" w:cs="仿宋"/>
          <w:color w:val="000000"/>
          <w:sz w:val="28"/>
          <w:szCs w:val="28"/>
          <w:shd w:val="clear" w:color="auto" w:fill="FFFFFF"/>
          <w:lang w:bidi="ar"/>
        </w:rPr>
        <w:t>其中，（一）、（三）、（四）项的有关凭证由用人单位负举证责任。</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根据《工伤保险条例》和《最高人民法院关于审理工伤保险行政案件若干问题的规定》的相关规定，社会保险行政部门可以认定下列单位承担工伤保险责任的特殊情形：</w:t>
      </w:r>
    </w:p>
    <w:p>
      <w:pPr>
        <w:keepNext w:val="0"/>
        <w:keepLines w:val="0"/>
        <w:pageBreakBefore w:val="0"/>
        <w:widowControl w:val="0"/>
        <w:numPr>
          <w:ilvl w:val="0"/>
          <w:numId w:val="176"/>
        </w:numPr>
        <w:pBdr>
          <w:between w:val="none" w:color="000000" w:sz="0" w:space="0"/>
        </w:pBdr>
        <w:shd w:val="clear" w:color="auto" w:fill="FFFFFF"/>
        <w:wordWrap/>
        <w:bidi w:val="0"/>
        <w:adjustRightInd/>
        <w:snapToGrid/>
        <w:spacing w:after="0" w:line="500" w:lineRule="exact"/>
        <w:ind w:left="0"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职工与两个或两个以上单位建立劳动关系，工伤事故发生时，职工为之工作的单位为承担工伤保险责任的单位；</w:t>
      </w:r>
    </w:p>
    <w:p>
      <w:pPr>
        <w:keepNext w:val="0"/>
        <w:keepLines w:val="0"/>
        <w:pageBreakBefore w:val="0"/>
        <w:widowControl w:val="0"/>
        <w:numPr>
          <w:ilvl w:val="0"/>
          <w:numId w:val="176"/>
        </w:numPr>
        <w:pBdr>
          <w:between w:val="none" w:color="000000" w:sz="0" w:space="0"/>
        </w:pBdr>
        <w:shd w:val="clear" w:color="auto" w:fill="FFFFFF"/>
        <w:wordWrap/>
        <w:bidi w:val="0"/>
        <w:adjustRightInd/>
        <w:snapToGrid/>
        <w:spacing w:after="0" w:line="500" w:lineRule="exact"/>
        <w:ind w:left="0"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劳务派遣单位派遣的职工在用工单位工作期间因工伤亡的，派遣单位为承担工伤保险责任的单位；</w:t>
      </w:r>
    </w:p>
    <w:p>
      <w:pPr>
        <w:keepNext w:val="0"/>
        <w:keepLines w:val="0"/>
        <w:pageBreakBefore w:val="0"/>
        <w:widowControl w:val="0"/>
        <w:numPr>
          <w:ilvl w:val="0"/>
          <w:numId w:val="176"/>
        </w:numPr>
        <w:pBdr>
          <w:between w:val="none" w:color="000000" w:sz="0" w:space="0"/>
        </w:pBdr>
        <w:shd w:val="clear" w:color="auto" w:fill="FFFFFF"/>
        <w:wordWrap/>
        <w:bidi w:val="0"/>
        <w:adjustRightInd/>
        <w:snapToGrid/>
        <w:spacing w:after="0" w:line="500" w:lineRule="exact"/>
        <w:ind w:left="0"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单位指派到其他单位工作的职工因工伤亡的，指派单位为承担工伤保险责任的单位；</w:t>
      </w:r>
    </w:p>
    <w:p>
      <w:pPr>
        <w:keepNext w:val="0"/>
        <w:keepLines w:val="0"/>
        <w:pageBreakBefore w:val="0"/>
        <w:widowControl w:val="0"/>
        <w:numPr>
          <w:ilvl w:val="0"/>
          <w:numId w:val="176"/>
        </w:numPr>
        <w:pBdr>
          <w:between w:val="none" w:color="000000" w:sz="0" w:space="0"/>
        </w:pBdr>
        <w:shd w:val="clear" w:color="auto" w:fill="FFFFFF"/>
        <w:wordWrap/>
        <w:bidi w:val="0"/>
        <w:adjustRightInd/>
        <w:snapToGrid/>
        <w:spacing w:after="0" w:line="500" w:lineRule="exact"/>
        <w:ind w:left="0"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用工单位违反法律、法规规定将承包业务转包给不具备用工主体资格的组织或者自然人，该组织或者自然人聘用的职工从事承包业务时因工伤亡的，用工单位为承担工伤保险责任的单位；</w:t>
      </w:r>
    </w:p>
    <w:p>
      <w:pPr>
        <w:keepNext w:val="0"/>
        <w:keepLines w:val="0"/>
        <w:pageBreakBefore w:val="0"/>
        <w:widowControl w:val="0"/>
        <w:numPr>
          <w:ilvl w:val="0"/>
          <w:numId w:val="176"/>
        </w:numPr>
        <w:pBdr>
          <w:between w:val="none" w:color="000000" w:sz="0" w:space="0"/>
        </w:pBdr>
        <w:shd w:val="clear" w:color="auto" w:fill="FFFFFF"/>
        <w:wordWrap/>
        <w:bidi w:val="0"/>
        <w:adjustRightInd/>
        <w:snapToGrid/>
        <w:spacing w:after="0" w:line="500" w:lineRule="exact"/>
        <w:ind w:left="0"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个人挂靠其他单位对外经营，其聘用的人员因工伤亡的，被挂靠单位为承担工伤保险责任的单位。</w:t>
      </w:r>
    </w:p>
    <w:p>
      <w:pPr>
        <w:keepNext w:val="0"/>
        <w:keepLines w:val="0"/>
        <w:pageBreakBefore w:val="0"/>
        <w:widowControl w:val="0"/>
        <w:numPr>
          <w:ilvl w:val="0"/>
          <w:numId w:val="176"/>
        </w:numPr>
        <w:pBdr>
          <w:between w:val="none" w:color="000000" w:sz="0" w:space="0"/>
        </w:pBdr>
        <w:shd w:val="clear" w:color="auto" w:fill="FFFFFF"/>
        <w:wordWrap/>
        <w:bidi w:val="0"/>
        <w:adjustRightInd/>
        <w:snapToGrid/>
        <w:spacing w:after="0" w:line="500" w:lineRule="exact"/>
        <w:ind w:left="0"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用人单位实行承包经营的，工伤保险责任由职工劳动关系所在单位承担。</w:t>
      </w:r>
    </w:p>
    <w:p>
      <w:pPr>
        <w:keepNext w:val="0"/>
        <w:keepLines w:val="0"/>
        <w:pageBreakBefore w:val="0"/>
        <w:widowControl w:val="0"/>
        <w:numPr>
          <w:ilvl w:val="0"/>
          <w:numId w:val="176"/>
        </w:numPr>
        <w:pBdr>
          <w:between w:val="none" w:color="000000" w:sz="0" w:space="0"/>
        </w:pBdr>
        <w:shd w:val="clear" w:color="auto" w:fill="FFFFFF"/>
        <w:wordWrap/>
        <w:bidi w:val="0"/>
        <w:adjustRightInd/>
        <w:snapToGrid/>
        <w:spacing w:after="0" w:line="500" w:lineRule="exact"/>
        <w:ind w:left="0"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用人单位分立、合并、转让的，承继单位应当承担原用人单位的工伤保险责任；原用人单位已经参加工伤保险的，承继单位应当到当地经办机构办理工伤保险变更登记。</w:t>
      </w:r>
    </w:p>
    <w:p>
      <w:pPr>
        <w:keepNext w:val="0"/>
        <w:keepLines w:val="0"/>
        <w:pageBreakBefore w:val="0"/>
        <w:widowControl w:val="0"/>
        <w:numPr>
          <w:ilvl w:val="0"/>
          <w:numId w:val="176"/>
        </w:numPr>
        <w:pBdr>
          <w:between w:val="none" w:color="000000" w:sz="0" w:space="0"/>
        </w:pBdr>
        <w:shd w:val="clear" w:color="auto" w:fill="FFFFFF"/>
        <w:wordWrap/>
        <w:bidi w:val="0"/>
        <w:adjustRightInd/>
        <w:snapToGrid/>
        <w:spacing w:after="0" w:line="500" w:lineRule="exact"/>
        <w:ind w:left="0"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职工被借调期间受到工伤事故伤害的，由原用人单位承担工伤保险责任，但原用人单位与借调单位可以约定补偿办法。</w:t>
      </w:r>
    </w:p>
    <w:p>
      <w:pPr>
        <w:keepNext w:val="0"/>
        <w:keepLines w:val="0"/>
        <w:pageBreakBefore w:val="0"/>
        <w:widowControl w:val="0"/>
        <w:numPr>
          <w:ilvl w:val="0"/>
          <w:numId w:val="176"/>
        </w:numPr>
        <w:pBdr>
          <w:between w:val="none" w:color="000000" w:sz="0" w:space="0"/>
        </w:pBdr>
        <w:shd w:val="clear" w:color="auto" w:fill="FFFFFF"/>
        <w:wordWrap/>
        <w:bidi w:val="0"/>
        <w:adjustRightInd/>
        <w:snapToGrid/>
        <w:spacing w:after="0" w:line="500" w:lineRule="exact"/>
        <w:ind w:left="0"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原用人单位被依法注销的，工伤保险责任由清算组织或者清算报告中确定的权利义务承受人承担。</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前款第（四）、（五）项明确的承担工伤保险责任的单位承担赔偿责任或者社会保险经办机构从工伤保险基金支付工伤保险待遇后，有权向相关组织、单位和个人追偿。</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达到或超过法定退休年龄，但未办理退休手续或者未依法享受城镇职工基本养老保险待遇，继续在原用人单位工作期间受到事故伤害或患职业病的，用人单位依法承担工伤保险责任。用人单位招用已经达到、超过法定退休年龄或已经领取城镇职工基本养老保险待遇的人员，在用工期间因工作原因受到事故伤害或患职业病的，如招用单位已按项目参保等方式为其缴纳工伤保险费的，应适用《工伤保险条例》。</w:t>
      </w:r>
    </w:p>
    <w:p>
      <w:pPr>
        <w:keepNext w:val="0"/>
        <w:keepLines w:val="0"/>
        <w:pageBreakBefore w:val="0"/>
        <w:widowControl w:val="0"/>
        <w:pBdr>
          <w:between w:val="none" w:color="000000" w:sz="0" w:space="0"/>
        </w:pBdr>
        <w:shd w:val="clear" w:color="auto" w:fill="FFFFFF"/>
        <w:wordWrap/>
        <w:bidi w:val="0"/>
        <w:adjustRightInd/>
        <w:snapToGrid/>
        <w:spacing w:after="0" w:line="500" w:lineRule="exact"/>
        <w:contextualSpacing/>
        <w:jc w:val="both"/>
        <w:rPr>
          <w:rFonts w:hint="eastAsia" w:ascii="仿宋" w:hAnsi="仿宋" w:eastAsia="仿宋" w:cs="仿宋"/>
          <w:color w:val="000000"/>
          <w:sz w:val="28"/>
          <w:szCs w:val="28"/>
        </w:rPr>
      </w:pPr>
    </w:p>
    <w:p>
      <w:pPr>
        <w:keepNext w:val="0"/>
        <w:keepLines w:val="0"/>
        <w:pageBreakBefore w:val="0"/>
        <w:widowControl w:val="0"/>
        <w:numPr>
          <w:ilvl w:val="0"/>
          <w:numId w:val="171"/>
        </w:numPr>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0"/>
        <w:jc w:val="center"/>
        <w:outlineLvl w:val="0"/>
        <w:rPr>
          <w:rFonts w:hint="eastAsia" w:ascii="黑体" w:hAnsi="黑体" w:eastAsia="黑体" w:cs="黑体"/>
          <w:color w:val="000000"/>
          <w:kern w:val="2"/>
          <w:sz w:val="28"/>
          <w:szCs w:val="28"/>
        </w:rPr>
      </w:pPr>
      <w:bookmarkStart w:id="273" w:name="_Toc24499"/>
      <w:bookmarkStart w:id="274" w:name="_Toc73975155"/>
      <w:bookmarkStart w:id="275" w:name="_Toc75114615"/>
      <w:r>
        <w:rPr>
          <w:rFonts w:hint="eastAsia" w:ascii="黑体" w:hAnsi="黑体" w:eastAsia="黑体" w:cs="黑体"/>
          <w:color w:val="000000"/>
          <w:kern w:val="2"/>
          <w:sz w:val="28"/>
          <w:szCs w:val="28"/>
        </w:rPr>
        <w:t xml:space="preserve">  </w:t>
      </w:r>
      <w:bookmarkStart w:id="276" w:name="_Toc27588"/>
      <w:r>
        <w:rPr>
          <w:rFonts w:hint="eastAsia" w:ascii="黑体" w:hAnsi="黑体" w:eastAsia="黑体" w:cs="黑体"/>
          <w:color w:val="000000"/>
          <w:kern w:val="2"/>
          <w:sz w:val="28"/>
          <w:szCs w:val="28"/>
        </w:rPr>
        <w:t>工伤认定</w:t>
      </w:r>
      <w:bookmarkEnd w:id="273"/>
      <w:bookmarkEnd w:id="274"/>
      <w:bookmarkEnd w:id="275"/>
      <w:bookmarkEnd w:id="276"/>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职工有下列情形之一的，应当认定为工伤：</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（一）在工作时间和工作场所内，因工作原因受到事故伤害的；</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（二）工作时间前后在工作场所内，从事与工作有关的预备性或者收尾性工作受到事故伤害的；</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（三）在工作时间和工作场所内，因履行工作职责受到暴力等意外伤害的；</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（四）患职业病的；</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（五）因工外出期间，由于工作原因受到伤害或者发生事故下落不明的；</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（六）在上下班途中，受到非本人主要责任的交通事故或者城市轨道交通、客运轮渡、火车事故伤害的；</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（七）法律、行政法规规定应当认定为工伤的其他情形。</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职工有下列情形之一的，视同工伤：</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（一）在工作时间和工作岗位，突发疾病死亡或者在48小时之内经抢救无效死亡的；</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（二）在抢险救灾等维护国家利益、公共利益活动中受到伤害的；</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（三）职工原在军队服役，因战、因公负伤致残，已取得革命伤残军人证，到用人单位后旧伤复发的。</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职工有前款第（一）项、第（二）项情形的，按照《工伤保险条例》的有关规定享受工伤保险待遇；职工有前款第（三）项情形的，按照《工伤保险条例》的有关规定享受除一次性伤残补助金以外的工伤保险待遇。</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职工符合《工伤保险条例》第十四条、第十五条的规定，但是有下列情形之一的，不得认定为工伤或者视同工伤：</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（一）故意犯罪的；</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（二）醉酒或者吸毒的；</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（三）自残或者自杀的。</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职工发生事故伤害或者按照职业病防治法规定被诊断、鉴定为职业病，所在单位应当自事故伤害发生之日或者被诊断、鉴定为职业病之日起30日内，向统筹地区社会保险行政部门提出工伤认定申请。遇有特殊情况，经报社会保险行政部门同意，申请期限可以延长60日。按照规定应当向省级社会保险行政部门提出工伤认定申请的，根据属地原则应当向用人单位所在地设区的市级社会保险行政部门提出。</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用人单位原则上应在职工发生事故伤害后或者接到职业病诊断书3个工作日之内向社会保险行政部门报案窗口报案备案，填写《工伤事故报告表》。因不可抗力原因无法在上述时间内报告的，应当于障碍消除后3日内报告。上下班途中的交通事故，或者其他原因造成的重伤事故、死亡事故，用人单位应当于事故发生后24小时内报告。报案方式包括网络或书面报告。</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用人单位未在规定的时限内提出工伤认定申请的，受伤害职工或者其近亲属、工会组织在事故伤害发生之日或者被诊断、鉴定为职业病之日起1年内，可以直接向用人单位所在地统筹地区社会保险行政部门提出工伤认定申请。</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提出工伤认定申请应当填写《工伤认定申请表》，并提交下列材料：</w:t>
      </w:r>
    </w:p>
    <w:p>
      <w:pPr>
        <w:keepNext w:val="0"/>
        <w:keepLines w:val="0"/>
        <w:pageBreakBefore w:val="0"/>
        <w:widowControl w:val="0"/>
        <w:numPr>
          <w:ilvl w:val="0"/>
          <w:numId w:val="177"/>
        </w:numPr>
        <w:pBdr>
          <w:between w:val="none" w:color="000000" w:sz="0" w:space="0"/>
        </w:pBdr>
        <w:shd w:val="clear" w:color="auto" w:fill="FFFFFF"/>
        <w:wordWrap/>
        <w:bidi w:val="0"/>
        <w:adjustRightInd/>
        <w:snapToGrid/>
        <w:spacing w:after="0" w:line="500" w:lineRule="exact"/>
        <w:ind w:left="0"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受伤害职工的身份证明；</w:t>
      </w:r>
    </w:p>
    <w:p>
      <w:pPr>
        <w:keepNext w:val="0"/>
        <w:keepLines w:val="0"/>
        <w:pageBreakBefore w:val="0"/>
        <w:widowControl w:val="0"/>
        <w:numPr>
          <w:ilvl w:val="0"/>
          <w:numId w:val="177"/>
        </w:numPr>
        <w:pBdr>
          <w:between w:val="none" w:color="000000" w:sz="0" w:space="0"/>
        </w:pBdr>
        <w:shd w:val="clear" w:color="auto" w:fill="FFFFFF"/>
        <w:wordWrap/>
        <w:bidi w:val="0"/>
        <w:adjustRightInd/>
        <w:snapToGrid/>
        <w:spacing w:after="0" w:line="500" w:lineRule="exact"/>
        <w:ind w:left="0"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与用人单位存在劳动关系（包括人事关系）的证明材料；</w:t>
      </w:r>
    </w:p>
    <w:p>
      <w:pPr>
        <w:keepNext w:val="0"/>
        <w:keepLines w:val="0"/>
        <w:pageBreakBefore w:val="0"/>
        <w:widowControl w:val="0"/>
        <w:numPr>
          <w:ilvl w:val="0"/>
          <w:numId w:val="177"/>
        </w:numPr>
        <w:pBdr>
          <w:between w:val="none" w:color="000000" w:sz="0" w:space="0"/>
        </w:pBdr>
        <w:shd w:val="clear" w:color="auto" w:fill="FFFFFF"/>
        <w:wordWrap/>
        <w:bidi w:val="0"/>
        <w:adjustRightInd/>
        <w:snapToGrid/>
        <w:spacing w:after="0" w:line="500" w:lineRule="exact"/>
        <w:ind w:left="0"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医疗诊断证明，或者职业病诊断证明书或者职业病诊断鉴定书；</w:t>
      </w:r>
    </w:p>
    <w:p>
      <w:pPr>
        <w:keepNext w:val="0"/>
        <w:keepLines w:val="0"/>
        <w:pageBreakBefore w:val="0"/>
        <w:widowControl w:val="0"/>
        <w:numPr>
          <w:ilvl w:val="0"/>
          <w:numId w:val="177"/>
        </w:numPr>
        <w:pBdr>
          <w:between w:val="none" w:color="000000" w:sz="0" w:space="0"/>
        </w:pBdr>
        <w:shd w:val="clear" w:color="auto" w:fill="FFFFFF"/>
        <w:wordWrap/>
        <w:bidi w:val="0"/>
        <w:adjustRightInd/>
        <w:snapToGrid/>
        <w:spacing w:after="0" w:line="500" w:lineRule="exact"/>
        <w:ind w:left="0"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在工作时间和工作场所内，因履行工作职责受到暴力等意外伤害的，提交人民法院裁判文书或者公安部门的证明或者其他证明；</w:t>
      </w:r>
    </w:p>
    <w:p>
      <w:pPr>
        <w:keepNext w:val="0"/>
        <w:keepLines w:val="0"/>
        <w:pageBreakBefore w:val="0"/>
        <w:widowControl w:val="0"/>
        <w:numPr>
          <w:ilvl w:val="0"/>
          <w:numId w:val="177"/>
        </w:numPr>
        <w:pBdr>
          <w:between w:val="none" w:color="000000" w:sz="0" w:space="0"/>
        </w:pBdr>
        <w:shd w:val="clear" w:color="auto" w:fill="FFFFFF"/>
        <w:wordWrap/>
        <w:bidi w:val="0"/>
        <w:adjustRightInd/>
        <w:snapToGrid/>
        <w:spacing w:after="0" w:line="500" w:lineRule="exact"/>
        <w:ind w:left="0"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在上下班途中，受到非本人主要责任的交通事故或者城市轨道交通、客运轮渡、火车事故伤害的，提交公安交通管理部门或者其他相关部门的证明；</w:t>
      </w:r>
    </w:p>
    <w:p>
      <w:pPr>
        <w:keepNext w:val="0"/>
        <w:keepLines w:val="0"/>
        <w:pageBreakBefore w:val="0"/>
        <w:widowControl w:val="0"/>
        <w:numPr>
          <w:ilvl w:val="0"/>
          <w:numId w:val="177"/>
        </w:numPr>
        <w:pBdr>
          <w:between w:val="none" w:color="000000" w:sz="0" w:space="0"/>
        </w:pBdr>
        <w:shd w:val="clear" w:color="auto" w:fill="FFFFFF"/>
        <w:wordWrap/>
        <w:bidi w:val="0"/>
        <w:adjustRightInd/>
        <w:snapToGrid/>
        <w:spacing w:after="0" w:line="500" w:lineRule="exact"/>
        <w:ind w:left="0"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因工外出期间，由于工作原因受到伤害的，提交公安部门的证明或者其他证明；因发生事故下落不明，提出因工死亡认定申请的，提交人民法院宣告死亡的文书；</w:t>
      </w:r>
    </w:p>
    <w:p>
      <w:pPr>
        <w:keepNext w:val="0"/>
        <w:keepLines w:val="0"/>
        <w:pageBreakBefore w:val="0"/>
        <w:widowControl w:val="0"/>
        <w:numPr>
          <w:ilvl w:val="0"/>
          <w:numId w:val="177"/>
        </w:numPr>
        <w:pBdr>
          <w:between w:val="none" w:color="000000" w:sz="0" w:space="0"/>
        </w:pBdr>
        <w:shd w:val="clear" w:color="auto" w:fill="FFFFFF"/>
        <w:wordWrap/>
        <w:bidi w:val="0"/>
        <w:adjustRightInd/>
        <w:snapToGrid/>
        <w:spacing w:after="0" w:line="500" w:lineRule="exact"/>
        <w:ind w:left="0"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在工作时间、工作岗位突发疾病死亡，或者在工作时间、工作岗位突发疾病经抢救无效48小时内死亡的，提交医疗机构的抢救和死亡证明；</w:t>
      </w:r>
    </w:p>
    <w:p>
      <w:pPr>
        <w:keepNext w:val="0"/>
        <w:keepLines w:val="0"/>
        <w:pageBreakBefore w:val="0"/>
        <w:widowControl w:val="0"/>
        <w:numPr>
          <w:ilvl w:val="0"/>
          <w:numId w:val="177"/>
        </w:numPr>
        <w:pBdr>
          <w:between w:val="none" w:color="000000" w:sz="0" w:space="0"/>
        </w:pBdr>
        <w:shd w:val="clear" w:color="auto" w:fill="FFFFFF"/>
        <w:wordWrap/>
        <w:bidi w:val="0"/>
        <w:adjustRightInd/>
        <w:snapToGrid/>
        <w:spacing w:after="0" w:line="500" w:lineRule="exact"/>
        <w:ind w:left="0"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在抢险救灾等维护国家利益、公共利益活动中受到伤害的，提交民政部门或者其他相关部门的证明；</w:t>
      </w:r>
    </w:p>
    <w:p>
      <w:pPr>
        <w:keepNext w:val="0"/>
        <w:keepLines w:val="0"/>
        <w:pageBreakBefore w:val="0"/>
        <w:widowControl w:val="0"/>
        <w:numPr>
          <w:ilvl w:val="0"/>
          <w:numId w:val="177"/>
        </w:numPr>
        <w:pBdr>
          <w:between w:val="none" w:color="000000" w:sz="0" w:space="0"/>
        </w:pBdr>
        <w:shd w:val="clear" w:color="auto" w:fill="FFFFFF"/>
        <w:wordWrap/>
        <w:bidi w:val="0"/>
        <w:adjustRightInd/>
        <w:snapToGrid/>
        <w:spacing w:after="0" w:line="500" w:lineRule="exact"/>
        <w:ind w:left="0"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因战、因公负伤致残的转业、复员、退伍军人，到用人单位后旧伤复发的，提交革命伤残军人证及县级以上医疗机构的旧伤复发诊断证明。</w:t>
      </w:r>
    </w:p>
    <w:p>
      <w:pPr>
        <w:keepNext w:val="0"/>
        <w:keepLines w:val="0"/>
        <w:pageBreakBefore w:val="0"/>
        <w:widowControl w:val="0"/>
        <w:numPr>
          <w:ilvl w:val="0"/>
          <w:numId w:val="177"/>
        </w:numPr>
        <w:pBdr>
          <w:between w:val="none" w:color="000000" w:sz="0" w:space="0"/>
        </w:pBdr>
        <w:shd w:val="clear" w:color="auto" w:fill="FFFFFF"/>
        <w:wordWrap/>
        <w:bidi w:val="0"/>
        <w:adjustRightInd/>
        <w:snapToGrid/>
        <w:spacing w:after="0" w:line="500" w:lineRule="exact"/>
        <w:ind w:left="0"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用人单位未参加工伤保险的，还应当提交用人单位的设立登记或者设立批准证明。</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社会保险行政部门收到工伤认定申请后，依法应当在15日内对申请人提交的材料进行审核，材料完整的，作出受理或者不予受理的决定；申请人提交的材料不完整的，社会保险行政部门应当当场或者于5日内一次性书面告知申请人需要补正的全部材料。社会保险行政部门收到申请人提交的全部补正材料后，应当在15日内作出受理或者不予受理的决定。社会保险行政部门决定受理的，应当出具《工伤认定申请受理决定书》；决定不予受理的，应当出具《工伤认定申请不予受理决定书》。</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社会保险行政部门受理工伤认定申请后，可以根据需要对申请人提供的证据进行调查核实。社会保险行政部门进行调查核实，应当由两名以上工作人员共同进行，并出示执行公务的证件。对于需要用人单位提交有关举证材料的，会下达《工伤认定协助调查通知书》并送交有关用人单位，由该用人单位承担举证责任并协助调查。</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社会保险行政部门对下列情形的事故必须调查取证：</w:t>
      </w:r>
    </w:p>
    <w:p>
      <w:pPr>
        <w:keepNext w:val="0"/>
        <w:keepLines w:val="0"/>
        <w:pageBreakBefore w:val="0"/>
        <w:widowControl w:val="0"/>
        <w:numPr>
          <w:ilvl w:val="0"/>
          <w:numId w:val="178"/>
        </w:numPr>
        <w:pBdr>
          <w:between w:val="none" w:color="000000" w:sz="0" w:space="0"/>
        </w:pBdr>
        <w:shd w:val="clear" w:color="auto" w:fill="FFFFFF"/>
        <w:wordWrap/>
        <w:bidi w:val="0"/>
        <w:adjustRightInd/>
        <w:snapToGrid/>
        <w:spacing w:after="0" w:line="500" w:lineRule="exact"/>
        <w:ind w:left="0"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死亡事故；</w:t>
      </w:r>
    </w:p>
    <w:p>
      <w:pPr>
        <w:keepNext w:val="0"/>
        <w:keepLines w:val="0"/>
        <w:pageBreakBefore w:val="0"/>
        <w:widowControl w:val="0"/>
        <w:numPr>
          <w:ilvl w:val="0"/>
          <w:numId w:val="178"/>
        </w:numPr>
        <w:pBdr>
          <w:between w:val="none" w:color="000000" w:sz="0" w:space="0"/>
        </w:pBdr>
        <w:shd w:val="clear" w:color="auto" w:fill="FFFFFF"/>
        <w:wordWrap/>
        <w:bidi w:val="0"/>
        <w:adjustRightInd/>
        <w:snapToGrid/>
        <w:spacing w:after="0" w:line="500" w:lineRule="exact"/>
        <w:ind w:left="0"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因工外出期间，因受到意外伤害或发生下落不明的事故；</w:t>
      </w:r>
    </w:p>
    <w:p>
      <w:pPr>
        <w:keepNext w:val="0"/>
        <w:keepLines w:val="0"/>
        <w:pageBreakBefore w:val="0"/>
        <w:widowControl w:val="0"/>
        <w:numPr>
          <w:ilvl w:val="0"/>
          <w:numId w:val="178"/>
        </w:numPr>
        <w:pBdr>
          <w:between w:val="none" w:color="000000" w:sz="0" w:space="0"/>
        </w:pBdr>
        <w:shd w:val="clear" w:color="auto" w:fill="FFFFFF"/>
        <w:wordWrap/>
        <w:bidi w:val="0"/>
        <w:adjustRightInd/>
        <w:snapToGrid/>
        <w:spacing w:after="0" w:line="500" w:lineRule="exact"/>
        <w:ind w:left="0"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在上下班途中，受到非本人主要责任有疑问的交通事故或城市轨道交通、客运轮渡、火车事故伤害的事故；</w:t>
      </w:r>
    </w:p>
    <w:p>
      <w:pPr>
        <w:keepNext w:val="0"/>
        <w:keepLines w:val="0"/>
        <w:pageBreakBefore w:val="0"/>
        <w:widowControl w:val="0"/>
        <w:numPr>
          <w:ilvl w:val="0"/>
          <w:numId w:val="178"/>
        </w:numPr>
        <w:pBdr>
          <w:between w:val="none" w:color="000000" w:sz="0" w:space="0"/>
        </w:pBdr>
        <w:shd w:val="clear" w:color="auto" w:fill="FFFFFF"/>
        <w:wordWrap/>
        <w:bidi w:val="0"/>
        <w:adjustRightInd/>
        <w:snapToGrid/>
        <w:spacing w:after="0" w:line="500" w:lineRule="exact"/>
        <w:ind w:left="0"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非实名制参保人员发生的事故；</w:t>
      </w:r>
    </w:p>
    <w:p>
      <w:pPr>
        <w:keepNext w:val="0"/>
        <w:keepLines w:val="0"/>
        <w:pageBreakBefore w:val="0"/>
        <w:widowControl w:val="0"/>
        <w:numPr>
          <w:ilvl w:val="0"/>
          <w:numId w:val="178"/>
        </w:numPr>
        <w:pBdr>
          <w:between w:val="none" w:color="000000" w:sz="0" w:space="0"/>
        </w:pBdr>
        <w:shd w:val="clear" w:color="auto" w:fill="FFFFFF"/>
        <w:wordWrap/>
        <w:bidi w:val="0"/>
        <w:adjustRightInd/>
        <w:snapToGrid/>
        <w:spacing w:after="0" w:line="500" w:lineRule="exact"/>
        <w:ind w:left="0"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工伤职工或者其近亲属申请工伤认定而用人单位不认可的事故；</w:t>
      </w:r>
    </w:p>
    <w:p>
      <w:pPr>
        <w:keepNext w:val="0"/>
        <w:keepLines w:val="0"/>
        <w:pageBreakBefore w:val="0"/>
        <w:widowControl w:val="0"/>
        <w:numPr>
          <w:ilvl w:val="0"/>
          <w:numId w:val="178"/>
        </w:numPr>
        <w:pBdr>
          <w:between w:val="none" w:color="000000" w:sz="0" w:space="0"/>
        </w:pBdr>
        <w:shd w:val="clear" w:color="auto" w:fill="FFFFFF"/>
        <w:wordWrap/>
        <w:bidi w:val="0"/>
        <w:adjustRightInd/>
        <w:snapToGrid/>
        <w:spacing w:after="0" w:line="500" w:lineRule="exact"/>
        <w:ind w:left="0"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其它需要调查取证的事故。</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社会保险行政部门工作人员在工伤认定中，可以进行以下调查核实工作：</w:t>
      </w:r>
    </w:p>
    <w:p>
      <w:pPr>
        <w:keepNext w:val="0"/>
        <w:keepLines w:val="0"/>
        <w:pageBreakBefore w:val="0"/>
        <w:widowControl w:val="0"/>
        <w:numPr>
          <w:ilvl w:val="0"/>
          <w:numId w:val="179"/>
        </w:numPr>
        <w:pBdr>
          <w:between w:val="none" w:color="000000" w:sz="0" w:space="0"/>
        </w:pBdr>
        <w:shd w:val="clear" w:color="auto" w:fill="FFFFFF"/>
        <w:wordWrap/>
        <w:bidi w:val="0"/>
        <w:adjustRightInd/>
        <w:snapToGrid/>
        <w:spacing w:after="0" w:line="500" w:lineRule="exact"/>
        <w:ind w:left="0"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根据工作需要，进入有关单位和事故现场；</w:t>
      </w:r>
    </w:p>
    <w:p>
      <w:pPr>
        <w:keepNext w:val="0"/>
        <w:keepLines w:val="0"/>
        <w:pageBreakBefore w:val="0"/>
        <w:widowControl w:val="0"/>
        <w:numPr>
          <w:ilvl w:val="0"/>
          <w:numId w:val="179"/>
        </w:numPr>
        <w:pBdr>
          <w:between w:val="none" w:color="000000" w:sz="0" w:space="0"/>
        </w:pBdr>
        <w:shd w:val="clear" w:color="auto" w:fill="FFFFFF"/>
        <w:wordWrap/>
        <w:bidi w:val="0"/>
        <w:adjustRightInd/>
        <w:snapToGrid/>
        <w:spacing w:after="0" w:line="500" w:lineRule="exact"/>
        <w:ind w:left="0"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依法查阅与工伤认定有关的资料，询问有关人员并作出调查笔录；</w:t>
      </w:r>
    </w:p>
    <w:p>
      <w:pPr>
        <w:keepNext w:val="0"/>
        <w:keepLines w:val="0"/>
        <w:pageBreakBefore w:val="0"/>
        <w:widowControl w:val="0"/>
        <w:numPr>
          <w:ilvl w:val="0"/>
          <w:numId w:val="179"/>
        </w:numPr>
        <w:pBdr>
          <w:between w:val="none" w:color="000000" w:sz="0" w:space="0"/>
        </w:pBdr>
        <w:shd w:val="clear" w:color="auto" w:fill="FFFFFF"/>
        <w:wordWrap/>
        <w:bidi w:val="0"/>
        <w:adjustRightInd/>
        <w:snapToGrid/>
        <w:spacing w:after="0" w:line="500" w:lineRule="exact"/>
        <w:ind w:left="0"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记录、录音、录像和复制与工伤认定有关的资料。调查核实工作的证据收集参照行政诉讼证据收集的有关规定执行。</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下列证据材料不得作为社会保险行政部门作出工伤认定的依据：</w:t>
      </w:r>
    </w:p>
    <w:p>
      <w:pPr>
        <w:keepNext w:val="0"/>
        <w:keepLines w:val="0"/>
        <w:pageBreakBefore w:val="0"/>
        <w:widowControl w:val="0"/>
        <w:numPr>
          <w:ilvl w:val="0"/>
          <w:numId w:val="180"/>
        </w:numPr>
        <w:pBdr>
          <w:between w:val="none" w:color="000000" w:sz="0" w:space="0"/>
        </w:pBdr>
        <w:shd w:val="clear" w:color="auto" w:fill="FFFFFF"/>
        <w:wordWrap/>
        <w:bidi w:val="0"/>
        <w:adjustRightInd/>
        <w:snapToGrid/>
        <w:spacing w:after="0" w:line="500" w:lineRule="exact"/>
        <w:ind w:left="0"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严重违反法定程序收集的；</w:t>
      </w:r>
    </w:p>
    <w:p>
      <w:pPr>
        <w:keepNext w:val="0"/>
        <w:keepLines w:val="0"/>
        <w:pageBreakBefore w:val="0"/>
        <w:widowControl w:val="0"/>
        <w:numPr>
          <w:ilvl w:val="0"/>
          <w:numId w:val="180"/>
        </w:numPr>
        <w:pBdr>
          <w:between w:val="none" w:color="000000" w:sz="0" w:space="0"/>
        </w:pBdr>
        <w:shd w:val="clear" w:color="auto" w:fill="FFFFFF"/>
        <w:wordWrap/>
        <w:bidi w:val="0"/>
        <w:adjustRightInd/>
        <w:snapToGrid/>
        <w:spacing w:after="0" w:line="500" w:lineRule="exact"/>
        <w:ind w:left="0"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以非法偷拍、非法偷录、非法窃听等手段侵害他人合法权益取得的；</w:t>
      </w:r>
    </w:p>
    <w:p>
      <w:pPr>
        <w:keepNext w:val="0"/>
        <w:keepLines w:val="0"/>
        <w:pageBreakBefore w:val="0"/>
        <w:widowControl w:val="0"/>
        <w:numPr>
          <w:ilvl w:val="0"/>
          <w:numId w:val="180"/>
        </w:numPr>
        <w:pBdr>
          <w:between w:val="none" w:color="000000" w:sz="0" w:space="0"/>
        </w:pBdr>
        <w:shd w:val="clear" w:color="auto" w:fill="FFFFFF"/>
        <w:wordWrap/>
        <w:bidi w:val="0"/>
        <w:adjustRightInd/>
        <w:snapToGrid/>
        <w:spacing w:after="0" w:line="500" w:lineRule="exact"/>
        <w:ind w:left="0"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以利诱、欺诈、胁迫、暴力等不正当手段取得的；</w:t>
      </w:r>
    </w:p>
    <w:p>
      <w:pPr>
        <w:keepNext w:val="0"/>
        <w:keepLines w:val="0"/>
        <w:pageBreakBefore w:val="0"/>
        <w:widowControl w:val="0"/>
        <w:numPr>
          <w:ilvl w:val="0"/>
          <w:numId w:val="180"/>
        </w:numPr>
        <w:pBdr>
          <w:between w:val="none" w:color="000000" w:sz="0" w:space="0"/>
        </w:pBdr>
        <w:shd w:val="clear" w:color="auto" w:fill="FFFFFF"/>
        <w:wordWrap/>
        <w:bidi w:val="0"/>
        <w:adjustRightInd/>
        <w:snapToGrid/>
        <w:spacing w:after="0" w:line="500" w:lineRule="exact"/>
        <w:ind w:left="0"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没有其他证据印证、且相关人员不予认可的证据的复制件或者复制品；</w:t>
      </w:r>
    </w:p>
    <w:p>
      <w:pPr>
        <w:keepNext w:val="0"/>
        <w:keepLines w:val="0"/>
        <w:pageBreakBefore w:val="0"/>
        <w:widowControl w:val="0"/>
        <w:numPr>
          <w:ilvl w:val="0"/>
          <w:numId w:val="180"/>
        </w:numPr>
        <w:pBdr>
          <w:between w:val="none" w:color="000000" w:sz="0" w:space="0"/>
        </w:pBdr>
        <w:shd w:val="clear" w:color="auto" w:fill="FFFFFF"/>
        <w:wordWrap/>
        <w:bidi w:val="0"/>
        <w:adjustRightInd/>
        <w:snapToGrid/>
        <w:spacing w:after="0" w:line="500" w:lineRule="exact"/>
        <w:ind w:left="0"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被技术处理而无法辨认真伪的；</w:t>
      </w:r>
    </w:p>
    <w:p>
      <w:pPr>
        <w:keepNext w:val="0"/>
        <w:keepLines w:val="0"/>
        <w:pageBreakBefore w:val="0"/>
        <w:widowControl w:val="0"/>
        <w:numPr>
          <w:ilvl w:val="0"/>
          <w:numId w:val="180"/>
        </w:numPr>
        <w:pBdr>
          <w:between w:val="none" w:color="000000" w:sz="0" w:space="0"/>
        </w:pBdr>
        <w:shd w:val="clear" w:color="auto" w:fill="FFFFFF"/>
        <w:wordWrap/>
        <w:bidi w:val="0"/>
        <w:adjustRightInd/>
        <w:snapToGrid/>
        <w:spacing w:after="0" w:line="500" w:lineRule="exact"/>
        <w:ind w:left="0"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不能正确表达意志的证人提供的证言；</w:t>
      </w:r>
    </w:p>
    <w:p>
      <w:pPr>
        <w:keepNext w:val="0"/>
        <w:keepLines w:val="0"/>
        <w:pageBreakBefore w:val="0"/>
        <w:widowControl w:val="0"/>
        <w:numPr>
          <w:ilvl w:val="0"/>
          <w:numId w:val="180"/>
        </w:numPr>
        <w:pBdr>
          <w:between w:val="none" w:color="000000" w:sz="0" w:space="0"/>
        </w:pBdr>
        <w:shd w:val="clear" w:color="auto" w:fill="FFFFFF"/>
        <w:wordWrap/>
        <w:bidi w:val="0"/>
        <w:adjustRightInd/>
        <w:snapToGrid/>
        <w:spacing w:after="0" w:line="500" w:lineRule="exact"/>
        <w:ind w:left="0"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在中华人民共和国领域以外形成的未办理法定证明手续的；</w:t>
      </w:r>
    </w:p>
    <w:p>
      <w:pPr>
        <w:keepNext w:val="0"/>
        <w:keepLines w:val="0"/>
        <w:pageBreakBefore w:val="0"/>
        <w:widowControl w:val="0"/>
        <w:numPr>
          <w:ilvl w:val="0"/>
          <w:numId w:val="180"/>
        </w:numPr>
        <w:pBdr>
          <w:between w:val="none" w:color="000000" w:sz="0" w:space="0"/>
        </w:pBdr>
        <w:shd w:val="clear" w:color="auto" w:fill="FFFFFF"/>
        <w:wordWrap/>
        <w:bidi w:val="0"/>
        <w:adjustRightInd/>
        <w:snapToGrid/>
        <w:spacing w:after="0" w:line="500" w:lineRule="exact"/>
        <w:ind w:left="0"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不具备合法性和真实性的其他证据材料。</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社会保险行政部门工作人员进行调查核实时，有关单位和个人应当予以协助。用人单位、工会组织、医疗机构以及有关部门应当负责安排相关人员配合工作，据实提供情况和证明材料。用人单位拒不协助社会保险行政部门对事故伤害进行调查核实的，由社会保险行政部门责令改正，处2000元以上2万元以下的罚款。</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社会保险行政部门应当自受理工伤认定申请之日起60日内作出工伤认定决定，出具《认定工伤决定书》或者《不予认定工伤决定书》。社会保险行政部门对于事实清楚、权利义务明确的工伤认定申请，应当自受理工伤认定申请之日起15日内作出工伤认定决定。</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社会保险行政部门应当自工伤认定决定作出之日起20日内，将《认定工伤决定书》或者《不予认定工伤决定书》送达受伤害职工（或者其近亲属）和用人单位，并抄送社会保险经办机构。《认定工伤决定书》和《不予认定工伤决定书》的送达参照民事法律有关送达的规定执行。</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left="382" w:leftChars="200"/>
        <w:contextualSpacing/>
        <w:jc w:val="both"/>
        <w:rPr>
          <w:rFonts w:hint="eastAsia" w:ascii="仿宋" w:hAnsi="仿宋" w:eastAsia="仿宋" w:cs="仿宋"/>
          <w:color w:val="000000"/>
          <w:sz w:val="28"/>
          <w:szCs w:val="28"/>
        </w:rPr>
      </w:pPr>
    </w:p>
    <w:p>
      <w:pPr>
        <w:keepNext w:val="0"/>
        <w:keepLines w:val="0"/>
        <w:pageBreakBefore w:val="0"/>
        <w:widowControl w:val="0"/>
        <w:numPr>
          <w:ilvl w:val="0"/>
          <w:numId w:val="171"/>
        </w:numPr>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0"/>
        <w:jc w:val="center"/>
        <w:outlineLvl w:val="0"/>
        <w:rPr>
          <w:rFonts w:hint="eastAsia" w:ascii="黑体" w:hAnsi="黑体" w:eastAsia="黑体" w:cs="黑体"/>
          <w:color w:val="000000"/>
          <w:kern w:val="2"/>
          <w:sz w:val="28"/>
          <w:szCs w:val="28"/>
        </w:rPr>
      </w:pPr>
      <w:bookmarkStart w:id="277" w:name="_Toc75114616"/>
      <w:r>
        <w:rPr>
          <w:rFonts w:hint="eastAsia" w:ascii="黑体" w:hAnsi="黑体" w:eastAsia="黑体" w:cs="黑体"/>
          <w:color w:val="000000"/>
          <w:kern w:val="2"/>
          <w:sz w:val="28"/>
          <w:szCs w:val="28"/>
        </w:rPr>
        <w:t xml:space="preserve">  </w:t>
      </w:r>
      <w:bookmarkStart w:id="278" w:name="_Toc5265"/>
      <w:r>
        <w:rPr>
          <w:rFonts w:hint="eastAsia" w:ascii="黑体" w:hAnsi="黑体" w:eastAsia="黑体" w:cs="黑体"/>
          <w:color w:val="000000"/>
          <w:kern w:val="2"/>
          <w:sz w:val="28"/>
          <w:szCs w:val="28"/>
        </w:rPr>
        <w:t>工伤行政复议或诉讼</w:t>
      </w:r>
      <w:bookmarkEnd w:id="277"/>
      <w:bookmarkEnd w:id="278"/>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 w:hAnsi="仿宋" w:eastAsia="仿宋" w:cs="仿宋"/>
          <w:color w:val="000000"/>
          <w:sz w:val="28"/>
          <w:szCs w:val="28"/>
        </w:rPr>
        <w:t xml:space="preserve">  </w:t>
      </w:r>
      <w:r>
        <w:rPr>
          <w:rFonts w:hint="eastAsia" w:ascii="仿宋_GB2312" w:hAnsi="仿宋" w:eastAsia="仿宋_GB2312" w:cs="仿宋"/>
          <w:color w:val="000000"/>
          <w:sz w:val="28"/>
          <w:szCs w:val="28"/>
        </w:rPr>
        <w:t>用人单位、受伤害职工或者其近亲属对社会保险行政部门作出的不予受理决定不服或者对工伤认定决定不服的，可以自知道该具体行政行为之日起六十日内提出行政复议申请；但是法律规定的申请期限超过六十日的除外。因不可抗力或者其他正当理由耽误法定申请期限的，申请期限自障碍消除之日起继续计算。</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依法申请行政复议的用人单位、受伤害职工或者其近亲属是申请人。有权申请行政复议的职工死亡的，其近亲属可以申请行政复议。有权申请行政复议的职工为无民事行为能力人或者限制民事行为能力人的，其法定代理人可以代为申请行政复议。</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用人单位、受伤害职工或者其近亲属对社会保险行政部门作出的不予受理决定不服或者对工伤认定决定不服申请行政复议的，作出具体行政行为的社会保险行政部门是被申请人。</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律师代理工伤行政复议案件一般以受伤害职工或受伤害职工所在的用人单位作为第三人。</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湖南省自2021年6月1日起，根据《湖南省人民政府关于行政复议体制改革的实施意见》（湘政发〔2021〕9号）的规定，工伤行政复议案件的行政复议机关，为作出工伤认定决定的社会保险行政部门的本级人民政府。各级司法行政部门为本级人民政府的行政复议机构，依法办理本级人民政府行政复议事项，以本级人民政府的名义作出行政复议决定。</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行政复议机关收到行政复议申请后，应当在五日内进行审查，对不符合本法规定的行政复议申请，决定不予受理，并书面告知申请人；对符合本法规定，但是不属于本机关受理的行政复议申请，应当告知申请人向有关行政复议机关提出。除前款规定外，行政复议申请自行政复议机关负责法制工作的机构收到之日起即为受理。</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行政复议机关应当自受理申请之日起六十日内作出行政复议决定；但是法律规定的行政复议期限少于六十日的除外。情况复杂，不能在规定期限内作出行政复议决定的，经行政复议机关的负责人批准，可以适当延长，并告知申请人和被申请人；但是延长期限最多不超过三十日。行政复议决定书一经送达，即发生法律效力。</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用人单位、受伤害职工或者其近亲属直接向人民法院提起诉讼的，作出行政行为的行政机关是被告。经复议的案件，复议机关决定维持原行政行为的，作出原行政行为的行政机关和复议机关是共同被告；复议机关改变原行政行为的，复议机关是被告。复议机关在法定期限内未作出复议决定，用人单位、受伤害职工或者其近亲属起诉原行政行为的，作出原行政行为的行政机关是被告；起诉复议机关不作为的，复议机关是被告。</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54"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pacing w:val="8"/>
          <w:sz w:val="28"/>
          <w:szCs w:val="28"/>
          <w:shd w:val="clear" w:color="auto" w:fill="FFFFFF"/>
        </w:rPr>
        <w:t xml:space="preserve">  根据《湖南省高级人民法院关于开展全省基层人民法院一审行政案件集中管辖工作的实施方案》（湘高法发[2019]3号）的规定，湖南省自2019年5月1日起，一审行政诉讼案件实行集中管辖。其中长沙市、衡阳市、怀化市基层人民法院一审行政案件分别由长沙、衡阳、怀化三个铁路运输法院集中管辖。</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用人单位、受伤害职工或者其近亲属不服人民法院第一审判决的，有权在判决书送达之日起十五日内向上一级人民法院提起上诉。委托人不服人民法院第一审裁定的，有权在裁定书送达之日起十日内向上一级人民法院提起上诉。逾期不提起上诉的，人民法院的第一审判决或者裁定发生法律效力。</w:t>
      </w:r>
      <w:bookmarkStart w:id="279" w:name="_Toc32031"/>
      <w:bookmarkStart w:id="280" w:name="_Toc73975156"/>
    </w:p>
    <w:p>
      <w:pPr>
        <w:keepNext w:val="0"/>
        <w:keepLines w:val="0"/>
        <w:pageBreakBefore w:val="0"/>
        <w:widowControl w:val="0"/>
        <w:pBdr>
          <w:between w:val="none" w:color="000000" w:sz="0" w:space="0"/>
        </w:pBdr>
        <w:shd w:val="clear" w:color="auto" w:fill="FFFFFF"/>
        <w:wordWrap/>
        <w:bidi w:val="0"/>
        <w:adjustRightInd/>
        <w:snapToGrid/>
        <w:spacing w:after="0" w:line="500" w:lineRule="exact"/>
        <w:contextualSpacing/>
        <w:jc w:val="both"/>
        <w:rPr>
          <w:rFonts w:hint="eastAsia" w:ascii="仿宋" w:hAnsi="仿宋" w:eastAsia="仿宋" w:cs="仿宋"/>
          <w:color w:val="000000"/>
          <w:sz w:val="28"/>
          <w:szCs w:val="28"/>
        </w:rPr>
      </w:pPr>
    </w:p>
    <w:p>
      <w:pPr>
        <w:keepNext w:val="0"/>
        <w:keepLines w:val="0"/>
        <w:pageBreakBefore w:val="0"/>
        <w:widowControl w:val="0"/>
        <w:numPr>
          <w:ilvl w:val="0"/>
          <w:numId w:val="171"/>
        </w:numPr>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0"/>
        <w:jc w:val="center"/>
        <w:outlineLvl w:val="0"/>
        <w:rPr>
          <w:rFonts w:hint="eastAsia" w:ascii="黑体" w:hAnsi="黑体" w:eastAsia="黑体" w:cs="黑体"/>
          <w:color w:val="000000"/>
          <w:kern w:val="2"/>
          <w:sz w:val="28"/>
          <w:szCs w:val="28"/>
        </w:rPr>
      </w:pPr>
      <w:bookmarkStart w:id="281" w:name="_Toc75114617"/>
      <w:r>
        <w:rPr>
          <w:rFonts w:hint="eastAsia" w:ascii="黑体" w:hAnsi="黑体" w:eastAsia="黑体" w:cs="黑体"/>
          <w:color w:val="000000"/>
          <w:kern w:val="2"/>
          <w:sz w:val="28"/>
          <w:szCs w:val="28"/>
        </w:rPr>
        <w:t xml:space="preserve">  </w:t>
      </w:r>
      <w:bookmarkStart w:id="282" w:name="_Toc13453"/>
      <w:r>
        <w:rPr>
          <w:rFonts w:hint="eastAsia" w:ascii="黑体" w:hAnsi="黑体" w:eastAsia="黑体" w:cs="黑体"/>
          <w:color w:val="000000"/>
          <w:kern w:val="2"/>
          <w:sz w:val="28"/>
          <w:szCs w:val="28"/>
        </w:rPr>
        <w:t>劳动能力鉴定</w:t>
      </w:r>
      <w:bookmarkEnd w:id="279"/>
      <w:bookmarkEnd w:id="280"/>
      <w:bookmarkEnd w:id="281"/>
      <w:bookmarkEnd w:id="282"/>
    </w:p>
    <w:p>
      <w:pPr>
        <w:keepNext w:val="0"/>
        <w:keepLines w:val="0"/>
        <w:pageBreakBefore w:val="0"/>
        <w:widowControl w:val="0"/>
        <w:numPr>
          <w:ilvl w:val="1"/>
          <w:numId w:val="181"/>
        </w:numPr>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0"/>
        <w:jc w:val="center"/>
        <w:outlineLvl w:val="1"/>
        <w:rPr>
          <w:rFonts w:hint="eastAsia" w:ascii="楷体" w:hAnsi="楷体" w:eastAsia="楷体" w:cs="楷体"/>
          <w:b/>
          <w:bCs/>
          <w:color w:val="000000"/>
          <w:kern w:val="2"/>
          <w:sz w:val="28"/>
          <w:szCs w:val="28"/>
          <w:lang w:eastAsia="en-US"/>
        </w:rPr>
      </w:pPr>
      <w:bookmarkStart w:id="283" w:name="_Toc75114618"/>
      <w:r>
        <w:rPr>
          <w:rFonts w:hint="eastAsia" w:ascii="楷体" w:hAnsi="楷体" w:eastAsia="楷体" w:cs="楷体"/>
          <w:b/>
          <w:bCs/>
          <w:color w:val="000000"/>
          <w:kern w:val="2"/>
          <w:sz w:val="28"/>
          <w:szCs w:val="28"/>
          <w:lang w:eastAsia="en-US"/>
        </w:rPr>
        <w:t>初次劳动能力鉴定</w:t>
      </w:r>
      <w:bookmarkEnd w:id="283"/>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 w:hAnsi="仿宋" w:eastAsia="仿宋" w:cs="仿宋"/>
          <w:color w:val="000000"/>
          <w:sz w:val="28"/>
          <w:szCs w:val="28"/>
        </w:rPr>
        <w:t xml:space="preserve">  </w:t>
      </w:r>
      <w:r>
        <w:rPr>
          <w:rFonts w:hint="eastAsia" w:ascii="仿宋_GB2312" w:hAnsi="仿宋" w:eastAsia="仿宋_GB2312" w:cs="仿宋"/>
          <w:color w:val="000000"/>
          <w:sz w:val="28"/>
          <w:szCs w:val="28"/>
        </w:rPr>
        <w:t>职工发生工伤，经治疗伤情相对稳定后存在残疾、影响劳动能力的，或者停工留薪期满（含劳动能力鉴定委员会确认的延长期限），应当及时进行劳动能力鉴定。</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劳动能力鉴定由用人单位、工伤职工或者其直系亲属向设区的市级劳动能力鉴定委员会提出申请，填写劳动能力鉴定申请表并提供下列资料：</w:t>
      </w:r>
    </w:p>
    <w:p>
      <w:pPr>
        <w:keepNext w:val="0"/>
        <w:keepLines w:val="0"/>
        <w:pageBreakBefore w:val="0"/>
        <w:widowControl w:val="0"/>
        <w:numPr>
          <w:ilvl w:val="0"/>
          <w:numId w:val="18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工伤职工的居民身份证或者社会保障卡等其他有效身份证明的材料；</w:t>
      </w:r>
    </w:p>
    <w:p>
      <w:pPr>
        <w:keepNext w:val="0"/>
        <w:keepLines w:val="0"/>
        <w:pageBreakBefore w:val="0"/>
        <w:widowControl w:val="0"/>
        <w:numPr>
          <w:ilvl w:val="0"/>
          <w:numId w:val="18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工伤认定决定书；</w:t>
      </w:r>
    </w:p>
    <w:p>
      <w:pPr>
        <w:keepNext w:val="0"/>
        <w:keepLines w:val="0"/>
        <w:pageBreakBefore w:val="0"/>
        <w:widowControl w:val="0"/>
        <w:numPr>
          <w:ilvl w:val="0"/>
          <w:numId w:val="18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有效的诊断证明、按照医疗机构病历管理有关规定复印或者复制的检查、检验报告等完整病历材料；</w:t>
      </w:r>
    </w:p>
    <w:p>
      <w:pPr>
        <w:keepNext w:val="0"/>
        <w:keepLines w:val="0"/>
        <w:pageBreakBefore w:val="0"/>
        <w:widowControl w:val="0"/>
        <w:numPr>
          <w:ilvl w:val="0"/>
          <w:numId w:val="18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其他和鉴定有关的资料。</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劳动能力鉴定委员会鉴定或确认的项目：</w:t>
      </w:r>
    </w:p>
    <w:p>
      <w:pPr>
        <w:keepNext w:val="0"/>
        <w:keepLines w:val="0"/>
        <w:pageBreakBefore w:val="0"/>
        <w:widowControl w:val="0"/>
        <w:numPr>
          <w:ilvl w:val="1"/>
          <w:numId w:val="183"/>
        </w:numPr>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left="0"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工伤职工劳动功能障碍程度的等级鉴定；</w:t>
      </w:r>
    </w:p>
    <w:p>
      <w:pPr>
        <w:keepNext w:val="0"/>
        <w:keepLines w:val="0"/>
        <w:pageBreakBefore w:val="0"/>
        <w:widowControl w:val="0"/>
        <w:numPr>
          <w:ilvl w:val="1"/>
          <w:numId w:val="183"/>
        </w:numPr>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left="0"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工伤职工生活自理障碍程度的等级鉴定；</w:t>
      </w:r>
    </w:p>
    <w:p>
      <w:pPr>
        <w:keepNext w:val="0"/>
        <w:keepLines w:val="0"/>
        <w:pageBreakBefore w:val="0"/>
        <w:widowControl w:val="0"/>
        <w:numPr>
          <w:ilvl w:val="1"/>
          <w:numId w:val="183"/>
        </w:numPr>
        <w:pBdr>
          <w:between w:val="none" w:color="000000" w:sz="0" w:space="0"/>
        </w:pBdr>
        <w:shd w:val="clear" w:color="auto" w:fill="FFFFFF"/>
        <w:wordWrap/>
        <w:bidi w:val="0"/>
        <w:adjustRightInd/>
        <w:snapToGrid/>
        <w:spacing w:after="0" w:line="500" w:lineRule="exact"/>
        <w:ind w:left="0"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工伤职工停工留薪期延长的确认；</w:t>
      </w:r>
    </w:p>
    <w:p>
      <w:pPr>
        <w:keepNext w:val="0"/>
        <w:keepLines w:val="0"/>
        <w:pageBreakBefore w:val="0"/>
        <w:widowControl w:val="0"/>
        <w:numPr>
          <w:ilvl w:val="1"/>
          <w:numId w:val="183"/>
        </w:numPr>
        <w:pBdr>
          <w:between w:val="none" w:color="000000" w:sz="0" w:space="0"/>
        </w:pBdr>
        <w:shd w:val="clear" w:color="auto" w:fill="FFFFFF"/>
        <w:wordWrap/>
        <w:bidi w:val="0"/>
        <w:adjustRightInd/>
        <w:snapToGrid/>
        <w:spacing w:after="0" w:line="500" w:lineRule="exact"/>
        <w:ind w:left="0"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工伤职工疾病与工伤的因果关系鉴定；</w:t>
      </w:r>
    </w:p>
    <w:p>
      <w:pPr>
        <w:keepNext w:val="0"/>
        <w:keepLines w:val="0"/>
        <w:pageBreakBefore w:val="0"/>
        <w:widowControl w:val="0"/>
        <w:numPr>
          <w:ilvl w:val="1"/>
          <w:numId w:val="183"/>
        </w:numPr>
        <w:pBdr>
          <w:between w:val="none" w:color="000000" w:sz="0" w:space="0"/>
        </w:pBdr>
        <w:shd w:val="clear" w:color="auto" w:fill="FFFFFF"/>
        <w:wordWrap/>
        <w:bidi w:val="0"/>
        <w:adjustRightInd/>
        <w:snapToGrid/>
        <w:spacing w:after="0" w:line="500" w:lineRule="exact"/>
        <w:ind w:left="0"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工伤职工配置辅助器具的确认；</w:t>
      </w:r>
    </w:p>
    <w:p>
      <w:pPr>
        <w:keepNext w:val="0"/>
        <w:keepLines w:val="0"/>
        <w:pageBreakBefore w:val="0"/>
        <w:widowControl w:val="0"/>
        <w:numPr>
          <w:ilvl w:val="1"/>
          <w:numId w:val="183"/>
        </w:numPr>
        <w:pBdr>
          <w:between w:val="none" w:color="000000" w:sz="0" w:space="0"/>
        </w:pBdr>
        <w:shd w:val="clear" w:color="auto" w:fill="FFFFFF"/>
        <w:wordWrap/>
        <w:bidi w:val="0"/>
        <w:adjustRightInd/>
        <w:snapToGrid/>
        <w:spacing w:after="0" w:line="500" w:lineRule="exact"/>
        <w:ind w:left="0"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供养亲属丧失劳动能力程度的确认；</w:t>
      </w:r>
    </w:p>
    <w:p>
      <w:pPr>
        <w:keepNext w:val="0"/>
        <w:keepLines w:val="0"/>
        <w:pageBreakBefore w:val="0"/>
        <w:widowControl w:val="0"/>
        <w:numPr>
          <w:ilvl w:val="1"/>
          <w:numId w:val="183"/>
        </w:numPr>
        <w:pBdr>
          <w:between w:val="none" w:color="000000" w:sz="0" w:space="0"/>
        </w:pBdr>
        <w:shd w:val="clear" w:color="auto" w:fill="FFFFFF"/>
        <w:wordWrap/>
        <w:bidi w:val="0"/>
        <w:adjustRightInd/>
        <w:snapToGrid/>
        <w:spacing w:after="0" w:line="500" w:lineRule="exact"/>
        <w:ind w:left="0"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法律、法规规定的其他事项。</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用人单位有权要求陪同被鉴定人进行医疗技术鉴定，用人单位应当在《湖南省职工劳动能力鉴定表》上规定的栏目明确填写是否要求陪同鉴定的意见。用人单位要求陪同鉴定的，应提供相关人员身份证明及单位介绍信。</w:t>
      </w:r>
      <w:bookmarkStart w:id="284" w:name="No58_Z3T14K2"/>
      <w:bookmarkEnd w:id="284"/>
      <w:r>
        <w:rPr>
          <w:rFonts w:hint="eastAsia" w:ascii="仿宋_GB2312" w:hAnsi="仿宋" w:eastAsia="仿宋_GB2312" w:cs="仿宋"/>
          <w:color w:val="000000"/>
          <w:sz w:val="28"/>
          <w:szCs w:val="28"/>
        </w:rPr>
        <w:t>被鉴定人拒绝工伤保险经办机构和用人单位陪同鉴定的，医疗技术鉴定意见不予承认。</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各级劳动能力鉴定委员会受理劳动能力鉴定申请后，应当从其建立的医疗卫生专家库中随机抽取3名或者5名相关专家组成专家组，由专家组提出医疗鉴定意见。根据医疗鉴定的需要，专家组可以要求被鉴定人提供相应的检查资料。被指定的医疗专家在接到的医疗鉴定任务后，应当依据职工的伤残情况，及时、科学、公正地对被鉴定人进行医疗技术鉴定。</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劳动能力鉴定委员会根据专家组的医疗技术鉴定意见，作出工伤职工劳动能力鉴定结论。劳动能力鉴定委员会应当自收到劳动能力鉴定申请之日起60日内作出劳动能力鉴定结论，必要时，作出劳动能力鉴定结论的期限可以延长30日。</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劳动能力鉴定委员会应当自作出鉴定结论之日起20日内将劳动能力鉴定结论及时送达工伤职工及其用人单位，并抄送社会保险经办机构。 </w:t>
      </w:r>
    </w:p>
    <w:p>
      <w:pPr>
        <w:keepNext w:val="0"/>
        <w:keepLines w:val="0"/>
        <w:pageBreakBefore w:val="0"/>
        <w:widowControl w:val="0"/>
        <w:numPr>
          <w:ilvl w:val="1"/>
          <w:numId w:val="181"/>
        </w:numPr>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0"/>
        <w:jc w:val="center"/>
        <w:outlineLvl w:val="1"/>
        <w:rPr>
          <w:rFonts w:hint="eastAsia" w:ascii="楷体" w:hAnsi="楷体" w:eastAsia="楷体" w:cs="楷体"/>
          <w:b/>
          <w:bCs/>
          <w:color w:val="000000"/>
          <w:kern w:val="2"/>
          <w:sz w:val="28"/>
          <w:szCs w:val="28"/>
          <w:lang w:eastAsia="en-US"/>
        </w:rPr>
      </w:pPr>
      <w:bookmarkStart w:id="285" w:name="_Toc75114619"/>
      <w:r>
        <w:rPr>
          <w:rFonts w:hint="eastAsia" w:ascii="楷体" w:hAnsi="楷体" w:eastAsia="楷体" w:cs="楷体"/>
          <w:b/>
          <w:bCs/>
          <w:color w:val="000000"/>
          <w:kern w:val="2"/>
          <w:sz w:val="28"/>
          <w:szCs w:val="28"/>
          <w:lang w:eastAsia="en-US"/>
        </w:rPr>
        <w:t>再次鉴定和复查鉴定</w:t>
      </w:r>
      <w:bookmarkEnd w:id="285"/>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 w:hAnsi="仿宋" w:eastAsia="仿宋" w:cs="仿宋"/>
          <w:color w:val="000000"/>
          <w:sz w:val="28"/>
          <w:szCs w:val="28"/>
        </w:rPr>
        <w:t xml:space="preserve">  </w:t>
      </w:r>
      <w:r>
        <w:rPr>
          <w:rFonts w:hint="eastAsia" w:ascii="仿宋_GB2312" w:hAnsi="仿宋" w:eastAsia="仿宋_GB2312" w:cs="仿宋"/>
          <w:color w:val="000000"/>
          <w:sz w:val="28"/>
          <w:szCs w:val="28"/>
        </w:rPr>
        <w:t>申请鉴定的单位或者个人对劳动能力鉴定结论不服的，可以在收到该鉴定结论之日起15日内向湖南省劳动能力鉴定委员会提出再次鉴定申请。</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申请劳动能力再次鉴定的申请人，应在做出前次劳动能力鉴定结论的劳动能力鉴定委员会领取劳动能力再次鉴定申请表，按规定填写，同时提供初次劳动能力鉴定结论及初次鉴定的申请材料。</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做出前次鉴定结论的劳动能力鉴定委员会应当指导申请人填写劳动能力再次鉴定申请表，并在劳动能力再次鉴定表上填写前次鉴定结论。</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湖南省劳动鉴定委员会做出的再次鉴定结论为最终结论。</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自劳动能力鉴定结论作出之日起1年后，工伤职工或者其直系亲属、所在单位或者经办机构认为伤残情况发生变化的，可以向设区的市级劳动能力鉴定委员会申请劳动能力复查鉴定。</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申请劳动能力复查鉴定的申请人应填写劳动能力复查鉴定申请表，同时提供生效劳动能力鉴定结论及其申请材料。</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劳动能力的再次鉴定和复查鉴定按照相关法律规定的程序进行。</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劳动能力再次鉴定结论和复查鉴定结论应当及时送达工伤职工、用人单位，以及相应经办机构。</w:t>
      </w:r>
    </w:p>
    <w:p>
      <w:pPr>
        <w:keepNext w:val="0"/>
        <w:keepLines w:val="0"/>
        <w:pageBreakBefore w:val="0"/>
        <w:widowControl w:val="0"/>
        <w:numPr>
          <w:ilvl w:val="0"/>
          <w:numId w:val="0"/>
        </w:numPr>
        <w:pBdr>
          <w:between w:val="none" w:color="000000" w:sz="0" w:space="0"/>
        </w:pBdr>
        <w:shd w:val="clear" w:color="auto" w:fill="FFFFFF"/>
        <w:wordWrap/>
        <w:bidi w:val="0"/>
        <w:adjustRightInd/>
        <w:snapToGrid/>
        <w:spacing w:after="0" w:line="500" w:lineRule="exact"/>
        <w:contextualSpacing/>
        <w:jc w:val="both"/>
        <w:rPr>
          <w:rFonts w:hint="eastAsia" w:ascii="仿宋_GB2312" w:hAnsi="仿宋" w:eastAsia="仿宋_GB2312" w:cs="仿宋"/>
          <w:color w:val="000000"/>
          <w:sz w:val="28"/>
          <w:szCs w:val="28"/>
        </w:rPr>
      </w:pPr>
    </w:p>
    <w:p>
      <w:pPr>
        <w:keepNext w:val="0"/>
        <w:keepLines w:val="0"/>
        <w:pageBreakBefore w:val="0"/>
        <w:widowControl w:val="0"/>
        <w:pBdr>
          <w:between w:val="none" w:color="000000" w:sz="0" w:space="0"/>
        </w:pBdr>
        <w:shd w:val="clear" w:color="auto" w:fill="FFFFFF"/>
        <w:wordWrap/>
        <w:bidi w:val="0"/>
        <w:adjustRightInd/>
        <w:snapToGrid/>
        <w:spacing w:after="0" w:line="500" w:lineRule="exact"/>
        <w:contextualSpacing/>
        <w:jc w:val="both"/>
        <w:rPr>
          <w:rFonts w:hint="eastAsia" w:ascii="仿宋" w:hAnsi="仿宋" w:eastAsia="仿宋" w:cs="仿宋"/>
          <w:color w:val="000000"/>
          <w:sz w:val="28"/>
          <w:szCs w:val="28"/>
        </w:rPr>
      </w:pPr>
    </w:p>
    <w:p>
      <w:pPr>
        <w:keepNext w:val="0"/>
        <w:keepLines w:val="0"/>
        <w:pageBreakBefore w:val="0"/>
        <w:widowControl w:val="0"/>
        <w:numPr>
          <w:ilvl w:val="0"/>
          <w:numId w:val="171"/>
        </w:numPr>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0"/>
        <w:jc w:val="center"/>
        <w:outlineLvl w:val="0"/>
        <w:rPr>
          <w:rFonts w:hint="eastAsia" w:ascii="黑体" w:hAnsi="黑体" w:eastAsia="黑体" w:cs="黑体"/>
          <w:color w:val="000000"/>
          <w:kern w:val="2"/>
          <w:sz w:val="28"/>
          <w:szCs w:val="28"/>
        </w:rPr>
      </w:pPr>
      <w:bookmarkStart w:id="286" w:name="_Toc31024"/>
      <w:bookmarkStart w:id="287" w:name="_Toc75114620"/>
      <w:bookmarkStart w:id="288" w:name="_Toc73975157"/>
      <w:r>
        <w:rPr>
          <w:rFonts w:hint="eastAsia" w:ascii="黑体" w:hAnsi="黑体" w:eastAsia="黑体" w:cs="黑体"/>
          <w:color w:val="000000"/>
          <w:kern w:val="2"/>
          <w:sz w:val="28"/>
          <w:szCs w:val="28"/>
        </w:rPr>
        <w:t xml:space="preserve">  </w:t>
      </w:r>
      <w:bookmarkStart w:id="289" w:name="_Toc17503"/>
      <w:r>
        <w:rPr>
          <w:rFonts w:hint="eastAsia" w:ascii="黑体" w:hAnsi="黑体" w:eastAsia="黑体" w:cs="黑体"/>
          <w:color w:val="000000"/>
          <w:kern w:val="2"/>
          <w:sz w:val="28"/>
          <w:szCs w:val="28"/>
        </w:rPr>
        <w:t>工伤赔偿项目</w:t>
      </w:r>
      <w:bookmarkEnd w:id="286"/>
      <w:bookmarkEnd w:id="287"/>
      <w:bookmarkEnd w:id="288"/>
      <w:bookmarkEnd w:id="289"/>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 w:hAnsi="仿宋" w:eastAsia="仿宋" w:cs="仿宋"/>
          <w:color w:val="000000"/>
          <w:sz w:val="28"/>
          <w:szCs w:val="28"/>
        </w:rPr>
        <w:t xml:space="preserve">  </w:t>
      </w:r>
      <w:r>
        <w:rPr>
          <w:rFonts w:hint="eastAsia" w:ascii="仿宋_GB2312" w:hAnsi="仿宋" w:eastAsia="仿宋_GB2312" w:cs="仿宋"/>
          <w:color w:val="000000"/>
          <w:sz w:val="28"/>
          <w:szCs w:val="28"/>
        </w:rPr>
        <w:t>用人单位应当自收到劳动能力鉴定结论书之日起30日内，持工伤认定决定书和劳动能力鉴定结论书，到统筹地区经办机构为职工办理工伤保险待遇申报手续。</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依照《工伤保险条例》规定应当参加工伤保险而未参加工伤保险的用人单位职工发生工伤的，由该用人单位按照本条例规定的工伤保险待遇项目和标准支付费用，用人单位不支付的，从工伤保险基金中先行支付。从工伤保险基金中先行支付的工伤保险待遇应当由用人单位偿还。用人单位不偿还的，社会保险经办机构可以追偿。用人单位参加工伤保险并补缴应当缴纳的工伤保险费、滞纳金后，由工伤保险基金和用人单位依照本条例的规定支付新发生的费用。</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职工因工作遭受事故伤害或者患职业病进行治疗，享受工伤医疗待遇。职工治疗工伤应当在签订服务协议的医疗机构就医，情况紧急时可以先到就近的医疗机构急救。治疗工伤所需费用符合工伤保险诊疗项目目录、工伤保险药品目录、工伤保险住院服务标准的，从工伤保险基金支付。工伤保险诊疗项目目录、工伤保险药品目录、工伤保险住院服务标准，由国务院社会保险行政部门会同国务院卫生行政部门、食品药品监督管理部门等部门规定。</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工伤职工到签订服务协议的医疗机构进行工伤康复的费用，符合规定的，从工伤保险基金支付。</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工伤职工治疗非工伤引发的疾病，不享受工伤医疗待遇，按照基本医疗保险办法处理。</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职工住院治疗工伤的伙食补助费，从工伤保险基金支付，基金支付的具体标准由统筹地区人民政府规定。</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经医疗机构出具证明，报经办机构同意，工伤职工到统筹地区以外就医所需的交通、食宿费用从工伤保险基金支付，基金支付的具体标准由统筹地区人民政府规定。</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工伤职工因日常生活或者就业需要，经劳动能力鉴定委员会确认，可以安装假肢、矫形器、假眼、假牙和配置轮椅等辅助器具，所需费用按照国家规定的标准从工伤保险基金支付。</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职工因工作遭受事故伤害或者患职业病需要暂停工作接受工伤医疗的，在停工留薪期内，原工资福利待遇不变，由所在单位按月支付。停工留薪期一般不超过12个月。伤情严重或者情况特殊，经设区的市级劳动能力鉴定委员会确认，可以适当延长，但延长不得超过12个月。工伤职工评定伤残等级后，停发原待遇，按照本章的有关规定享受伤残待遇。工伤职工在停工留薪期满后仍需治疗的，继续享受工伤医疗待遇。</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生活不能自理的工伤职工在停工留薪期需要护理的，由所在单位负责。</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工伤职工已经评定伤残等级并经劳动能力鉴定委员会确认需要生活护理的，从工伤保险基金按月支付生活护理费。生活护理费按照生活完全不能自理、生活大部分不能自理或者生活部分不能自理3个不同等级支付，其标准分别为统筹地区上年度职工月平均工资的50%、40%或者30%。</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职工因工致残被鉴定为一级至四级伤残的，保留劳动关系，退出工作岗位，享受以下待遇：</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（一）从工伤保险基金按伤残等级支付一次性伤残补助金，标准为：一级伤残为27个月的本人工资，二级伤残为25个月的本人工资，三级伤残为23个月的本人工资，四级伤残为21个月的本人工资；</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从工伤保险基金按月支付伤残津贴，标准为：一级伤残为本人工资的90%，二级伤残为本人工资的85%，三级伤残为本人工资的80%，四级伤残为本人工资的75%。伤残津贴实际金额低于当地最低工资标准的，由工伤保险基金补足差额；</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（三）工伤职工达到退休年龄并办理退休手续后，停发伤残津贴，按照国家有关规定享受基本养老保险待遇。基本养老保险待遇低于伤残津贴的，由工伤保险基金补足差额。</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职工因工致残被鉴定为一级至四级伤残的，由用人单位和职工个人以伤残津贴为基数，缴纳基本医疗保险费。</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职工因工致残被鉴定为五级、六级伤残的，享受以下待遇：</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（一）从工伤保险基金按伤残等级支付一次性伤残补助金，标准为：五级伤残为18个月的本人工资，六级伤残为16个月的本人工资；</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保留与用人单位的劳动关系，由用人单位安排适当工作。难以安排工作的，由用人单位按月发给伤残津贴，标准为：五级伤残为本人工资的70%，六级伤残为本人工资的60%，并由用人单位按照规定为其缴纳应缴纳的各项社会保险费。伤残津贴实际金额低于当地最低工资标准的，由用人单位补足差额。</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经工伤职工本人提出，该职工可以与用人单位解除或者终止劳动关系，由工伤保险基金支付一次性工伤医疗补助金，由用人单位支付一次性伤残就业补助金。一次性工伤医疗补助金和一次性伤残就业补助金。一次性工伤医疗补助金的具体标准是：五级伤残为24个月的本人工资，六级伤残为18个月的本人工资；一次性伤残就业补助金的具体标准是：五级伤残为36个月的本人工资，六级伤残为30个月的本人工资。</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职工因工致残被鉴定为七级至十级伤残的，享受以下待遇：</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（一）从工伤保险基金按伤残等级支付一次性伤残补助金，标准为：七级伤残为13个月的本人工资，八级伤残为11个月的本人工资，九级伤残为9个月的本人工资，十级伤残为7个月的本人工资；</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劳动、聘用合同期满终止，或者职工本人提出解除劳动、聘用合同的，由工伤保险基金支付一次性工伤医疗补助金，由用人单位支付一次性伤残就业补助金。一次性工伤医疗补助金的具体标准是：七级伤残为15个月的本人工资，八级伤残为10个月的本人工资，九级伤残为8个月的本人工资，十级伤残为6个月的本人工资；一次性伤残就业补助金具体标准是：七级伤残为15个月的本人工资，八级伤残为10个月的本人工资，九级伤残为8个月的本人工资，十级伤残为6个月的本人工资。</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五级至十级伤残工伤职工自愿与用人单位解除或者终止劳动关系，距法定退休年龄5年以上（含5年）的，应当按照本办法第二十五条、第二十六条的规定享受一次性工伤医疗补助金和伤残就业补助金；不足5年的，每少一年减除20％，但最高减除额不得超过全额的90％。</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工伤职工达到退休年龄并办理退休手续的，不享受一次性工伤医疗补助金和伤残就业补助金。</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职工因工死亡，其近亲属按照下列规定从工伤保险基金领取丧葬补助金、供养亲属抚恤金和一次性工亡补助金：</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（一）丧葬补助金为6个月的统筹地区上年度职工月平均工资；</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供养亲属抚恤金按照职工本人工资的一定比例发给由因工死亡职工生前提供主要生活来源、无劳动能力的亲属。标准为：配偶每月40%，其他亲属每人每月30%，孤寡老人或者孤儿每人每月在上述标准的基础上增加10%。核定的各供养亲属的抚恤金之和不应高于因工死亡职工生前的工资。供养亲属的具体范围由国务院社会保险行政部门规定；</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（三）一次性工亡补助金标准为上一年度全国城镇居民人均可支配收入的20倍。</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伤残职工在停工留薪期内因工伤导致死亡的，其近亲属享受本条第一款规定的待遇。</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一级至四级伤残职工在停工留薪期满后死亡的，其近亲属可以享受本条第一款第（一）项、第（二）项规定的待遇。</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职工作为被侵权人有权获得工伤保险待遇或者其他社会保险待遇的，侵权人的侵权责任不因受害人获得社会保险而减轻或者免除。根据社会保险法第三十条和四十二条的规定，被侵权职工有权请求工伤保险基金或者其他社会保险支付工伤保险待遇或者其他保险待遇。用人单位未依法缴纳工伤保险费，职工因第三人侵权造成人身损害并构成工伤，侵权人已经赔偿的，职工有权请求用人单位支付除医疗费之外的工伤保险待遇。用人单位先行支付工伤保险待遇的，可以就医疗费用在第三人应承担的赔偿责任范围内向其追偿。</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工伤保险条例》所称本人工资，是指工伤职工因工作遭受事故伤害或者患职业病前12个月平均月缴费工资。如果在用人单位工作不满１年的，按照实际工作月份的平均工资为本人工资。本人工资高于统筹地区职工平均工资300%的，按照统筹地区职工平均工资的300%计算；本人工资低于统筹地区职工平均工资60%的，按照统筹地区职工平均工资的60%计算。双方没有签订劳动合同或者劳动合同中没有约定工资标准或者工作不满１月的，月工资标准参照适用其统筹地区上年度职工平均工资。</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工伤职工有下列情形之一的，停止享受工伤保险待遇：</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（一）丧失享受待遇条件的；</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（二）拒不接受劳动能力鉴定的；</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（三）拒绝治疗的。</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用人单位、工伤职工或者其近亲属骗取工伤保险待遇，医疗机构、辅助器具配置机构骗取工伤保险基金支出的，由社会保险行政部门责令退还，处骗取金额2倍以上5倍以下的罚款；情节严重，构成犯罪的，依法追究刑事责任。</w:t>
      </w:r>
    </w:p>
    <w:p>
      <w:pPr>
        <w:keepNext w:val="0"/>
        <w:keepLines w:val="0"/>
        <w:pageBreakBefore w:val="0"/>
        <w:widowControl w:val="0"/>
        <w:pBdr>
          <w:between w:val="none" w:color="000000" w:sz="0" w:space="0"/>
        </w:pBdr>
        <w:shd w:val="clear" w:color="auto" w:fill="FFFFFF"/>
        <w:wordWrap/>
        <w:bidi w:val="0"/>
        <w:adjustRightInd/>
        <w:snapToGrid/>
        <w:spacing w:after="0" w:line="500" w:lineRule="exact"/>
        <w:contextualSpacing/>
        <w:jc w:val="both"/>
        <w:rPr>
          <w:rFonts w:hint="eastAsia" w:ascii="仿宋" w:hAnsi="仿宋" w:eastAsia="仿宋" w:cs="仿宋"/>
          <w:color w:val="000000"/>
          <w:sz w:val="28"/>
          <w:szCs w:val="28"/>
        </w:rPr>
      </w:pPr>
    </w:p>
    <w:p>
      <w:pPr>
        <w:keepNext w:val="0"/>
        <w:keepLines w:val="0"/>
        <w:pageBreakBefore w:val="0"/>
        <w:widowControl w:val="0"/>
        <w:numPr>
          <w:ilvl w:val="0"/>
          <w:numId w:val="171"/>
        </w:numPr>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0"/>
        <w:jc w:val="center"/>
        <w:outlineLvl w:val="0"/>
        <w:rPr>
          <w:rFonts w:hint="eastAsia" w:ascii="黑体" w:hAnsi="黑体" w:eastAsia="黑体" w:cs="黑体"/>
          <w:color w:val="000000"/>
          <w:kern w:val="2"/>
          <w:sz w:val="28"/>
          <w:szCs w:val="28"/>
        </w:rPr>
      </w:pPr>
      <w:bookmarkStart w:id="290" w:name="_Toc75114621"/>
      <w:bookmarkStart w:id="291" w:name="_Toc73975158"/>
      <w:bookmarkStart w:id="292" w:name="_Toc6510"/>
      <w:r>
        <w:rPr>
          <w:rFonts w:hint="eastAsia" w:ascii="黑体" w:hAnsi="黑体" w:eastAsia="黑体" w:cs="黑体"/>
          <w:color w:val="000000"/>
          <w:kern w:val="2"/>
          <w:sz w:val="28"/>
          <w:szCs w:val="28"/>
        </w:rPr>
        <w:t xml:space="preserve">  </w:t>
      </w:r>
      <w:bookmarkStart w:id="293" w:name="_Toc18628"/>
      <w:r>
        <w:rPr>
          <w:rFonts w:hint="eastAsia" w:ascii="黑体" w:hAnsi="黑体" w:eastAsia="黑体" w:cs="黑体"/>
          <w:color w:val="000000"/>
          <w:kern w:val="2"/>
          <w:sz w:val="28"/>
          <w:szCs w:val="28"/>
        </w:rPr>
        <w:t>仲裁前的工作</w:t>
      </w:r>
      <w:bookmarkEnd w:id="290"/>
      <w:bookmarkEnd w:id="291"/>
      <w:bookmarkEnd w:id="292"/>
      <w:bookmarkEnd w:id="293"/>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jc w:val="center"/>
        <w:outlineLvl w:val="1"/>
        <w:rPr>
          <w:rFonts w:hint="eastAsia" w:ascii="楷体" w:hAnsi="楷体" w:eastAsia="楷体" w:cs="楷体"/>
          <w:b/>
          <w:bCs/>
          <w:color w:val="000000"/>
          <w:kern w:val="2"/>
          <w:sz w:val="28"/>
          <w:szCs w:val="28"/>
          <w:lang w:eastAsia="en-US"/>
        </w:rPr>
      </w:pPr>
      <w:bookmarkStart w:id="294" w:name="_Toc75114622"/>
      <w:r>
        <w:rPr>
          <w:rFonts w:hint="eastAsia" w:ascii="楷体" w:hAnsi="楷体" w:eastAsia="楷体" w:cs="楷体"/>
          <w:b/>
          <w:bCs/>
          <w:color w:val="000000"/>
          <w:kern w:val="2"/>
          <w:sz w:val="28"/>
          <w:szCs w:val="28"/>
          <w:lang w:eastAsia="en-US"/>
        </w:rPr>
        <w:t xml:space="preserve">第一节 </w:t>
      </w:r>
      <w:r>
        <w:rPr>
          <w:rFonts w:hint="eastAsia" w:ascii="楷体" w:hAnsi="楷体" w:eastAsia="楷体" w:cs="楷体"/>
          <w:b/>
          <w:bCs/>
          <w:color w:val="000000"/>
          <w:kern w:val="2"/>
          <w:sz w:val="28"/>
          <w:szCs w:val="28"/>
        </w:rPr>
        <w:t xml:space="preserve"> </w:t>
      </w:r>
      <w:r>
        <w:rPr>
          <w:rFonts w:hint="eastAsia" w:ascii="楷体" w:hAnsi="楷体" w:eastAsia="楷体" w:cs="楷体"/>
          <w:b/>
          <w:bCs/>
          <w:color w:val="000000"/>
          <w:kern w:val="2"/>
          <w:sz w:val="28"/>
          <w:szCs w:val="28"/>
          <w:lang w:eastAsia="en-US"/>
        </w:rPr>
        <w:t>调查取证</w:t>
      </w:r>
      <w:bookmarkEnd w:id="294"/>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 w:hAnsi="仿宋" w:eastAsia="仿宋" w:cs="仿宋"/>
          <w:color w:val="000000"/>
          <w:sz w:val="28"/>
          <w:szCs w:val="28"/>
        </w:rPr>
        <w:t xml:space="preserve">  </w:t>
      </w:r>
      <w:r>
        <w:rPr>
          <w:rFonts w:hint="eastAsia" w:ascii="仿宋_GB2312" w:hAnsi="仿宋" w:eastAsia="仿宋_GB2312" w:cs="仿宋"/>
          <w:color w:val="000000"/>
          <w:sz w:val="28"/>
          <w:szCs w:val="28"/>
        </w:rPr>
        <w:t>办理工伤纠纷案件，一般情况下通常需要对以下证据进行举证：</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lang w:bidi="ar"/>
        </w:rPr>
        <w:t>（一）劳动合同或聘（录）用协议；</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lang w:bidi="ar"/>
        </w:rPr>
        <w:t>（二）争议发生前十二个月经劳动者签收的工资单或银行进账凭证；</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lang w:bidi="ar"/>
        </w:rPr>
        <w:t>（三）解除或终止劳动合同通知书；</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lang w:bidi="ar"/>
        </w:rPr>
        <w:t>（四）辞职申请或辞职信；</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lang w:bidi="ar"/>
        </w:rPr>
        <w:t>（五）医院诊断证明；</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lang w:bidi="ar"/>
        </w:rPr>
        <w:t>（六）工伤认定书及劳动能力鉴定材料；</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lang w:bidi="ar"/>
        </w:rPr>
        <w:t>（七）员工手册或劳动纪律、规章制度以及相应的制定过程材料、单位公示及员工签收的证明；</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lang w:bidi="ar"/>
        </w:rPr>
        <w:t>（八）考勤记录资料；</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lang w:bidi="ar"/>
        </w:rPr>
        <w:t>（九）受伤害职工月平均工资资料；</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lang w:bidi="ar"/>
        </w:rPr>
        <w:t>（十）涉及仲裁时效或诉讼时效中止、中断等事实的资料；</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lang w:bidi="ar"/>
        </w:rPr>
        <w:t>（十一）出现多个用工主体时，反映不同用工主体间法律关系及相关背景的资料；</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lang w:bidi="ar"/>
        </w:rPr>
        <w:t>（十二）其他与案件相关的资料。</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根据《工伤保险条例》，职工或者其近亲属认为是工伤，用人单位不认为是工伤的，由用人单位承担举证责任。。</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律师在调查取证时不得伪造、变造证据，不得威胁、利诱或欺骗他人提供虚假证据，不得无理妨碍对方委托人合法取证，不得诱导或帮助委托人伪造、变造证据。</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律师调查取证时，须持律师事务所专用介绍信，并出示律师执业证。调查以两名以上律师共同进行为宜。如被调查人是未成年人的，必须有其监护人在场。</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律师在代理用人单位办理工伤纠纷案件时，对于将用人单位所属员工所陈述的对用人单位有利的证言作为主要证据使用的，应客观看待其效力，并提示用人单位注意该类证人证言有可能不被劳动人事争议仲裁委员会或法院采纳，且可能因此导致其主张得不到劳动人事争议仲裁委员会或法院支持的风险。</w:t>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jc w:val="center"/>
        <w:outlineLvl w:val="1"/>
        <w:rPr>
          <w:rFonts w:hint="eastAsia" w:ascii="楷体" w:hAnsi="楷体" w:eastAsia="楷体" w:cs="楷体"/>
          <w:b/>
          <w:bCs/>
          <w:color w:val="000000"/>
          <w:kern w:val="2"/>
          <w:sz w:val="28"/>
          <w:szCs w:val="28"/>
          <w:lang w:eastAsia="en-US"/>
        </w:rPr>
      </w:pPr>
      <w:bookmarkStart w:id="295" w:name="_Toc75114623"/>
      <w:r>
        <w:rPr>
          <w:rFonts w:hint="eastAsia" w:ascii="楷体" w:hAnsi="楷体" w:eastAsia="楷体" w:cs="楷体"/>
          <w:b/>
          <w:bCs/>
          <w:color w:val="000000"/>
          <w:kern w:val="2"/>
          <w:sz w:val="28"/>
          <w:szCs w:val="28"/>
          <w:lang w:eastAsia="en-US"/>
        </w:rPr>
        <w:t>第二节</w:t>
      </w:r>
      <w:r>
        <w:rPr>
          <w:rFonts w:hint="eastAsia" w:ascii="楷体" w:hAnsi="楷体" w:eastAsia="楷体" w:cs="楷体"/>
          <w:b/>
          <w:bCs/>
          <w:color w:val="000000"/>
          <w:kern w:val="2"/>
          <w:sz w:val="28"/>
          <w:szCs w:val="28"/>
        </w:rPr>
        <w:t xml:space="preserve">  </w:t>
      </w:r>
      <w:r>
        <w:rPr>
          <w:rFonts w:hint="eastAsia" w:ascii="楷体" w:hAnsi="楷体" w:eastAsia="楷体" w:cs="楷体"/>
          <w:b/>
          <w:bCs/>
          <w:color w:val="000000"/>
          <w:kern w:val="2"/>
          <w:sz w:val="28"/>
          <w:szCs w:val="28"/>
          <w:lang w:eastAsia="en-US"/>
        </w:rPr>
        <w:t>其他诉前工作</w:t>
      </w:r>
      <w:bookmarkEnd w:id="295"/>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 w:hAnsi="仿宋" w:eastAsia="仿宋" w:cs="仿宋"/>
          <w:color w:val="000000"/>
          <w:sz w:val="28"/>
          <w:szCs w:val="28"/>
        </w:rPr>
        <w:t xml:space="preserve">  </w:t>
      </w:r>
      <w:r>
        <w:rPr>
          <w:rFonts w:hint="eastAsia" w:ascii="仿宋_GB2312" w:hAnsi="仿宋" w:eastAsia="仿宋_GB2312" w:cs="仿宋"/>
          <w:color w:val="000000"/>
          <w:sz w:val="28"/>
          <w:szCs w:val="28"/>
        </w:rPr>
        <w:t>律师代理委托人提出仲裁申请前，可以应委托人的要求参与和解。</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律师代理案件时，应当告知委托人该案根据法律规定是否属于一裁终局案件。</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在工伤纠纷案件中，举证责任的分配往往对案件结果存在较大影响，用人单位建立的用工管理台账应当至少保存两年，职工名册、录用登记应当至少保存至劳动者离职后两年，实习、见习人员管理台账应当至少保存至实习、见习结束后两年。由于用工管理台账由用人单位掌握，如用人单位在仲裁或诉讼中无法对此进行举证，可能将承担举证不能的法律后果。</w:t>
      </w:r>
    </w:p>
    <w:p>
      <w:pPr>
        <w:keepNext w:val="0"/>
        <w:keepLines w:val="0"/>
        <w:pageBreakBefore w:val="0"/>
        <w:widowControl w:val="0"/>
        <w:pBdr>
          <w:between w:val="none" w:color="000000" w:sz="0" w:space="0"/>
        </w:pBdr>
        <w:shd w:val="clear" w:color="auto" w:fill="FFFFFF"/>
        <w:wordWrap/>
        <w:bidi w:val="0"/>
        <w:adjustRightInd/>
        <w:snapToGrid/>
        <w:spacing w:after="0" w:line="500" w:lineRule="exact"/>
        <w:contextualSpacing/>
        <w:jc w:val="both"/>
        <w:rPr>
          <w:rFonts w:hint="eastAsia" w:ascii="仿宋" w:hAnsi="仿宋" w:eastAsia="仿宋" w:cs="仿宋"/>
          <w:color w:val="000000"/>
          <w:sz w:val="28"/>
          <w:szCs w:val="28"/>
        </w:rPr>
      </w:pPr>
    </w:p>
    <w:p>
      <w:pPr>
        <w:keepNext w:val="0"/>
        <w:keepLines w:val="0"/>
        <w:pageBreakBefore w:val="0"/>
        <w:widowControl w:val="0"/>
        <w:numPr>
          <w:ilvl w:val="0"/>
          <w:numId w:val="171"/>
        </w:numPr>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0"/>
        <w:jc w:val="center"/>
        <w:outlineLvl w:val="0"/>
        <w:rPr>
          <w:rFonts w:hint="eastAsia" w:ascii="黑体" w:hAnsi="黑体" w:eastAsia="黑体" w:cs="黑体"/>
          <w:color w:val="000000"/>
          <w:kern w:val="2"/>
          <w:sz w:val="28"/>
          <w:szCs w:val="28"/>
        </w:rPr>
      </w:pPr>
      <w:bookmarkStart w:id="296" w:name="_Toc1812"/>
      <w:bookmarkStart w:id="297" w:name="_Toc75114624"/>
      <w:bookmarkStart w:id="298" w:name="_Toc73975159"/>
      <w:r>
        <w:rPr>
          <w:rFonts w:hint="eastAsia" w:ascii="黑体" w:hAnsi="黑体" w:eastAsia="黑体" w:cs="黑体"/>
          <w:color w:val="000000"/>
          <w:kern w:val="2"/>
          <w:sz w:val="28"/>
          <w:szCs w:val="28"/>
        </w:rPr>
        <w:t xml:space="preserve">  </w:t>
      </w:r>
      <w:bookmarkStart w:id="299" w:name="_Toc22134"/>
      <w:r>
        <w:rPr>
          <w:rFonts w:hint="eastAsia" w:ascii="黑体" w:hAnsi="黑体" w:eastAsia="黑体" w:cs="黑体"/>
          <w:color w:val="000000"/>
          <w:kern w:val="2"/>
          <w:sz w:val="28"/>
          <w:szCs w:val="28"/>
        </w:rPr>
        <w:t>仲裁阶段</w:t>
      </w:r>
      <w:bookmarkEnd w:id="296"/>
      <w:bookmarkEnd w:id="297"/>
      <w:bookmarkEnd w:id="298"/>
      <w:bookmarkEnd w:id="299"/>
    </w:p>
    <w:p>
      <w:pPr>
        <w:keepNext w:val="0"/>
        <w:keepLines w:val="0"/>
        <w:pageBreakBefore w:val="0"/>
        <w:widowControl w:val="0"/>
        <w:numPr>
          <w:ilvl w:val="1"/>
          <w:numId w:val="184"/>
        </w:numPr>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0"/>
        <w:jc w:val="center"/>
        <w:outlineLvl w:val="1"/>
        <w:rPr>
          <w:rFonts w:hint="eastAsia" w:ascii="楷体" w:hAnsi="楷体" w:eastAsia="楷体" w:cs="楷体"/>
          <w:b/>
          <w:bCs/>
          <w:color w:val="000000"/>
          <w:kern w:val="2"/>
          <w:sz w:val="28"/>
          <w:szCs w:val="28"/>
          <w:lang w:eastAsia="en-US"/>
        </w:rPr>
      </w:pPr>
      <w:bookmarkStart w:id="300" w:name="_Toc75114625"/>
      <w:r>
        <w:rPr>
          <w:rFonts w:hint="eastAsia" w:ascii="楷体" w:hAnsi="楷体" w:eastAsia="楷体" w:cs="楷体"/>
          <w:b/>
          <w:bCs/>
          <w:color w:val="000000"/>
          <w:kern w:val="2"/>
          <w:sz w:val="28"/>
          <w:szCs w:val="28"/>
          <w:lang w:eastAsia="en-US"/>
        </w:rPr>
        <w:t>立案</w:t>
      </w:r>
      <w:bookmarkEnd w:id="300"/>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 w:hAnsi="仿宋" w:eastAsia="仿宋" w:cs="仿宋"/>
          <w:color w:val="000000"/>
          <w:sz w:val="28"/>
          <w:szCs w:val="28"/>
        </w:rPr>
        <w:t xml:space="preserve">  </w:t>
      </w:r>
      <w:r>
        <w:rPr>
          <w:rFonts w:hint="eastAsia" w:ascii="仿宋_GB2312" w:hAnsi="仿宋" w:eastAsia="仿宋_GB2312" w:cs="仿宋"/>
          <w:color w:val="000000"/>
          <w:sz w:val="28"/>
          <w:szCs w:val="28"/>
        </w:rPr>
        <w:t>律师代理受伤职工或其近亲属一方，应当根据委托人提供的证据材料及调查取证阶段取得的材料，撰写劳动仲裁申请书及准备证据目录及证据材料，并按照参与人数提交相应份数的材料。</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工伤纠纷案件一般根据劳动争议案件确定管辖的原则确定劳动人事争议仲裁委员会。律师在不明确实际管辖的劳动人事争议仲裁委员会的，一般应提前致电相应劳动人事争议仲裁委员会的立案庭确定管辖范围。</w:t>
      </w:r>
    </w:p>
    <w:p>
      <w:pPr>
        <w:keepNext w:val="0"/>
        <w:keepLines w:val="0"/>
        <w:pageBreakBefore w:val="0"/>
        <w:widowControl w:val="0"/>
        <w:numPr>
          <w:ilvl w:val="1"/>
          <w:numId w:val="184"/>
        </w:numPr>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0"/>
        <w:jc w:val="center"/>
        <w:outlineLvl w:val="1"/>
        <w:rPr>
          <w:rFonts w:hint="eastAsia" w:ascii="楷体" w:hAnsi="楷体" w:eastAsia="楷体" w:cs="楷体"/>
          <w:b/>
          <w:bCs/>
          <w:color w:val="000000"/>
          <w:kern w:val="2"/>
          <w:sz w:val="28"/>
          <w:szCs w:val="28"/>
          <w:lang w:eastAsia="en-US"/>
        </w:rPr>
      </w:pPr>
      <w:bookmarkStart w:id="301" w:name="_Toc75114626"/>
      <w:r>
        <w:rPr>
          <w:rFonts w:hint="eastAsia" w:ascii="楷体" w:hAnsi="楷体" w:eastAsia="楷体" w:cs="楷体"/>
          <w:b/>
          <w:bCs/>
          <w:color w:val="000000"/>
          <w:kern w:val="2"/>
          <w:sz w:val="28"/>
          <w:szCs w:val="28"/>
          <w:lang w:eastAsia="en-US"/>
        </w:rPr>
        <w:t>举证及答辩</w:t>
      </w:r>
      <w:bookmarkEnd w:id="301"/>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 w:hAnsi="仿宋" w:eastAsia="仿宋" w:cs="仿宋"/>
          <w:color w:val="000000"/>
          <w:sz w:val="28"/>
          <w:szCs w:val="28"/>
        </w:rPr>
        <w:t xml:space="preserve">  </w:t>
      </w:r>
      <w:r>
        <w:rPr>
          <w:rFonts w:hint="eastAsia" w:ascii="仿宋_GB2312" w:hAnsi="仿宋" w:eastAsia="仿宋_GB2312" w:cs="仿宋"/>
          <w:color w:val="000000"/>
          <w:sz w:val="28"/>
          <w:szCs w:val="28"/>
        </w:rPr>
        <w:t>律师代理用人单位一方处理工伤纠纷案件的，应全面搜集与该案有关、对委托人有利的证据材料，并列好证据清单，注明证据要证明的内容，及时向劳动人事争议仲裁委员会提交。</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律师代理用人单位一方处理工伤纠纷案件的，应在劳动人事争议仲裁委员会规定的期限内提交证据，确有客观原因不能在规定期限内提交的，应当提前向劳动人事争议仲裁委员会说明并申请延期。</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律师代理用人单位一方处理工伤纠纷案件的，应当在收到劳动人事争议仲裁委员会发出的举证通知书的十五日内提交劳动仲裁答辩状，并根据申请人提交的证据准备书面质证意见。</w:t>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jc w:val="center"/>
        <w:outlineLvl w:val="1"/>
        <w:rPr>
          <w:rFonts w:hint="eastAsia" w:ascii="楷体" w:hAnsi="楷体" w:eastAsia="楷体" w:cs="楷体"/>
          <w:b/>
          <w:bCs/>
          <w:color w:val="000000"/>
          <w:kern w:val="2"/>
          <w:sz w:val="28"/>
          <w:szCs w:val="28"/>
          <w:lang w:eastAsia="en-US"/>
        </w:rPr>
      </w:pPr>
      <w:bookmarkStart w:id="302" w:name="_Toc75114627"/>
      <w:r>
        <w:rPr>
          <w:rFonts w:hint="eastAsia" w:ascii="楷体" w:hAnsi="楷体" w:eastAsia="楷体" w:cs="楷体"/>
          <w:b/>
          <w:bCs/>
          <w:color w:val="000000"/>
          <w:kern w:val="2"/>
          <w:sz w:val="28"/>
          <w:szCs w:val="28"/>
          <w:lang w:eastAsia="en-US"/>
        </w:rPr>
        <w:t>第</w:t>
      </w:r>
      <w:r>
        <w:rPr>
          <w:rFonts w:hint="eastAsia" w:ascii="楷体" w:hAnsi="楷体" w:eastAsia="楷体" w:cs="楷体"/>
          <w:b/>
          <w:bCs/>
          <w:color w:val="000000"/>
          <w:kern w:val="2"/>
          <w:sz w:val="28"/>
          <w:szCs w:val="28"/>
        </w:rPr>
        <w:t>三</w:t>
      </w:r>
      <w:r>
        <w:rPr>
          <w:rFonts w:hint="eastAsia" w:ascii="楷体" w:hAnsi="楷体" w:eastAsia="楷体" w:cs="楷体"/>
          <w:b/>
          <w:bCs/>
          <w:color w:val="000000"/>
          <w:kern w:val="2"/>
          <w:sz w:val="28"/>
          <w:szCs w:val="28"/>
          <w:lang w:eastAsia="en-US"/>
        </w:rPr>
        <w:t>节</w:t>
      </w:r>
      <w:r>
        <w:rPr>
          <w:rFonts w:hint="eastAsia" w:ascii="楷体" w:hAnsi="楷体" w:eastAsia="楷体" w:cs="楷体"/>
          <w:b/>
          <w:bCs/>
          <w:color w:val="000000"/>
          <w:kern w:val="2"/>
          <w:sz w:val="28"/>
          <w:szCs w:val="28"/>
        </w:rPr>
        <w:t xml:space="preserve">  </w:t>
      </w:r>
      <w:r>
        <w:rPr>
          <w:rFonts w:hint="eastAsia" w:ascii="楷体" w:hAnsi="楷体" w:eastAsia="楷体" w:cs="楷体"/>
          <w:b/>
          <w:bCs/>
          <w:color w:val="000000"/>
          <w:kern w:val="2"/>
          <w:sz w:val="28"/>
          <w:szCs w:val="28"/>
          <w:lang w:eastAsia="en-US"/>
        </w:rPr>
        <w:t>开庭</w:t>
      </w:r>
      <w:bookmarkEnd w:id="302"/>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 w:hAnsi="仿宋" w:eastAsia="仿宋" w:cs="仿宋"/>
          <w:color w:val="000000"/>
          <w:sz w:val="28"/>
          <w:szCs w:val="28"/>
        </w:rPr>
        <w:t xml:space="preserve">  </w:t>
      </w:r>
      <w:r>
        <w:rPr>
          <w:rFonts w:hint="eastAsia" w:ascii="仿宋_GB2312" w:hAnsi="仿宋" w:eastAsia="仿宋_GB2312" w:cs="仿宋"/>
          <w:color w:val="000000"/>
          <w:sz w:val="28"/>
          <w:szCs w:val="28"/>
        </w:rPr>
        <w:t>律师代理工伤纠纷案件，应在开庭前做好充分准备，起草答辩状，列出质证意见，研究庭审可能的辩论焦点，查找本案涉及的法律法规。</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律师在收到仲裁员名单后，发现仲裁员有法定回避情形的，应当代理委托人以书面方式提出回避申请：</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律师接到劳动人事争议仲裁委员会的开庭通知、举证通知等材料后，应当及时通知委托人并征询其是否出庭参加仲裁的意见，依时参加仲裁。案件开庭日期如与其他案件已经安排在先的开庭日期冲突的，律师应当向劳动人事争议仲裁委员会申请延期，如延期不成的，应与委托人协商更换代理人或解除合同。</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律师可以根据具体情况，建议委托人参加或不参加庭审，如委托人参加庭审的，律师应在开庭前提醒委托人携带身份证明手续并准时到庭。</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在劳动人事争议仲裁委员会开庭审理前，律师应与委托人充分交换意见，分析案情，核对证据，说明举证责任，明确请求事项，以便双方在庭审时相互配合。</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律师在开庭前应征求委托人是否调解的意见，如同意调解应商讨可以接受的调解方案。</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如需要申请证人出庭作证，律师应在开庭前根据举证通知书等将证人的姓名、身份、工作单位或住所、联系电话以及与本案的关系等情况形成书面申请告知劳动人事争议仲裁委员会，并联系好证人，明确要作证的内容，告知开庭时间和场所，提醒携带身份证件。</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律师在庭审质证时，应当结合证据是否超过举证期限及证据的真实性、合法性、关联性发表意见。律师应注意：即使认为对方所举证据超过举证期限，律师仍应对证据发表看法并声明不视为同意质证。</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律师在庭审时，如涉及案件对委托人有利的事实而庭审没有查明的，可以通过向对方发问或补充陈述的方式向仲裁庭进行阐明。</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律师对庭审笔录应当仔细核对，对记录错误或少记、漏记的，应立即提出补正并在旁边签名，同时在笔录后面签署日期和留下联系电话。</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律师收到劳动人事争议仲裁委员会的裁决文书后，应当及时当面或按约定的地址及方式向委托人送达。对于委托人享有起诉权的仲裁裁决，应征询委托人是否起诉并提醒起诉的期限，送达回证应妥善保管并在结案后归档。</w:t>
      </w:r>
    </w:p>
    <w:p>
      <w:pPr>
        <w:keepNext w:val="0"/>
        <w:keepLines w:val="0"/>
        <w:pageBreakBefore w:val="0"/>
        <w:widowControl w:val="0"/>
        <w:pBdr>
          <w:between w:val="none" w:color="000000" w:sz="0" w:space="0"/>
        </w:pBdr>
        <w:shd w:val="clear" w:color="auto" w:fill="FFFFFF"/>
        <w:wordWrap/>
        <w:bidi w:val="0"/>
        <w:adjustRightInd/>
        <w:snapToGrid/>
        <w:spacing w:after="0" w:line="500" w:lineRule="exact"/>
        <w:contextualSpacing/>
        <w:jc w:val="both"/>
        <w:rPr>
          <w:rFonts w:hint="eastAsia" w:ascii="仿宋" w:hAnsi="仿宋" w:eastAsia="仿宋" w:cs="仿宋"/>
          <w:color w:val="000000"/>
          <w:sz w:val="28"/>
          <w:szCs w:val="28"/>
        </w:rPr>
      </w:pPr>
    </w:p>
    <w:p>
      <w:pPr>
        <w:keepNext w:val="0"/>
        <w:keepLines w:val="0"/>
        <w:pageBreakBefore w:val="0"/>
        <w:widowControl w:val="0"/>
        <w:numPr>
          <w:ilvl w:val="0"/>
          <w:numId w:val="171"/>
        </w:numPr>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0"/>
        <w:jc w:val="center"/>
        <w:outlineLvl w:val="0"/>
        <w:rPr>
          <w:rFonts w:hint="eastAsia" w:ascii="黑体" w:hAnsi="黑体" w:eastAsia="黑体" w:cs="黑体"/>
          <w:color w:val="000000"/>
          <w:kern w:val="2"/>
          <w:sz w:val="28"/>
          <w:szCs w:val="28"/>
        </w:rPr>
      </w:pPr>
      <w:bookmarkStart w:id="303" w:name="_Toc75114628"/>
      <w:bookmarkStart w:id="304" w:name="_Toc73975160"/>
      <w:bookmarkStart w:id="305" w:name="_Toc28651"/>
      <w:r>
        <w:rPr>
          <w:rFonts w:hint="eastAsia" w:ascii="黑体" w:hAnsi="黑体" w:eastAsia="黑体" w:cs="黑体"/>
          <w:color w:val="000000"/>
          <w:kern w:val="2"/>
          <w:sz w:val="28"/>
          <w:szCs w:val="28"/>
        </w:rPr>
        <w:t xml:space="preserve">  </w:t>
      </w:r>
      <w:bookmarkStart w:id="306" w:name="_Toc31090"/>
      <w:r>
        <w:rPr>
          <w:rFonts w:hint="eastAsia" w:ascii="黑体" w:hAnsi="黑体" w:eastAsia="黑体" w:cs="黑体"/>
          <w:color w:val="000000"/>
          <w:kern w:val="2"/>
          <w:sz w:val="28"/>
          <w:szCs w:val="28"/>
        </w:rPr>
        <w:t>诉讼阶段</w:t>
      </w:r>
      <w:bookmarkEnd w:id="303"/>
      <w:bookmarkEnd w:id="304"/>
      <w:bookmarkEnd w:id="305"/>
      <w:bookmarkEnd w:id="306"/>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 w:hAnsi="仿宋" w:eastAsia="仿宋" w:cs="仿宋"/>
          <w:color w:val="000000"/>
          <w:sz w:val="28"/>
          <w:szCs w:val="28"/>
        </w:rPr>
        <w:t xml:space="preserve">  </w:t>
      </w:r>
      <w:r>
        <w:rPr>
          <w:rFonts w:hint="eastAsia" w:ascii="仿宋_GB2312" w:hAnsi="仿宋" w:eastAsia="仿宋_GB2312" w:cs="仿宋"/>
          <w:color w:val="000000"/>
          <w:sz w:val="28"/>
          <w:szCs w:val="28"/>
        </w:rPr>
        <w:t>如果委托人对仲裁裁决书不服，可以向有管辖权的法院提起诉讼。如果是一裁终局的案件，可以向当地中级人民法院申请撤销仲裁裁决。</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律师接到一审法院的开庭通知、举证通知等材料后，应当及时通知委托人并征询其是否出庭参加诉讼的意见，依时参加诉讼。</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律师办理劳动争议一审案件，应当重新编制证据清单，在规定的举证期限内提交证据。在仲裁阶段无正当理由未提交或拒不提交的证据，在一审阶段首次提交且不能说明正当理由的，法院可能不予采纳。</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律师应于一审判决后认真研究、分析原审判决，并公正、客观地向委托人做好解释或说明工作，仔细了解委托人上诉的目的等，同时要告知一审判决书签收的具体时间及上诉的最后期限，在将一审判决书转交委托人时应让委托人签收。</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若律师认为原审法院的事实认定清楚、法律适用正确且程序合法等，但委托人仍坚持提起二审诉讼的，律师应当慎重考虑是否接受委托人的委托承办二审诉讼业务。</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律师接受二审委托后应将上诉状交由委托人签章确认，告知其二审诉讼风险及证据规则等，并制作谈话笔录以附卷备查。</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律师办理完毕上诉手续后应当告知委托人受托事务的进展情况。</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律师接到二审法院的开庭通知后应当及时通知委托人并征询其是否出庭参加诉讼的意见，依时参加诉讼。</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律师于二审判决前应经常与委托人沟通并通报二审案件的进展情况。二审判决后，律师应将判决书及时送达给委托人并就判决书所确定的义务的履行方法等向委托人进行说明，同时注重与委托人的沟通、解释工作，努力做好委托人的服判工作，以维护法律的尊严等。</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若二审判决确有不妥之处，律师应当告知委托人依法申请再审或向人民检察院提出申诉，同时要告知二审判决书签收的具体时间及提起再审的最后期限，在将二审判决书转交委托人时应让委托人签收。在委托人签收后，律师应将签收回执附卷留存。</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本章未规定的其他事项，可参照仲裁阶段的相关规定。</w:t>
      </w:r>
    </w:p>
    <w:p>
      <w:pPr>
        <w:keepNext w:val="0"/>
        <w:keepLines w:val="0"/>
        <w:pageBreakBefore w:val="0"/>
        <w:widowControl w:val="0"/>
        <w:pBdr>
          <w:between w:val="none" w:color="000000" w:sz="0" w:space="0"/>
        </w:pBdr>
        <w:shd w:val="clear" w:color="auto" w:fill="FFFFFF"/>
        <w:wordWrap/>
        <w:bidi w:val="0"/>
        <w:adjustRightInd/>
        <w:snapToGrid/>
        <w:spacing w:after="0" w:line="500" w:lineRule="exact"/>
        <w:contextualSpacing/>
        <w:jc w:val="both"/>
        <w:rPr>
          <w:rFonts w:hint="eastAsia" w:ascii="仿宋" w:hAnsi="仿宋" w:eastAsia="仿宋" w:cs="仿宋"/>
          <w:color w:val="000000"/>
          <w:sz w:val="28"/>
          <w:szCs w:val="28"/>
        </w:rPr>
      </w:pPr>
    </w:p>
    <w:p>
      <w:pPr>
        <w:keepNext w:val="0"/>
        <w:keepLines w:val="0"/>
        <w:pageBreakBefore w:val="0"/>
        <w:widowControl w:val="0"/>
        <w:numPr>
          <w:ilvl w:val="0"/>
          <w:numId w:val="171"/>
        </w:numPr>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0"/>
        <w:jc w:val="center"/>
        <w:outlineLvl w:val="0"/>
        <w:rPr>
          <w:rFonts w:hint="eastAsia" w:ascii="黑体" w:hAnsi="黑体" w:eastAsia="黑体" w:cs="黑体"/>
          <w:color w:val="000000"/>
          <w:kern w:val="2"/>
          <w:sz w:val="28"/>
          <w:szCs w:val="28"/>
        </w:rPr>
      </w:pPr>
      <w:bookmarkStart w:id="307" w:name="_Toc75114629"/>
      <w:bookmarkStart w:id="308" w:name="_Toc2365"/>
      <w:bookmarkStart w:id="309" w:name="_Toc73975161"/>
      <w:r>
        <w:rPr>
          <w:rFonts w:hint="eastAsia" w:ascii="黑体" w:hAnsi="黑体" w:eastAsia="黑体" w:cs="黑体"/>
          <w:color w:val="000000"/>
          <w:kern w:val="2"/>
          <w:sz w:val="28"/>
          <w:szCs w:val="28"/>
        </w:rPr>
        <w:t xml:space="preserve">  </w:t>
      </w:r>
      <w:bookmarkStart w:id="310" w:name="_Toc5689"/>
      <w:r>
        <w:rPr>
          <w:rFonts w:hint="eastAsia" w:ascii="黑体" w:hAnsi="黑体" w:eastAsia="黑体" w:cs="黑体"/>
          <w:color w:val="000000"/>
          <w:kern w:val="2"/>
          <w:sz w:val="28"/>
          <w:szCs w:val="28"/>
        </w:rPr>
        <w:t>调解</w:t>
      </w:r>
      <w:bookmarkEnd w:id="307"/>
      <w:bookmarkEnd w:id="308"/>
      <w:bookmarkEnd w:id="309"/>
      <w:bookmarkEnd w:id="310"/>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 w:hAnsi="仿宋" w:eastAsia="仿宋" w:cs="仿宋"/>
          <w:color w:val="000000"/>
          <w:sz w:val="28"/>
          <w:szCs w:val="28"/>
        </w:rPr>
        <w:t xml:space="preserve">  </w:t>
      </w:r>
      <w:r>
        <w:rPr>
          <w:rFonts w:hint="eastAsia" w:ascii="仿宋_GB2312" w:hAnsi="仿宋" w:eastAsia="仿宋_GB2312" w:cs="仿宋"/>
          <w:color w:val="000000"/>
          <w:sz w:val="28"/>
          <w:szCs w:val="28"/>
        </w:rPr>
        <w:t>发生工伤争议，律师需了解参与各方的调解意向、用人单位的性质和经营状况，初步评估调解事项的合法性、合理性，并得出关于调解的基础与可行性的初步结论。</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了解案件基本情况后，如具备调解基础，律师可以于受托后建议委托人向下列调解组织申请调解：</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lang w:bidi="ar"/>
        </w:rPr>
        <w:t>（一）用人单位的劳动争议调解委员会；</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lang w:bidi="ar"/>
        </w:rPr>
        <w:t>（二）依法设立的基层人民调解组织；</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lang w:bidi="ar"/>
        </w:rPr>
        <w:t>（三）用人单位所在地或劳动合同履行地的乡镇、街道设立的具有劳动争议调解职能的组织。</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律师代理委托人参与调解的，应当要求委托人签署特别授权书，注明委托事项、受托权限等，对最终达成的调解方案，律师在代为签署前仍应要求委托人书面确认。</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律师接受委托后申请劳动争议调解的，应当以书面形式申请，并于调解申请书中说明申请人基本情况、申请调解的争议事项、理由和时间。</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律师代理受伤害职工一方的，应当告知工伤赔偿项目及赔偿依据，为委托人争取最大的合法权益；律师代理用人单位一方的，应当告知所制定的调解方案需符合相关法律法规的规定，不得侵害劳动者的合法权益。</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律师代为委托人拟定调解方案的，需从法、理、情三个层面充分论证，应就调解相关事宜充分与委托人沟通，并审核调解方案的计算依据及合法性。</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经调解达成协议的，调解组织应当制作调解协议书。调解协议书由双方委托人签名或者盖章，经调解员签名并加盖调解组织印章后生效，对双方委托人均具有约束力，委托人应当履行。</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签订调解协议需平等、自愿，并就调解协议的重要条款进行释明，否则调解协议会因存在重大误解或者显示公平情形，被人民法院撤销。</w:t>
      </w:r>
    </w:p>
    <w:p>
      <w:pPr>
        <w:keepNext w:val="0"/>
        <w:keepLines w:val="0"/>
        <w:pageBreakBefore w:val="0"/>
        <w:widowControl w:val="0"/>
        <w:pBdr>
          <w:between w:val="none" w:color="000000" w:sz="0" w:space="0"/>
        </w:pBdr>
        <w:shd w:val="clear" w:color="auto" w:fill="FFFFFF"/>
        <w:wordWrap/>
        <w:bidi w:val="0"/>
        <w:adjustRightInd/>
        <w:snapToGrid/>
        <w:spacing w:after="0" w:line="500" w:lineRule="exact"/>
        <w:contextualSpacing/>
        <w:jc w:val="both"/>
        <w:rPr>
          <w:rFonts w:hint="eastAsia" w:ascii="仿宋" w:hAnsi="仿宋" w:eastAsia="仿宋" w:cs="仿宋"/>
          <w:color w:val="000000"/>
          <w:sz w:val="28"/>
          <w:szCs w:val="28"/>
        </w:rPr>
      </w:pPr>
    </w:p>
    <w:p>
      <w:pPr>
        <w:keepNext w:val="0"/>
        <w:keepLines w:val="0"/>
        <w:pageBreakBefore w:val="0"/>
        <w:widowControl w:val="0"/>
        <w:numPr>
          <w:ilvl w:val="0"/>
          <w:numId w:val="171"/>
        </w:numPr>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0"/>
        <w:jc w:val="center"/>
        <w:outlineLvl w:val="0"/>
        <w:rPr>
          <w:rFonts w:hint="eastAsia" w:ascii="黑体" w:hAnsi="黑体" w:eastAsia="黑体" w:cs="黑体"/>
          <w:color w:val="000000"/>
          <w:kern w:val="2"/>
          <w:sz w:val="28"/>
          <w:szCs w:val="28"/>
        </w:rPr>
      </w:pPr>
      <w:bookmarkStart w:id="311" w:name="_Toc75114630"/>
      <w:bookmarkStart w:id="312" w:name="_Toc73975162"/>
      <w:bookmarkStart w:id="313" w:name="_Toc17973"/>
      <w:r>
        <w:rPr>
          <w:rFonts w:hint="eastAsia" w:ascii="黑体" w:hAnsi="黑体" w:eastAsia="黑体" w:cs="黑体"/>
          <w:color w:val="000000"/>
          <w:kern w:val="2"/>
          <w:sz w:val="28"/>
          <w:szCs w:val="28"/>
        </w:rPr>
        <w:t xml:space="preserve">  </w:t>
      </w:r>
      <w:bookmarkStart w:id="314" w:name="_Toc12514"/>
      <w:r>
        <w:rPr>
          <w:rFonts w:hint="eastAsia" w:ascii="黑体" w:hAnsi="黑体" w:eastAsia="黑体" w:cs="黑体"/>
          <w:color w:val="000000"/>
          <w:kern w:val="2"/>
          <w:sz w:val="28"/>
          <w:szCs w:val="28"/>
        </w:rPr>
        <w:t>执行阶段</w:t>
      </w:r>
      <w:bookmarkEnd w:id="311"/>
      <w:bookmarkEnd w:id="314"/>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 w:hAnsi="仿宋" w:eastAsia="仿宋" w:cs="仿宋"/>
          <w:color w:val="000000"/>
          <w:sz w:val="28"/>
          <w:szCs w:val="28"/>
        </w:rPr>
        <w:t xml:space="preserve">  </w:t>
      </w:r>
      <w:r>
        <w:rPr>
          <w:rFonts w:hint="eastAsia" w:ascii="仿宋_GB2312" w:hAnsi="仿宋" w:eastAsia="仿宋_GB2312" w:cs="仿宋"/>
          <w:color w:val="000000"/>
          <w:sz w:val="28"/>
          <w:szCs w:val="28"/>
        </w:rPr>
        <w:t>委托人委托律师申请执行仲裁裁决书或调解书的，律师应依《民事诉讼法》的有关规定配合法院工作。</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律师接受委托后，应当依照法律规定确定管辖法院。律师在完成撰写执行申请书，准备生效判决书复印件等材料等准备工作后，应当启动执行立案程序。</w:t>
      </w:r>
    </w:p>
    <w:p>
      <w:pPr>
        <w:keepNext w:val="0"/>
        <w:keepLines w:val="0"/>
        <w:pageBreakBefore w:val="0"/>
        <w:widowControl w:val="0"/>
        <w:pBdr>
          <w:between w:val="none" w:color="000000" w:sz="0" w:space="0"/>
        </w:pBdr>
        <w:shd w:val="clear" w:color="auto" w:fill="FFFFFF"/>
        <w:wordWrap/>
        <w:bidi w:val="0"/>
        <w:adjustRightInd/>
        <w:snapToGrid/>
        <w:spacing w:after="0" w:line="500" w:lineRule="exact"/>
        <w:contextualSpacing/>
        <w:jc w:val="both"/>
        <w:rPr>
          <w:rFonts w:hint="eastAsia" w:ascii="仿宋" w:hAnsi="仿宋" w:eastAsia="仿宋" w:cs="仿宋"/>
          <w:color w:val="000000"/>
          <w:sz w:val="28"/>
          <w:szCs w:val="28"/>
        </w:rPr>
      </w:pPr>
    </w:p>
    <w:p>
      <w:pPr>
        <w:keepNext w:val="0"/>
        <w:keepLines w:val="0"/>
        <w:pageBreakBefore w:val="0"/>
        <w:widowControl w:val="0"/>
        <w:numPr>
          <w:ilvl w:val="0"/>
          <w:numId w:val="171"/>
        </w:numPr>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0"/>
        <w:jc w:val="center"/>
        <w:outlineLvl w:val="0"/>
        <w:rPr>
          <w:rFonts w:hint="eastAsia" w:ascii="黑体" w:hAnsi="黑体" w:eastAsia="黑体" w:cs="黑体"/>
          <w:color w:val="000000"/>
          <w:kern w:val="2"/>
          <w:sz w:val="28"/>
          <w:szCs w:val="28"/>
        </w:rPr>
      </w:pPr>
      <w:bookmarkStart w:id="315" w:name="_Toc75114631"/>
      <w:r>
        <w:rPr>
          <w:rFonts w:hint="eastAsia" w:ascii="黑体" w:hAnsi="黑体" w:eastAsia="黑体" w:cs="黑体"/>
          <w:color w:val="000000"/>
          <w:kern w:val="2"/>
          <w:sz w:val="28"/>
          <w:szCs w:val="28"/>
        </w:rPr>
        <w:t xml:space="preserve">  </w:t>
      </w:r>
      <w:bookmarkStart w:id="316" w:name="_Toc18265"/>
      <w:r>
        <w:rPr>
          <w:rFonts w:hint="eastAsia" w:ascii="黑体" w:hAnsi="黑体" w:eastAsia="黑体" w:cs="黑体"/>
          <w:color w:val="000000"/>
          <w:kern w:val="2"/>
          <w:sz w:val="28"/>
          <w:szCs w:val="28"/>
        </w:rPr>
        <w:t>工伤法律援助案件的办理</w:t>
      </w:r>
      <w:bookmarkEnd w:id="315"/>
      <w:bookmarkEnd w:id="316"/>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 w:hAnsi="仿宋" w:eastAsia="仿宋" w:cs="仿宋"/>
          <w:color w:val="000000"/>
          <w:sz w:val="28"/>
          <w:szCs w:val="28"/>
        </w:rPr>
        <w:t xml:space="preserve">  </w:t>
      </w:r>
      <w:r>
        <w:rPr>
          <w:rFonts w:hint="eastAsia" w:ascii="仿宋_GB2312" w:hAnsi="仿宋" w:eastAsia="仿宋_GB2312" w:cs="仿宋"/>
          <w:color w:val="000000"/>
          <w:sz w:val="28"/>
          <w:szCs w:val="28"/>
        </w:rPr>
        <w:t>根据《中华人民共和国律师法》、《法律援助条例》、《律师和基层法律服务工作者开展法律援助工作暂行管理办法》、《工会法律援助办法》等有关规定，律师每年应当接受法律援助机构的指派，办理一定数量的法律援助案件，以履行法律援助义务，为受援人提供符合标准的法律援助，维护受援人的合法权益。</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律师办理劳动争议案件的法律援助业务时应当注意如下事项：</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（一）充分考虑工伤劳动争议案件于我国现阶段的特殊性、复杂性、紧迫性和重要性；</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（二）律师应及时、迅速、有效地为受援人提供法律服务；</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（三）律师应积极地与事务所、法律援助机构以及相关部门沟通、汇报案件处理的时展等情况；</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（四）律师应积极向劳动争议双方宣传法律、法规等，要求各方遵循法律途径维权；</w:t>
      </w:r>
    </w:p>
    <w:p>
      <w:pPr>
        <w:keepNext w:val="0"/>
        <w:keepLines w:val="0"/>
        <w:pageBreakBefore w:val="0"/>
        <w:widowControl w:val="0"/>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（五）律师在办案过程中应始终坚持并注重调解的原则。</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律师在日常处理工伤劳动争议法律业务中发现当事人符合法律援助条件时，可以将当事人的有关案件材料转交其所在地的法律援助机构进行审查，或者告知当事人可向当地法律援助机构申请法律援助。特别需要注意的是，根据《工会法律援助办法》第十条的规定，农民工因请求支付劳动报酬或者工伤赔偿申请法律援助的，不受该办法规定的经济困难条件的限制，可以向工会法律援助机构申请委托代理法律援助。</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律师在承办劳动争议之法律援助案件过程中发现受援人有《法律援助条例》第二十三条规定列举的情形时，应当及时向法律援助机构报告，由法律援助机构负责审查核实，决定是否终止该项法律援助。</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若律师在办案过程中发现受援人可能采取上访、游行、集体停工或罢工等行为的，应当予以归劝、阻止，并及时通报所在的律师事务所和法律援助机构；劝阻无效的，律师可以根据法律规定及双方签订委托代理合同的约定解除委托。</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若律师在办案过程中发现其所承办的工伤劳动争议在用人单位内部普遍存在且可能引发其他较大规模的纠纷或威胁社会稳定的，应当及时将此情形反馈到法律援助机构。</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律师应当于法律援助案件办结后及时办理归档手续。</w:t>
      </w:r>
    </w:p>
    <w:p>
      <w:pPr>
        <w:keepNext w:val="0"/>
        <w:keepLines w:val="0"/>
        <w:pageBreakBefore w:val="0"/>
        <w:widowControl w:val="0"/>
        <w:pBdr>
          <w:between w:val="none" w:color="000000" w:sz="0" w:space="0"/>
        </w:pBdr>
        <w:shd w:val="clear" w:color="auto" w:fill="FFFFFF"/>
        <w:wordWrap/>
        <w:bidi w:val="0"/>
        <w:adjustRightInd/>
        <w:snapToGrid/>
        <w:spacing w:after="0" w:line="500" w:lineRule="exact"/>
        <w:contextualSpacing/>
        <w:jc w:val="both"/>
        <w:rPr>
          <w:rFonts w:hint="eastAsia" w:ascii="仿宋" w:hAnsi="仿宋" w:eastAsia="仿宋" w:cs="仿宋"/>
          <w:color w:val="000000"/>
          <w:sz w:val="28"/>
          <w:szCs w:val="28"/>
        </w:rPr>
      </w:pPr>
    </w:p>
    <w:p>
      <w:pPr>
        <w:keepNext w:val="0"/>
        <w:keepLines w:val="0"/>
        <w:pageBreakBefore w:val="0"/>
        <w:widowControl w:val="0"/>
        <w:numPr>
          <w:ilvl w:val="0"/>
          <w:numId w:val="171"/>
        </w:numPr>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0"/>
        <w:jc w:val="center"/>
        <w:outlineLvl w:val="0"/>
        <w:rPr>
          <w:rFonts w:hint="eastAsia" w:ascii="黑体" w:hAnsi="黑体" w:eastAsia="黑体" w:cs="黑体"/>
          <w:color w:val="000000"/>
          <w:kern w:val="2"/>
          <w:sz w:val="28"/>
          <w:szCs w:val="28"/>
        </w:rPr>
      </w:pPr>
      <w:bookmarkStart w:id="317" w:name="_Toc75114632"/>
      <w:r>
        <w:rPr>
          <w:rFonts w:hint="eastAsia" w:ascii="黑体" w:hAnsi="黑体" w:eastAsia="黑体" w:cs="黑体"/>
          <w:color w:val="000000"/>
          <w:kern w:val="2"/>
          <w:sz w:val="28"/>
          <w:szCs w:val="28"/>
        </w:rPr>
        <w:t xml:space="preserve">  </w:t>
      </w:r>
      <w:bookmarkStart w:id="318" w:name="_Toc25680"/>
      <w:r>
        <w:rPr>
          <w:rFonts w:hint="eastAsia" w:ascii="黑体" w:hAnsi="黑体" w:eastAsia="黑体" w:cs="黑体"/>
          <w:color w:val="000000"/>
          <w:kern w:val="2"/>
          <w:sz w:val="28"/>
          <w:szCs w:val="28"/>
        </w:rPr>
        <w:t>案件归档</w:t>
      </w:r>
      <w:bookmarkEnd w:id="312"/>
      <w:bookmarkEnd w:id="313"/>
      <w:bookmarkEnd w:id="317"/>
      <w:bookmarkEnd w:id="318"/>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 w:hAnsi="仿宋" w:eastAsia="仿宋" w:cs="仿宋"/>
          <w:color w:val="000000"/>
          <w:sz w:val="28"/>
          <w:szCs w:val="28"/>
        </w:rPr>
        <w:t xml:space="preserve">  </w:t>
      </w:r>
      <w:r>
        <w:rPr>
          <w:rFonts w:hint="eastAsia" w:ascii="仿宋_GB2312" w:hAnsi="仿宋" w:eastAsia="仿宋_GB2312" w:cs="仿宋"/>
          <w:color w:val="000000"/>
          <w:sz w:val="28"/>
          <w:szCs w:val="28"/>
        </w:rPr>
        <w:t>律师在完成代理工作后，需对案件进行复盘，形成书面总结意见，并向客户发送意见书，及时进行客户回访。</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律师在案件完结后，需按《归档指引》完成案件归档工作。</w:t>
      </w:r>
    </w:p>
    <w:p>
      <w:pPr>
        <w:keepNext w:val="0"/>
        <w:keepLines w:val="0"/>
        <w:pageBreakBefore w:val="0"/>
        <w:widowControl w:val="0"/>
        <w:numPr>
          <w:ilvl w:val="0"/>
          <w:numId w:val="171"/>
        </w:numPr>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5" w:beforeLines="100" w:after="0" w:line="500" w:lineRule="exact"/>
        <w:ind w:firstLine="0"/>
        <w:jc w:val="center"/>
        <w:outlineLvl w:val="0"/>
        <w:rPr>
          <w:rFonts w:hint="eastAsia" w:ascii="黑体" w:hAnsi="黑体" w:eastAsia="黑体" w:cs="黑体"/>
          <w:color w:val="000000"/>
          <w:kern w:val="2"/>
          <w:sz w:val="28"/>
          <w:szCs w:val="28"/>
        </w:rPr>
      </w:pPr>
      <w:bookmarkStart w:id="319" w:name="_Toc75114633"/>
      <w:bookmarkStart w:id="320" w:name="_Toc73975163"/>
      <w:bookmarkStart w:id="321" w:name="_Toc10038"/>
      <w:r>
        <w:rPr>
          <w:rFonts w:hint="eastAsia" w:ascii="黑体" w:hAnsi="黑体" w:eastAsia="黑体" w:cs="黑体"/>
          <w:color w:val="000000"/>
          <w:kern w:val="2"/>
          <w:sz w:val="28"/>
          <w:szCs w:val="28"/>
        </w:rPr>
        <w:t xml:space="preserve">   </w:t>
      </w:r>
      <w:bookmarkStart w:id="322" w:name="_Toc28997"/>
      <w:r>
        <w:rPr>
          <w:rFonts w:hint="eastAsia" w:ascii="黑体" w:hAnsi="黑体" w:eastAsia="黑体" w:cs="黑体"/>
          <w:color w:val="000000"/>
          <w:kern w:val="2"/>
          <w:sz w:val="28"/>
          <w:szCs w:val="28"/>
        </w:rPr>
        <w:t>附则</w:t>
      </w:r>
      <w:bookmarkEnd w:id="319"/>
      <w:bookmarkEnd w:id="320"/>
      <w:bookmarkEnd w:id="321"/>
      <w:bookmarkEnd w:id="322"/>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 w:hAnsi="仿宋" w:eastAsia="仿宋" w:cs="仿宋"/>
          <w:color w:val="000000"/>
          <w:sz w:val="28"/>
          <w:szCs w:val="28"/>
        </w:rPr>
        <w:t xml:space="preserve">  </w:t>
      </w:r>
      <w:r>
        <w:rPr>
          <w:rFonts w:hint="eastAsia" w:ascii="仿宋_GB2312" w:hAnsi="仿宋" w:eastAsia="仿宋_GB2312" w:cs="仿宋"/>
          <w:color w:val="000000"/>
          <w:sz w:val="28"/>
          <w:szCs w:val="28"/>
        </w:rPr>
        <w:t>本指引由湖南省律师协会起草和解释，用于律师办理工伤劳动争议纠纷案件时参考适用。</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本指引实施后，与新的法律、法规、规章、司法解释有冲突的，以新的法律、法规、规章、司法解释的规定为准。</w:t>
      </w:r>
    </w:p>
    <w:p>
      <w:pPr>
        <w:keepNext w:val="0"/>
        <w:keepLines w:val="0"/>
        <w:pageBreakBefore w:val="0"/>
        <w:widowControl w:val="0"/>
        <w:numPr>
          <w:ilvl w:val="0"/>
          <w:numId w:val="172"/>
        </w:numPr>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本指引由湖南省律师协会负责解释。</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 w:hAnsi="仿宋" w:eastAsia="仿宋" w:cs="仿宋"/>
          <w:color w:val="000000"/>
          <w:sz w:val="28"/>
          <w:szCs w:val="28"/>
        </w:rPr>
      </w:pP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附：</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一、工伤认定赔付流程图</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二、工伤案件咨询登记表</w:t>
      </w:r>
      <w:r>
        <w:rPr>
          <w:rFonts w:hint="eastAsia" w:ascii="仿宋_GB2312" w:hAnsi="仿宋" w:eastAsia="仿宋_GB2312" w:cs="仿宋"/>
          <w:color w:val="000000"/>
          <w:sz w:val="28"/>
          <w:szCs w:val="28"/>
        </w:rPr>
        <w:tab/>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三、工伤待遇赔付清单</w:t>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四、风险告知书</w:t>
      </w:r>
      <w:r>
        <w:rPr>
          <w:rFonts w:hint="eastAsia" w:ascii="仿宋_GB2312" w:hAnsi="仿宋" w:eastAsia="仿宋_GB2312" w:cs="仿宋"/>
          <w:color w:val="000000"/>
          <w:sz w:val="28"/>
          <w:szCs w:val="28"/>
        </w:rPr>
        <w:tab/>
      </w:r>
    </w:p>
    <w:p>
      <w:pPr>
        <w:keepNext w:val="0"/>
        <w:keepLines w:val="0"/>
        <w:pageBreakBefore w:val="0"/>
        <w:widowControl w:val="0"/>
        <w:pBdr>
          <w:between w:val="none" w:color="000000" w:sz="0" w:space="0"/>
        </w:pBdr>
        <w:shd w:val="clear" w:color="auto" w:fill="FFFFFF"/>
        <w:wordWrap/>
        <w:bidi w:val="0"/>
        <w:adjustRightInd/>
        <w:snapToGrid/>
        <w:spacing w:after="0" w:line="500" w:lineRule="exact"/>
        <w:ind w:firstLine="522" w:firstLineChars="200"/>
        <w:contextualSpacing/>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五、和解协议</w:t>
      </w:r>
      <w:r>
        <w:rPr>
          <w:rFonts w:hint="eastAsia" w:ascii="仿宋_GB2312" w:hAnsi="仿宋" w:eastAsia="仿宋_GB2312" w:cs="仿宋"/>
          <w:color w:val="000000"/>
          <w:sz w:val="28"/>
          <w:szCs w:val="28"/>
        </w:rPr>
        <w:tab/>
      </w:r>
    </w:p>
    <w:p>
      <w:pPr>
        <w:keepNext w:val="0"/>
        <w:keepLines w:val="0"/>
        <w:pageBreakBefore w:val="0"/>
        <w:widowControl w:val="0"/>
        <w:pBdr>
          <w:between w:val="none" w:color="000000" w:sz="0" w:space="0"/>
        </w:pBdr>
        <w:shd w:val="clear" w:color="auto" w:fill="FFFFFF"/>
        <w:wordWrap/>
        <w:bidi w:val="0"/>
        <w:adjustRightInd/>
        <w:snapToGrid/>
        <w:spacing w:before="227" w:beforeLines="50" w:after="227" w:afterLines="50" w:line="500" w:lineRule="exact"/>
        <w:contextualSpacing/>
        <w:jc w:val="both"/>
        <w:rPr>
          <w:rFonts w:ascii="Calibri" w:hAnsi="Calibri" w:eastAsia="仿宋" w:cs="Calibri"/>
          <w:color w:val="000000"/>
          <w:sz w:val="28"/>
          <w:szCs w:val="28"/>
        </w:rPr>
      </w:pPr>
    </w:p>
    <w:p>
      <w:pPr>
        <w:keepNext w:val="0"/>
        <w:keepLines w:val="0"/>
        <w:pageBreakBefore w:val="0"/>
        <w:widowControl w:val="0"/>
        <w:pBdr>
          <w:between w:val="none" w:color="000000" w:sz="0" w:space="0"/>
        </w:pBdr>
        <w:shd w:val="clear" w:color="auto" w:fill="FFFFFF"/>
        <w:wordWrap/>
        <w:bidi w:val="0"/>
        <w:adjustRightInd/>
        <w:snapToGrid/>
        <w:spacing w:before="227" w:beforeLines="50" w:after="227" w:afterLines="50" w:line="500" w:lineRule="exact"/>
        <w:contextualSpacing/>
        <w:jc w:val="both"/>
        <w:rPr>
          <w:rFonts w:ascii="Calibri" w:hAnsi="Calibri" w:eastAsia="仿宋" w:cs="Calibri"/>
          <w:color w:val="000000"/>
          <w:sz w:val="28"/>
          <w:szCs w:val="28"/>
        </w:rPr>
      </w:pP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227" w:beforeLines="50" w:after="227" w:afterLines="50" w:line="500" w:lineRule="exact"/>
        <w:ind w:firstLine="522" w:firstLineChars="200"/>
        <w:jc w:val="both"/>
        <w:rPr>
          <w:rFonts w:hint="eastAsia" w:ascii="黑体" w:hAnsi="黑体" w:eastAsia="黑体" w:cs="仿宋"/>
          <w:b/>
          <w:bCs/>
          <w:color w:val="000000"/>
          <w:kern w:val="2"/>
          <w:sz w:val="28"/>
          <w:szCs w:val="28"/>
          <w:lang w:eastAsia="en-US"/>
        </w:rPr>
      </w:pPr>
      <w:r>
        <w:rPr>
          <w:rFonts w:hint="eastAsia" w:ascii="仿宋" w:hAnsi="仿宋" w:eastAsia="仿宋" w:cs="仿宋"/>
          <w:color w:val="000000"/>
          <w:sz w:val="28"/>
          <w:szCs w:val="28"/>
        </w:rPr>
        <w:br w:type="page"/>
      </w:r>
      <w:bookmarkStart w:id="323" w:name="_Toc75114634"/>
      <w:r>
        <w:rPr>
          <w:rFonts w:hint="eastAsia" w:ascii="黑体" w:hAnsi="黑体" w:eastAsia="黑体" w:cs="仿宋"/>
          <w:b/>
          <w:bCs/>
          <w:color w:val="000000"/>
          <w:kern w:val="2"/>
          <w:sz w:val="28"/>
          <w:szCs w:val="28"/>
        </w:rPr>
        <w:t>一、</w:t>
      </w:r>
      <w:r>
        <w:rPr>
          <w:rFonts w:hint="eastAsia" w:ascii="黑体" w:hAnsi="黑体" w:eastAsia="黑体" w:cs="仿宋"/>
          <w:b/>
          <w:bCs/>
          <w:color w:val="000000"/>
          <w:kern w:val="2"/>
          <w:sz w:val="28"/>
          <w:szCs w:val="28"/>
          <w:lang w:eastAsia="en-US"/>
        </w:rPr>
        <w:t>工伤认定赔付流程图</w:t>
      </w:r>
      <w:bookmarkEnd w:id="323"/>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227" w:beforeLines="50" w:after="227" w:afterLines="50" w:line="500" w:lineRule="exact"/>
        <w:ind w:firstLine="522" w:firstLineChars="200"/>
        <w:jc w:val="both"/>
        <w:rPr>
          <w:rFonts w:hint="eastAsia" w:ascii="黑体" w:hAnsi="黑体" w:eastAsia="黑体" w:cs="仿宋"/>
          <w:b/>
          <w:bCs/>
          <w:color w:val="000000"/>
          <w:kern w:val="2"/>
          <w:sz w:val="28"/>
          <w:szCs w:val="28"/>
          <w:lang w:eastAsia="en-US"/>
        </w:rPr>
      </w:pPr>
      <w:r>
        <w:rPr>
          <w:rFonts w:hint="eastAsia" w:ascii="Calibri" w:hAnsi="Calibri" w:eastAsia="仿宋" w:cs="Calibri"/>
          <w:color w:val="000000"/>
          <w:sz w:val="28"/>
          <w:szCs w:val="28"/>
        </w:rPr>
        <w:drawing>
          <wp:anchor distT="0" distB="0" distL="114300" distR="114300" simplePos="0" relativeHeight="251659264" behindDoc="1" locked="0" layoutInCell="1" allowOverlap="1">
            <wp:simplePos x="0" y="0"/>
            <wp:positionH relativeFrom="column">
              <wp:posOffset>-385445</wp:posOffset>
            </wp:positionH>
            <wp:positionV relativeFrom="paragraph">
              <wp:posOffset>48895</wp:posOffset>
            </wp:positionV>
            <wp:extent cx="5368290" cy="4072890"/>
            <wp:effectExtent l="0" t="0" r="3810" b="3810"/>
            <wp:wrapNone/>
            <wp:docPr id="90" name="图片 88" descr="工伤认定与赔付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88" descr="工伤认定与赔付流程"/>
                    <pic:cNvPicPr>
                      <a:picLocks noChangeAspect="1"/>
                    </pic:cNvPicPr>
                  </pic:nvPicPr>
                  <pic:blipFill>
                    <a:blip r:embed="rId17"/>
                    <a:stretch>
                      <a:fillRect/>
                    </a:stretch>
                  </pic:blipFill>
                  <pic:spPr>
                    <a:xfrm>
                      <a:off x="0" y="0"/>
                      <a:ext cx="5368290" cy="4072890"/>
                    </a:xfrm>
                    <a:prstGeom prst="rect">
                      <a:avLst/>
                    </a:prstGeom>
                    <a:noFill/>
                    <a:ln>
                      <a:noFill/>
                    </a:ln>
                  </pic:spPr>
                </pic:pic>
              </a:graphicData>
            </a:graphic>
          </wp:anchor>
        </w:drawing>
      </w:r>
      <w:r>
        <w:rPr>
          <w:rFonts w:hint="eastAsia" w:ascii="仿宋" w:hAnsi="仿宋" w:eastAsia="仿宋" w:cs="仿宋"/>
          <w:color w:val="000000"/>
          <w:sz w:val="28"/>
          <w:szCs w:val="28"/>
        </w:rPr>
        <w:br w:type="page"/>
      </w:r>
      <w:bookmarkStart w:id="324" w:name="_Toc75114635"/>
      <w:r>
        <w:rPr>
          <w:rFonts w:hint="eastAsia" w:ascii="黑体" w:hAnsi="黑体" w:eastAsia="黑体" w:cs="仿宋"/>
          <w:b/>
          <w:bCs/>
          <w:color w:val="000000"/>
          <w:kern w:val="2"/>
          <w:sz w:val="28"/>
          <w:szCs w:val="28"/>
        </w:rPr>
        <w:t>二、</w:t>
      </w:r>
      <w:r>
        <w:rPr>
          <w:rFonts w:hint="eastAsia" w:ascii="黑体" w:hAnsi="黑体" w:eastAsia="黑体" w:cs="仿宋"/>
          <w:b/>
          <w:bCs/>
          <w:color w:val="000000"/>
          <w:kern w:val="2"/>
          <w:sz w:val="28"/>
          <w:szCs w:val="28"/>
          <w:lang w:eastAsia="en-US"/>
        </w:rPr>
        <w:t>工伤案件咨询登记表</w:t>
      </w:r>
      <w:bookmarkEnd w:id="324"/>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jc w:val="center"/>
        <w:rPr>
          <w:rFonts w:hint="eastAsia" w:ascii="黑体" w:hAnsi="黑体" w:eastAsia="黑体" w:cs="黑体"/>
          <w:color w:val="000000"/>
          <w:sz w:val="28"/>
          <w:szCs w:val="28"/>
        </w:rPr>
      </w:pPr>
      <w:r>
        <w:rPr>
          <w:rFonts w:hint="eastAsia" w:ascii="黑体" w:hAnsi="黑体" w:eastAsia="黑体" w:cs="黑体"/>
          <w:color w:val="000000"/>
          <w:sz w:val="28"/>
          <w:szCs w:val="28"/>
        </w:rPr>
        <w:t>工伤案件咨询登记表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2"/>
        <w:gridCol w:w="270"/>
        <w:gridCol w:w="622"/>
        <w:gridCol w:w="962"/>
        <w:gridCol w:w="284"/>
        <w:gridCol w:w="1285"/>
        <w:gridCol w:w="215"/>
        <w:gridCol w:w="413"/>
        <w:gridCol w:w="857"/>
        <w:gridCol w:w="1036"/>
      </w:tblGrid>
      <w:tr>
        <w:tc>
          <w:tcPr>
            <w:tcW w:w="5000" w:type="pct"/>
            <w:gridSpan w:val="10"/>
            <w:noWrap w:val="0"/>
            <w:vAlign w:val="center"/>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jc w:val="center"/>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一、基本信息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pct"/>
            <w:noWrap w:val="0"/>
            <w:vAlign w:val="center"/>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jc w:val="center"/>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劳动者</w:t>
            </w:r>
          </w:p>
        </w:tc>
        <w:tc>
          <w:tcPr>
            <w:tcW w:w="1408" w:type="pct"/>
            <w:gridSpan w:val="4"/>
            <w:noWrap w:val="0"/>
            <w:vAlign w:val="center"/>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jc w:val="center"/>
              <w:rPr>
                <w:rFonts w:hint="eastAsia" w:ascii="仿宋_GB2312" w:hAnsi="仿宋" w:eastAsia="仿宋_GB2312" w:cs="仿宋"/>
                <w:color w:val="000000"/>
                <w:sz w:val="28"/>
                <w:szCs w:val="28"/>
              </w:rPr>
            </w:pPr>
          </w:p>
        </w:tc>
        <w:tc>
          <w:tcPr>
            <w:tcW w:w="989" w:type="pct"/>
            <w:gridSpan w:val="2"/>
            <w:noWrap w:val="0"/>
            <w:vAlign w:val="center"/>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jc w:val="center"/>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身份证号</w:t>
            </w:r>
          </w:p>
        </w:tc>
        <w:tc>
          <w:tcPr>
            <w:tcW w:w="1518" w:type="pct"/>
            <w:gridSpan w:val="3"/>
            <w:noWrap w:val="0"/>
            <w:vAlign w:val="center"/>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jc w:val="center"/>
              <w:rPr>
                <w:rFonts w:hint="eastAsia" w:ascii="仿宋_GB2312" w:hAnsi="仿宋" w:eastAsia="仿宋_GB2312" w:cs="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pct"/>
            <w:noWrap w:val="0"/>
            <w:vAlign w:val="center"/>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jc w:val="center"/>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常住地址</w:t>
            </w:r>
          </w:p>
        </w:tc>
        <w:tc>
          <w:tcPr>
            <w:tcW w:w="1408" w:type="pct"/>
            <w:gridSpan w:val="4"/>
            <w:noWrap w:val="0"/>
            <w:vAlign w:val="center"/>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jc w:val="center"/>
              <w:rPr>
                <w:rFonts w:hint="eastAsia" w:ascii="仿宋_GB2312" w:hAnsi="仿宋" w:eastAsia="仿宋_GB2312" w:cs="仿宋"/>
                <w:color w:val="000000"/>
                <w:sz w:val="28"/>
                <w:szCs w:val="28"/>
              </w:rPr>
            </w:pPr>
          </w:p>
        </w:tc>
        <w:tc>
          <w:tcPr>
            <w:tcW w:w="989" w:type="pct"/>
            <w:gridSpan w:val="2"/>
            <w:noWrap w:val="0"/>
            <w:vAlign w:val="center"/>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jc w:val="center"/>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联系电话</w:t>
            </w:r>
          </w:p>
        </w:tc>
        <w:tc>
          <w:tcPr>
            <w:tcW w:w="1518" w:type="pct"/>
            <w:gridSpan w:val="3"/>
            <w:noWrap w:val="0"/>
            <w:vAlign w:val="center"/>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jc w:val="center"/>
              <w:rPr>
                <w:rFonts w:hint="eastAsia" w:ascii="仿宋_GB2312" w:hAnsi="仿宋" w:eastAsia="仿宋_GB2312" w:cs="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pct"/>
            <w:noWrap w:val="0"/>
            <w:vAlign w:val="center"/>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jc w:val="center"/>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用人单位</w:t>
            </w:r>
          </w:p>
        </w:tc>
        <w:tc>
          <w:tcPr>
            <w:tcW w:w="1408" w:type="pct"/>
            <w:gridSpan w:val="4"/>
            <w:noWrap w:val="0"/>
            <w:vAlign w:val="center"/>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jc w:val="center"/>
              <w:rPr>
                <w:rFonts w:hint="eastAsia" w:ascii="仿宋_GB2312" w:hAnsi="仿宋" w:eastAsia="仿宋_GB2312" w:cs="仿宋"/>
                <w:color w:val="000000"/>
                <w:sz w:val="28"/>
                <w:szCs w:val="28"/>
              </w:rPr>
            </w:pPr>
          </w:p>
        </w:tc>
        <w:tc>
          <w:tcPr>
            <w:tcW w:w="989" w:type="pct"/>
            <w:gridSpan w:val="2"/>
            <w:noWrap w:val="0"/>
            <w:vAlign w:val="center"/>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jc w:val="center"/>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地址</w:t>
            </w:r>
          </w:p>
        </w:tc>
        <w:tc>
          <w:tcPr>
            <w:tcW w:w="1518" w:type="pct"/>
            <w:gridSpan w:val="3"/>
            <w:noWrap w:val="0"/>
            <w:vAlign w:val="center"/>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jc w:val="center"/>
              <w:rPr>
                <w:rFonts w:hint="eastAsia" w:ascii="仿宋_GB2312" w:hAnsi="仿宋" w:eastAsia="仿宋_GB2312" w:cs="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pct"/>
            <w:noWrap w:val="0"/>
            <w:vAlign w:val="center"/>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jc w:val="center"/>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负责人</w:t>
            </w:r>
          </w:p>
        </w:tc>
        <w:tc>
          <w:tcPr>
            <w:tcW w:w="1408" w:type="pct"/>
            <w:gridSpan w:val="4"/>
            <w:noWrap w:val="0"/>
            <w:vAlign w:val="center"/>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jc w:val="center"/>
              <w:rPr>
                <w:rFonts w:hint="eastAsia" w:ascii="仿宋_GB2312" w:hAnsi="仿宋" w:eastAsia="仿宋_GB2312" w:cs="仿宋"/>
                <w:color w:val="000000"/>
                <w:sz w:val="28"/>
                <w:szCs w:val="28"/>
              </w:rPr>
            </w:pPr>
          </w:p>
        </w:tc>
        <w:tc>
          <w:tcPr>
            <w:tcW w:w="989" w:type="pct"/>
            <w:gridSpan w:val="2"/>
            <w:noWrap w:val="0"/>
            <w:vAlign w:val="center"/>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jc w:val="center"/>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联系电话</w:t>
            </w:r>
          </w:p>
        </w:tc>
        <w:tc>
          <w:tcPr>
            <w:tcW w:w="1518" w:type="pct"/>
            <w:gridSpan w:val="3"/>
            <w:noWrap w:val="0"/>
            <w:vAlign w:val="center"/>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jc w:val="center"/>
              <w:rPr>
                <w:rFonts w:hint="eastAsia" w:ascii="仿宋_GB2312" w:hAnsi="仿宋" w:eastAsia="仿宋_GB2312" w:cs="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pct"/>
            <w:noWrap w:val="0"/>
            <w:vAlign w:val="center"/>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jc w:val="center"/>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入职时间</w:t>
            </w:r>
          </w:p>
        </w:tc>
        <w:tc>
          <w:tcPr>
            <w:tcW w:w="1408" w:type="pct"/>
            <w:gridSpan w:val="4"/>
            <w:noWrap w:val="0"/>
            <w:vAlign w:val="center"/>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jc w:val="center"/>
              <w:rPr>
                <w:rFonts w:hint="eastAsia" w:ascii="仿宋_GB2312" w:hAnsi="仿宋" w:eastAsia="仿宋_GB2312" w:cs="仿宋"/>
                <w:color w:val="000000"/>
                <w:sz w:val="28"/>
                <w:szCs w:val="28"/>
              </w:rPr>
            </w:pPr>
          </w:p>
        </w:tc>
        <w:tc>
          <w:tcPr>
            <w:tcW w:w="989" w:type="pct"/>
            <w:gridSpan w:val="2"/>
            <w:noWrap w:val="0"/>
            <w:vAlign w:val="center"/>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jc w:val="center"/>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工作岗位</w:t>
            </w:r>
          </w:p>
        </w:tc>
        <w:tc>
          <w:tcPr>
            <w:tcW w:w="1518" w:type="pct"/>
            <w:gridSpan w:val="3"/>
            <w:noWrap w:val="0"/>
            <w:vAlign w:val="center"/>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jc w:val="center"/>
              <w:rPr>
                <w:rFonts w:hint="eastAsia" w:ascii="仿宋_GB2312" w:hAnsi="仿宋" w:eastAsia="仿宋_GB2312" w:cs="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pct"/>
            <w:noWrap w:val="0"/>
            <w:vAlign w:val="center"/>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jc w:val="center"/>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月平均工资</w:t>
            </w:r>
          </w:p>
        </w:tc>
        <w:tc>
          <w:tcPr>
            <w:tcW w:w="1408" w:type="pct"/>
            <w:gridSpan w:val="4"/>
            <w:noWrap w:val="0"/>
            <w:vAlign w:val="center"/>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jc w:val="center"/>
              <w:rPr>
                <w:rFonts w:hint="eastAsia" w:ascii="仿宋_GB2312" w:hAnsi="仿宋" w:eastAsia="仿宋_GB2312" w:cs="仿宋"/>
                <w:color w:val="000000"/>
                <w:sz w:val="28"/>
                <w:szCs w:val="28"/>
              </w:rPr>
            </w:pPr>
          </w:p>
        </w:tc>
        <w:tc>
          <w:tcPr>
            <w:tcW w:w="1825" w:type="pct"/>
            <w:gridSpan w:val="4"/>
            <w:noWrap w:val="0"/>
            <w:vAlign w:val="center"/>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ind w:left="-57" w:leftChars="-30" w:right="-57" w:rightChars="-30"/>
              <w:jc w:val="center"/>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是否签订书面劳动合同</w:t>
            </w:r>
          </w:p>
        </w:tc>
        <w:tc>
          <w:tcPr>
            <w:tcW w:w="682" w:type="pct"/>
            <w:noWrap w:val="0"/>
            <w:vAlign w:val="center"/>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jc w:val="both"/>
              <w:rPr>
                <w:rFonts w:hint="eastAsia" w:ascii="仿宋_GB2312" w:hAnsi="仿宋" w:eastAsia="仿宋_GB2312" w:cs="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1" w:type="pct"/>
            <w:gridSpan w:val="5"/>
            <w:noWrap w:val="0"/>
            <w:vAlign w:val="center"/>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是否缴纳社保</w:t>
            </w:r>
          </w:p>
        </w:tc>
        <w:tc>
          <w:tcPr>
            <w:tcW w:w="2508" w:type="pct"/>
            <w:gridSpan w:val="5"/>
            <w:noWrap w:val="0"/>
            <w:vAlign w:val="center"/>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jc w:val="both"/>
              <w:rPr>
                <w:rFonts w:hint="eastAsia" w:ascii="仿宋_GB2312" w:hAnsi="仿宋" w:eastAsia="仿宋_GB2312" w:cs="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0"/>
            <w:noWrap w:val="0"/>
            <w:vAlign w:val="center"/>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jc w:val="center"/>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二、案件情况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7" w:hRule="atLeast"/>
        </w:trPr>
        <w:tc>
          <w:tcPr>
            <w:tcW w:w="5000" w:type="pct"/>
            <w:gridSpan w:val="10"/>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事故发生时间、地点、经过：</w:t>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rPr>
                <w:rFonts w:hint="eastAsia" w:ascii="仿宋_GB2312" w:hAnsi="仿宋" w:eastAsia="仿宋_GB2312" w:cs="仿宋"/>
                <w:color w:val="000000"/>
                <w:sz w:val="28"/>
                <w:szCs w:val="28"/>
              </w:rPr>
            </w:pP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rPr>
                <w:rFonts w:hint="eastAsia" w:ascii="仿宋_GB2312" w:hAnsi="仿宋" w:eastAsia="仿宋_GB2312" w:cs="仿宋"/>
                <w:color w:val="000000"/>
                <w:sz w:val="28"/>
                <w:szCs w:val="28"/>
              </w:rPr>
            </w:pP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rPr>
                <w:rFonts w:hint="eastAsia" w:ascii="仿宋_GB2312" w:hAnsi="仿宋" w:eastAsia="仿宋_GB2312" w:cs="仿宋"/>
                <w:color w:val="000000"/>
                <w:sz w:val="28"/>
                <w:szCs w:val="28"/>
              </w:rPr>
            </w:pP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rPr>
                <w:rFonts w:hint="eastAsia" w:ascii="仿宋_GB2312" w:hAnsi="仿宋" w:eastAsia="仿宋_GB2312" w:cs="仿宋"/>
                <w:color w:val="000000"/>
                <w:sz w:val="28"/>
                <w:szCs w:val="28"/>
              </w:rPr>
            </w:pP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rPr>
                <w:rFonts w:hint="eastAsia" w:ascii="仿宋_GB2312" w:hAnsi="仿宋" w:eastAsia="仿宋_GB2312" w:cs="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pct"/>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住院医院</w:t>
            </w:r>
          </w:p>
        </w:tc>
        <w:tc>
          <w:tcPr>
            <w:tcW w:w="1221" w:type="pct"/>
            <w:gridSpan w:val="3"/>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rPr>
                <w:rFonts w:hint="eastAsia" w:ascii="仿宋_GB2312" w:hAnsi="仿宋" w:eastAsia="仿宋_GB2312" w:cs="仿宋"/>
                <w:color w:val="000000"/>
                <w:sz w:val="28"/>
                <w:szCs w:val="28"/>
              </w:rPr>
            </w:pPr>
          </w:p>
        </w:tc>
        <w:tc>
          <w:tcPr>
            <w:tcW w:w="1448" w:type="pct"/>
            <w:gridSpan w:val="4"/>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住院天数</w:t>
            </w:r>
          </w:p>
        </w:tc>
        <w:tc>
          <w:tcPr>
            <w:tcW w:w="1247" w:type="pct"/>
            <w:gridSpan w:val="2"/>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rPr>
                <w:rFonts w:hint="eastAsia" w:ascii="仿宋_GB2312" w:hAnsi="仿宋" w:eastAsia="仿宋_GB2312" w:cs="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pct"/>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护理天数 </w:t>
            </w:r>
          </w:p>
        </w:tc>
        <w:tc>
          <w:tcPr>
            <w:tcW w:w="1221" w:type="pct"/>
            <w:gridSpan w:val="3"/>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rPr>
                <w:rFonts w:hint="eastAsia" w:ascii="仿宋_GB2312" w:hAnsi="仿宋" w:eastAsia="仿宋_GB2312" w:cs="仿宋"/>
                <w:color w:val="000000"/>
                <w:sz w:val="28"/>
                <w:szCs w:val="28"/>
              </w:rPr>
            </w:pPr>
          </w:p>
        </w:tc>
        <w:tc>
          <w:tcPr>
            <w:tcW w:w="1448" w:type="pct"/>
            <w:gridSpan w:val="4"/>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护理人工资</w:t>
            </w:r>
          </w:p>
        </w:tc>
        <w:tc>
          <w:tcPr>
            <w:tcW w:w="1247" w:type="pct"/>
            <w:gridSpan w:val="2"/>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rPr>
                <w:rFonts w:hint="eastAsia" w:ascii="仿宋_GB2312" w:hAnsi="仿宋" w:eastAsia="仿宋_GB2312" w:cs="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pct"/>
            <w:gridSpan w:val="4"/>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医疗费用金额及支付</w:t>
            </w:r>
          </w:p>
        </w:tc>
        <w:tc>
          <w:tcPr>
            <w:tcW w:w="1448" w:type="pct"/>
            <w:gridSpan w:val="4"/>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rPr>
                <w:rFonts w:hint="eastAsia" w:ascii="仿宋_GB2312" w:hAnsi="仿宋" w:eastAsia="仿宋_GB2312" w:cs="仿宋"/>
                <w:color w:val="000000"/>
                <w:sz w:val="28"/>
                <w:szCs w:val="28"/>
              </w:rPr>
            </w:pPr>
          </w:p>
        </w:tc>
        <w:tc>
          <w:tcPr>
            <w:tcW w:w="1247" w:type="pct"/>
            <w:gridSpan w:val="2"/>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rPr>
                <w:rFonts w:hint="eastAsia" w:ascii="仿宋_GB2312" w:hAnsi="仿宋" w:eastAsia="仿宋_GB2312" w:cs="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pct"/>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其他</w:t>
            </w:r>
          </w:p>
        </w:tc>
        <w:tc>
          <w:tcPr>
            <w:tcW w:w="1221" w:type="pct"/>
            <w:gridSpan w:val="3"/>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rPr>
                <w:rFonts w:hint="eastAsia" w:ascii="仿宋_GB2312" w:hAnsi="仿宋" w:eastAsia="仿宋_GB2312" w:cs="仿宋"/>
                <w:color w:val="000000"/>
                <w:sz w:val="28"/>
                <w:szCs w:val="28"/>
              </w:rPr>
            </w:pPr>
          </w:p>
        </w:tc>
        <w:tc>
          <w:tcPr>
            <w:tcW w:w="1448" w:type="pct"/>
            <w:gridSpan w:val="4"/>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rPr>
                <w:rFonts w:hint="eastAsia" w:ascii="仿宋_GB2312" w:hAnsi="仿宋" w:eastAsia="仿宋_GB2312" w:cs="仿宋"/>
                <w:color w:val="000000"/>
                <w:sz w:val="28"/>
                <w:szCs w:val="28"/>
              </w:rPr>
            </w:pPr>
          </w:p>
        </w:tc>
        <w:tc>
          <w:tcPr>
            <w:tcW w:w="1247" w:type="pct"/>
            <w:gridSpan w:val="2"/>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rPr>
                <w:rFonts w:hint="eastAsia" w:ascii="仿宋_GB2312" w:hAnsi="仿宋" w:eastAsia="仿宋_GB2312" w:cs="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0"/>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jc w:val="center"/>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三、工伤认定情况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1" w:type="pct"/>
            <w:gridSpan w:val="5"/>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是否已进行工伤认定</w:t>
            </w:r>
          </w:p>
        </w:tc>
        <w:tc>
          <w:tcPr>
            <w:tcW w:w="2508" w:type="pct"/>
            <w:gridSpan w:val="5"/>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rPr>
                <w:rFonts w:hint="eastAsia" w:ascii="仿宋_GB2312" w:hAnsi="仿宋" w:eastAsia="仿宋_GB2312" w:cs="仿宋"/>
                <w:b/>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1" w:type="pct"/>
            <w:gridSpan w:val="5"/>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rPr>
                <w:rFonts w:hint="eastAsia" w:ascii="仿宋_GB2312" w:hAnsi="仿宋" w:eastAsia="仿宋_GB2312" w:cs="仿宋"/>
                <w:b/>
                <w:color w:val="000000"/>
                <w:sz w:val="28"/>
                <w:szCs w:val="28"/>
              </w:rPr>
            </w:pPr>
            <w:r>
              <w:rPr>
                <w:rFonts w:hint="eastAsia" w:ascii="仿宋_GB2312" w:hAnsi="仿宋" w:eastAsia="仿宋_GB2312" w:cs="仿宋"/>
                <w:color w:val="000000"/>
                <w:sz w:val="28"/>
                <w:szCs w:val="28"/>
              </w:rPr>
              <w:t>工伤认定意见</w:t>
            </w:r>
          </w:p>
        </w:tc>
        <w:tc>
          <w:tcPr>
            <w:tcW w:w="2508" w:type="pct"/>
            <w:gridSpan w:val="5"/>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rPr>
                <w:rFonts w:hint="eastAsia" w:ascii="仿宋_GB2312" w:hAnsi="仿宋" w:eastAsia="仿宋_GB2312" w:cs="仿宋"/>
                <w:b/>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0"/>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jc w:val="center"/>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四、劳动能力等级鉴定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1" w:type="pct"/>
            <w:gridSpan w:val="5"/>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是否已进行劳动能力鉴定</w:t>
            </w:r>
          </w:p>
        </w:tc>
        <w:tc>
          <w:tcPr>
            <w:tcW w:w="2508" w:type="pct"/>
            <w:gridSpan w:val="5"/>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rPr>
                <w:rFonts w:hint="eastAsia" w:ascii="仿宋_GB2312" w:hAnsi="仿宋" w:eastAsia="仿宋_GB2312" w:cs="仿宋"/>
                <w:b/>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1" w:type="pct"/>
            <w:gridSpan w:val="5"/>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劳动能力伤残等级</w:t>
            </w:r>
          </w:p>
        </w:tc>
        <w:tc>
          <w:tcPr>
            <w:tcW w:w="2508" w:type="pct"/>
            <w:gridSpan w:val="5"/>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rPr>
                <w:rFonts w:hint="eastAsia" w:ascii="仿宋_GB2312" w:hAnsi="仿宋" w:eastAsia="仿宋_GB2312" w:cs="仿宋"/>
                <w:b/>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pct"/>
            <w:gridSpan w:val="2"/>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误工时间 </w:t>
            </w:r>
          </w:p>
        </w:tc>
        <w:tc>
          <w:tcPr>
            <w:tcW w:w="1231" w:type="pct"/>
            <w:gridSpan w:val="3"/>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rPr>
                <w:rFonts w:hint="eastAsia" w:ascii="仿宋_GB2312" w:hAnsi="仿宋" w:eastAsia="仿宋_GB2312" w:cs="仿宋"/>
                <w:color w:val="000000"/>
                <w:sz w:val="28"/>
                <w:szCs w:val="28"/>
              </w:rPr>
            </w:pPr>
          </w:p>
        </w:tc>
        <w:tc>
          <w:tcPr>
            <w:tcW w:w="1260" w:type="pct"/>
            <w:gridSpan w:val="3"/>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护理依赖</w:t>
            </w:r>
          </w:p>
        </w:tc>
        <w:tc>
          <w:tcPr>
            <w:tcW w:w="1247" w:type="pct"/>
            <w:gridSpan w:val="2"/>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rPr>
                <w:rFonts w:hint="eastAsia" w:ascii="仿宋_GB2312" w:hAnsi="仿宋" w:eastAsia="仿宋_GB2312" w:cs="仿宋"/>
                <w:b/>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1" w:type="pct"/>
            <w:gridSpan w:val="5"/>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是否缴纳鉴定费用</w:t>
            </w:r>
          </w:p>
        </w:tc>
        <w:tc>
          <w:tcPr>
            <w:tcW w:w="1260" w:type="pct"/>
            <w:gridSpan w:val="3"/>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rPr>
                <w:rFonts w:hint="eastAsia" w:ascii="仿宋_GB2312" w:hAnsi="仿宋" w:eastAsia="仿宋_GB2312" w:cs="仿宋"/>
                <w:color w:val="000000"/>
                <w:sz w:val="28"/>
                <w:szCs w:val="28"/>
              </w:rPr>
            </w:pPr>
          </w:p>
        </w:tc>
        <w:tc>
          <w:tcPr>
            <w:tcW w:w="1247" w:type="pct"/>
            <w:gridSpan w:val="2"/>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rPr>
                <w:rFonts w:hint="eastAsia" w:ascii="仿宋_GB2312" w:hAnsi="仿宋" w:eastAsia="仿宋_GB2312" w:cs="仿宋"/>
                <w:b/>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0"/>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jc w:val="center"/>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五、案件证据材料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0"/>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jc w:val="center"/>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已有证据材料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0" w:type="pct"/>
            <w:gridSpan w:val="3"/>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jc w:val="center"/>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序号</w:t>
            </w:r>
          </w:p>
        </w:tc>
        <w:tc>
          <w:tcPr>
            <w:tcW w:w="1668" w:type="pct"/>
            <w:gridSpan w:val="3"/>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jc w:val="center"/>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材料名称</w:t>
            </w:r>
          </w:p>
        </w:tc>
        <w:tc>
          <w:tcPr>
            <w:tcW w:w="1660" w:type="pct"/>
            <w:gridSpan w:val="4"/>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jc w:val="center"/>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证明事实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0" w:type="pct"/>
            <w:gridSpan w:val="3"/>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jc w:val="center"/>
              <w:rPr>
                <w:rFonts w:hint="eastAsia" w:ascii="仿宋_GB2312" w:hAnsi="仿宋" w:eastAsia="仿宋_GB2312" w:cs="仿宋"/>
                <w:color w:val="000000"/>
                <w:sz w:val="28"/>
                <w:szCs w:val="28"/>
              </w:rPr>
            </w:pPr>
          </w:p>
        </w:tc>
        <w:tc>
          <w:tcPr>
            <w:tcW w:w="1668" w:type="pct"/>
            <w:gridSpan w:val="3"/>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jc w:val="center"/>
              <w:rPr>
                <w:rFonts w:hint="eastAsia" w:ascii="仿宋_GB2312" w:hAnsi="仿宋" w:eastAsia="仿宋_GB2312" w:cs="仿宋"/>
                <w:color w:val="000000"/>
                <w:sz w:val="28"/>
                <w:szCs w:val="28"/>
              </w:rPr>
            </w:pPr>
          </w:p>
        </w:tc>
        <w:tc>
          <w:tcPr>
            <w:tcW w:w="1660" w:type="pct"/>
            <w:gridSpan w:val="4"/>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jc w:val="center"/>
              <w:rPr>
                <w:rFonts w:hint="eastAsia" w:ascii="仿宋_GB2312" w:hAnsi="仿宋" w:eastAsia="仿宋_GB2312" w:cs="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0" w:type="pct"/>
            <w:gridSpan w:val="3"/>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jc w:val="center"/>
              <w:rPr>
                <w:rFonts w:hint="eastAsia" w:ascii="仿宋_GB2312" w:hAnsi="仿宋" w:eastAsia="仿宋_GB2312" w:cs="仿宋"/>
                <w:color w:val="000000"/>
                <w:sz w:val="28"/>
                <w:szCs w:val="28"/>
              </w:rPr>
            </w:pPr>
          </w:p>
        </w:tc>
        <w:tc>
          <w:tcPr>
            <w:tcW w:w="1668" w:type="pct"/>
            <w:gridSpan w:val="3"/>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jc w:val="center"/>
              <w:rPr>
                <w:rFonts w:hint="eastAsia" w:ascii="仿宋_GB2312" w:hAnsi="仿宋" w:eastAsia="仿宋_GB2312" w:cs="仿宋"/>
                <w:color w:val="000000"/>
                <w:sz w:val="28"/>
                <w:szCs w:val="28"/>
              </w:rPr>
            </w:pPr>
          </w:p>
        </w:tc>
        <w:tc>
          <w:tcPr>
            <w:tcW w:w="1660" w:type="pct"/>
            <w:gridSpan w:val="4"/>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jc w:val="center"/>
              <w:rPr>
                <w:rFonts w:hint="eastAsia" w:ascii="仿宋_GB2312" w:hAnsi="仿宋" w:eastAsia="仿宋_GB2312" w:cs="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0" w:type="pct"/>
            <w:gridSpan w:val="3"/>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jc w:val="center"/>
              <w:rPr>
                <w:rFonts w:hint="eastAsia" w:ascii="仿宋_GB2312" w:hAnsi="仿宋" w:eastAsia="仿宋_GB2312" w:cs="仿宋"/>
                <w:color w:val="000000"/>
                <w:sz w:val="28"/>
                <w:szCs w:val="28"/>
              </w:rPr>
            </w:pPr>
          </w:p>
        </w:tc>
        <w:tc>
          <w:tcPr>
            <w:tcW w:w="1668" w:type="pct"/>
            <w:gridSpan w:val="3"/>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jc w:val="center"/>
              <w:rPr>
                <w:rFonts w:hint="eastAsia" w:ascii="仿宋_GB2312" w:hAnsi="仿宋" w:eastAsia="仿宋_GB2312" w:cs="仿宋"/>
                <w:color w:val="000000"/>
                <w:sz w:val="28"/>
                <w:szCs w:val="28"/>
              </w:rPr>
            </w:pPr>
          </w:p>
        </w:tc>
        <w:tc>
          <w:tcPr>
            <w:tcW w:w="1660" w:type="pct"/>
            <w:gridSpan w:val="4"/>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jc w:val="center"/>
              <w:rPr>
                <w:rFonts w:hint="eastAsia" w:ascii="仿宋_GB2312" w:hAnsi="仿宋" w:eastAsia="仿宋_GB2312" w:cs="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0" w:type="pct"/>
            <w:gridSpan w:val="3"/>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jc w:val="center"/>
              <w:rPr>
                <w:rFonts w:hint="eastAsia" w:ascii="仿宋_GB2312" w:hAnsi="仿宋" w:eastAsia="仿宋_GB2312" w:cs="仿宋"/>
                <w:color w:val="000000"/>
                <w:sz w:val="28"/>
                <w:szCs w:val="28"/>
              </w:rPr>
            </w:pPr>
          </w:p>
        </w:tc>
        <w:tc>
          <w:tcPr>
            <w:tcW w:w="1668" w:type="pct"/>
            <w:gridSpan w:val="3"/>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jc w:val="center"/>
              <w:rPr>
                <w:rFonts w:hint="eastAsia" w:ascii="仿宋_GB2312" w:hAnsi="仿宋" w:eastAsia="仿宋_GB2312" w:cs="仿宋"/>
                <w:color w:val="000000"/>
                <w:sz w:val="28"/>
                <w:szCs w:val="28"/>
              </w:rPr>
            </w:pPr>
          </w:p>
        </w:tc>
        <w:tc>
          <w:tcPr>
            <w:tcW w:w="1660" w:type="pct"/>
            <w:gridSpan w:val="4"/>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jc w:val="center"/>
              <w:rPr>
                <w:rFonts w:hint="eastAsia" w:ascii="仿宋_GB2312" w:hAnsi="仿宋" w:eastAsia="仿宋_GB2312" w:cs="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0"/>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45" w:beforeLines="10" w:after="45" w:afterLines="10" w:line="500" w:lineRule="exact"/>
              <w:jc w:val="center"/>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需补充证据材料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0" w:type="pct"/>
            <w:gridSpan w:val="3"/>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jc w:val="center"/>
              <w:rPr>
                <w:rFonts w:hint="eastAsia" w:ascii="仿宋_GB2312" w:hAnsi="仿宋" w:eastAsia="仿宋_GB2312" w:cs="仿宋"/>
                <w:color w:val="000000"/>
                <w:sz w:val="28"/>
                <w:szCs w:val="28"/>
              </w:rPr>
            </w:pPr>
          </w:p>
        </w:tc>
        <w:tc>
          <w:tcPr>
            <w:tcW w:w="1668" w:type="pct"/>
            <w:gridSpan w:val="3"/>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jc w:val="center"/>
              <w:rPr>
                <w:rFonts w:hint="eastAsia" w:ascii="仿宋_GB2312" w:hAnsi="仿宋" w:eastAsia="仿宋_GB2312" w:cs="仿宋"/>
                <w:color w:val="000000"/>
                <w:sz w:val="28"/>
                <w:szCs w:val="28"/>
              </w:rPr>
            </w:pPr>
          </w:p>
        </w:tc>
        <w:tc>
          <w:tcPr>
            <w:tcW w:w="1660" w:type="pct"/>
            <w:gridSpan w:val="4"/>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jc w:val="center"/>
              <w:rPr>
                <w:rFonts w:hint="eastAsia" w:ascii="仿宋_GB2312" w:hAnsi="仿宋" w:eastAsia="仿宋_GB2312" w:cs="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0" w:type="pct"/>
            <w:gridSpan w:val="3"/>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jc w:val="center"/>
              <w:rPr>
                <w:rFonts w:hint="eastAsia" w:ascii="仿宋_GB2312" w:hAnsi="仿宋" w:eastAsia="仿宋_GB2312" w:cs="仿宋"/>
                <w:color w:val="000000"/>
                <w:sz w:val="28"/>
                <w:szCs w:val="28"/>
              </w:rPr>
            </w:pPr>
          </w:p>
        </w:tc>
        <w:tc>
          <w:tcPr>
            <w:tcW w:w="1668" w:type="pct"/>
            <w:gridSpan w:val="3"/>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jc w:val="center"/>
              <w:rPr>
                <w:rFonts w:hint="eastAsia" w:ascii="仿宋_GB2312" w:hAnsi="仿宋" w:eastAsia="仿宋_GB2312" w:cs="仿宋"/>
                <w:color w:val="000000"/>
                <w:sz w:val="28"/>
                <w:szCs w:val="28"/>
              </w:rPr>
            </w:pPr>
          </w:p>
        </w:tc>
        <w:tc>
          <w:tcPr>
            <w:tcW w:w="1660" w:type="pct"/>
            <w:gridSpan w:val="4"/>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jc w:val="center"/>
              <w:rPr>
                <w:rFonts w:hint="eastAsia" w:ascii="仿宋_GB2312" w:hAnsi="仿宋" w:eastAsia="仿宋_GB2312" w:cs="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0" w:type="pct"/>
            <w:gridSpan w:val="3"/>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jc w:val="center"/>
              <w:rPr>
                <w:rFonts w:hint="eastAsia" w:ascii="仿宋_GB2312" w:hAnsi="仿宋" w:eastAsia="仿宋_GB2312" w:cs="仿宋"/>
                <w:color w:val="000000"/>
                <w:sz w:val="28"/>
                <w:szCs w:val="28"/>
              </w:rPr>
            </w:pPr>
          </w:p>
        </w:tc>
        <w:tc>
          <w:tcPr>
            <w:tcW w:w="1668" w:type="pct"/>
            <w:gridSpan w:val="3"/>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jc w:val="center"/>
              <w:rPr>
                <w:rFonts w:hint="eastAsia" w:ascii="仿宋_GB2312" w:hAnsi="仿宋" w:eastAsia="仿宋_GB2312" w:cs="仿宋"/>
                <w:color w:val="000000"/>
                <w:sz w:val="28"/>
                <w:szCs w:val="28"/>
              </w:rPr>
            </w:pPr>
          </w:p>
        </w:tc>
        <w:tc>
          <w:tcPr>
            <w:tcW w:w="1660" w:type="pct"/>
            <w:gridSpan w:val="4"/>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jc w:val="center"/>
              <w:rPr>
                <w:rFonts w:hint="eastAsia" w:ascii="仿宋_GB2312" w:hAnsi="仿宋" w:eastAsia="仿宋_GB2312" w:cs="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0" w:type="pct"/>
            <w:gridSpan w:val="3"/>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jc w:val="center"/>
              <w:rPr>
                <w:rFonts w:hint="eastAsia" w:ascii="仿宋_GB2312" w:hAnsi="仿宋" w:eastAsia="仿宋_GB2312" w:cs="仿宋"/>
                <w:color w:val="000000"/>
                <w:sz w:val="28"/>
                <w:szCs w:val="28"/>
              </w:rPr>
            </w:pPr>
          </w:p>
        </w:tc>
        <w:tc>
          <w:tcPr>
            <w:tcW w:w="1668" w:type="pct"/>
            <w:gridSpan w:val="3"/>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jc w:val="center"/>
              <w:rPr>
                <w:rFonts w:hint="eastAsia" w:ascii="仿宋_GB2312" w:hAnsi="仿宋" w:eastAsia="仿宋_GB2312" w:cs="仿宋"/>
                <w:color w:val="000000"/>
                <w:sz w:val="28"/>
                <w:szCs w:val="28"/>
              </w:rPr>
            </w:pPr>
          </w:p>
        </w:tc>
        <w:tc>
          <w:tcPr>
            <w:tcW w:w="1660" w:type="pct"/>
            <w:gridSpan w:val="4"/>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jc w:val="center"/>
              <w:rPr>
                <w:rFonts w:hint="eastAsia" w:ascii="仿宋_GB2312" w:hAnsi="仿宋" w:eastAsia="仿宋_GB2312" w:cs="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0" w:type="pct"/>
            <w:gridSpan w:val="3"/>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jc w:val="center"/>
              <w:rPr>
                <w:rFonts w:hint="eastAsia" w:ascii="仿宋_GB2312" w:hAnsi="仿宋" w:eastAsia="仿宋_GB2312" w:cs="仿宋"/>
                <w:color w:val="000000"/>
                <w:sz w:val="28"/>
                <w:szCs w:val="28"/>
              </w:rPr>
            </w:pPr>
          </w:p>
        </w:tc>
        <w:tc>
          <w:tcPr>
            <w:tcW w:w="1668" w:type="pct"/>
            <w:gridSpan w:val="3"/>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jc w:val="center"/>
              <w:rPr>
                <w:rFonts w:hint="eastAsia" w:ascii="仿宋_GB2312" w:hAnsi="仿宋" w:eastAsia="仿宋_GB2312" w:cs="仿宋"/>
                <w:color w:val="000000"/>
                <w:sz w:val="28"/>
                <w:szCs w:val="28"/>
              </w:rPr>
            </w:pPr>
          </w:p>
        </w:tc>
        <w:tc>
          <w:tcPr>
            <w:tcW w:w="1660" w:type="pct"/>
            <w:gridSpan w:val="4"/>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jc w:val="center"/>
              <w:rPr>
                <w:rFonts w:hint="eastAsia" w:ascii="仿宋_GB2312" w:hAnsi="仿宋" w:eastAsia="仿宋_GB2312" w:cs="仿宋"/>
                <w:color w:val="000000"/>
                <w:sz w:val="28"/>
                <w:szCs w:val="28"/>
              </w:rPr>
            </w:pPr>
          </w:p>
        </w:tc>
      </w:tr>
    </w:tbl>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522" w:firstLineChars="200"/>
        <w:jc w:val="both"/>
        <w:rPr>
          <w:rFonts w:hint="eastAsia" w:ascii="黑体" w:hAnsi="黑体" w:eastAsia="黑体" w:cs="仿宋"/>
          <w:bCs/>
          <w:color w:val="000000"/>
          <w:kern w:val="2"/>
          <w:sz w:val="28"/>
          <w:szCs w:val="28"/>
        </w:rPr>
      </w:pPr>
      <w:r>
        <w:rPr>
          <w:rFonts w:hint="eastAsia" w:ascii="仿宋" w:hAnsi="仿宋" w:eastAsia="仿宋" w:cs="仿宋"/>
          <w:color w:val="000000"/>
          <w:sz w:val="28"/>
          <w:szCs w:val="28"/>
        </w:rPr>
        <w:br w:type="page"/>
      </w:r>
      <w:bookmarkStart w:id="325" w:name="_Toc75114636"/>
      <w:r>
        <w:rPr>
          <w:rFonts w:hint="eastAsia" w:ascii="黑体" w:hAnsi="黑体" w:eastAsia="黑体" w:cs="仿宋"/>
          <w:bCs/>
          <w:color w:val="000000"/>
          <w:kern w:val="2"/>
          <w:sz w:val="28"/>
          <w:szCs w:val="28"/>
        </w:rPr>
        <w:t>三、工伤待遇赔付清单</w:t>
      </w:r>
      <w:bookmarkEnd w:id="325"/>
    </w:p>
    <w:tbl>
      <w:tblPr>
        <w:tblStyle w:val="16"/>
        <w:tblW w:w="0" w:type="auto"/>
        <w:tblInd w:w="-2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
        <w:gridCol w:w="4458"/>
        <w:gridCol w:w="1208"/>
        <w:gridCol w:w="1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75" w:type="dxa"/>
            <w:noWrap w:val="0"/>
            <w:vAlign w:val="top"/>
          </w:tcPr>
          <w:p>
            <w:pPr>
              <w:keepNext w:val="0"/>
              <w:keepLines w:val="0"/>
              <w:pageBreakBefore w:val="0"/>
              <w:widowControl w:val="0"/>
              <w:kinsoku/>
              <w:wordWrap/>
              <w:overflowPunct/>
              <w:topLinePunct w:val="0"/>
              <w:autoSpaceDE/>
              <w:autoSpaceDN/>
              <w:bidi w:val="0"/>
              <w:adjustRightInd/>
              <w:snapToGrid/>
              <w:spacing w:before="45" w:beforeLines="10" w:after="45" w:afterLines="10" w:line="420" w:lineRule="exact"/>
              <w:jc w:val="center"/>
              <w:textAlignment w:val="auto"/>
              <w:rPr>
                <w:rFonts w:hint="eastAsia" w:ascii="仿宋_GB2312" w:hAnsi="仿宋" w:eastAsia="仿宋_GB2312" w:cs="仿宋"/>
                <w:b/>
                <w:bCs/>
                <w:color w:val="000000"/>
                <w:sz w:val="28"/>
                <w:szCs w:val="28"/>
              </w:rPr>
            </w:pPr>
            <w:r>
              <w:rPr>
                <w:rFonts w:hint="eastAsia" w:ascii="仿宋_GB2312" w:hAnsi="仿宋" w:eastAsia="仿宋_GB2312" w:cs="仿宋"/>
                <w:b/>
                <w:bCs/>
                <w:color w:val="000000"/>
                <w:sz w:val="28"/>
                <w:szCs w:val="28"/>
              </w:rPr>
              <w:t>序号</w:t>
            </w:r>
          </w:p>
        </w:tc>
        <w:tc>
          <w:tcPr>
            <w:tcW w:w="5319" w:type="dxa"/>
            <w:noWrap w:val="0"/>
            <w:vAlign w:val="top"/>
          </w:tcPr>
          <w:p>
            <w:pPr>
              <w:keepNext w:val="0"/>
              <w:keepLines w:val="0"/>
              <w:pageBreakBefore w:val="0"/>
              <w:widowControl w:val="0"/>
              <w:kinsoku/>
              <w:wordWrap/>
              <w:overflowPunct/>
              <w:topLinePunct w:val="0"/>
              <w:autoSpaceDE/>
              <w:autoSpaceDN/>
              <w:bidi w:val="0"/>
              <w:adjustRightInd/>
              <w:snapToGrid/>
              <w:spacing w:before="45" w:beforeLines="10" w:after="45" w:afterLines="10" w:line="420" w:lineRule="exact"/>
              <w:jc w:val="center"/>
              <w:textAlignment w:val="auto"/>
              <w:rPr>
                <w:rFonts w:hint="eastAsia" w:ascii="仿宋_GB2312" w:hAnsi="仿宋" w:eastAsia="仿宋_GB2312" w:cs="仿宋"/>
                <w:b/>
                <w:bCs/>
                <w:color w:val="000000"/>
                <w:sz w:val="28"/>
                <w:szCs w:val="28"/>
              </w:rPr>
            </w:pPr>
            <w:r>
              <w:rPr>
                <w:rFonts w:hint="eastAsia" w:ascii="仿宋_GB2312" w:hAnsi="仿宋" w:eastAsia="仿宋_GB2312" w:cs="仿宋"/>
                <w:b/>
                <w:bCs/>
                <w:color w:val="000000"/>
                <w:sz w:val="28"/>
                <w:szCs w:val="28"/>
              </w:rPr>
              <w:t>赔付项目</w:t>
            </w:r>
          </w:p>
        </w:tc>
        <w:tc>
          <w:tcPr>
            <w:tcW w:w="1422" w:type="dxa"/>
            <w:noWrap w:val="0"/>
            <w:vAlign w:val="top"/>
          </w:tcPr>
          <w:p>
            <w:pPr>
              <w:keepNext w:val="0"/>
              <w:keepLines w:val="0"/>
              <w:pageBreakBefore w:val="0"/>
              <w:widowControl w:val="0"/>
              <w:kinsoku/>
              <w:wordWrap/>
              <w:overflowPunct/>
              <w:topLinePunct w:val="0"/>
              <w:autoSpaceDE/>
              <w:autoSpaceDN/>
              <w:bidi w:val="0"/>
              <w:adjustRightInd/>
              <w:snapToGrid/>
              <w:spacing w:before="45" w:beforeLines="10" w:after="45" w:afterLines="10" w:line="420" w:lineRule="exact"/>
              <w:ind w:left="-95" w:leftChars="-50" w:right="-95" w:rightChars="-50"/>
              <w:jc w:val="center"/>
              <w:textAlignment w:val="auto"/>
              <w:rPr>
                <w:rFonts w:hint="eastAsia" w:ascii="仿宋_GB2312" w:hAnsi="仿宋" w:eastAsia="仿宋_GB2312" w:cs="仿宋"/>
                <w:b/>
                <w:bCs/>
                <w:color w:val="000000"/>
                <w:sz w:val="28"/>
                <w:szCs w:val="28"/>
              </w:rPr>
            </w:pPr>
            <w:r>
              <w:rPr>
                <w:rFonts w:hint="eastAsia" w:ascii="仿宋_GB2312" w:hAnsi="仿宋" w:eastAsia="仿宋_GB2312" w:cs="仿宋"/>
                <w:b/>
                <w:bCs/>
                <w:color w:val="000000"/>
                <w:sz w:val="28"/>
                <w:szCs w:val="28"/>
              </w:rPr>
              <w:t>计算公式</w:t>
            </w:r>
          </w:p>
        </w:tc>
        <w:tc>
          <w:tcPr>
            <w:tcW w:w="1516" w:type="dxa"/>
            <w:noWrap w:val="0"/>
            <w:vAlign w:val="top"/>
          </w:tcPr>
          <w:p>
            <w:pPr>
              <w:keepNext w:val="0"/>
              <w:keepLines w:val="0"/>
              <w:pageBreakBefore w:val="0"/>
              <w:widowControl w:val="0"/>
              <w:kinsoku/>
              <w:wordWrap/>
              <w:overflowPunct/>
              <w:topLinePunct w:val="0"/>
              <w:autoSpaceDE/>
              <w:autoSpaceDN/>
              <w:bidi w:val="0"/>
              <w:adjustRightInd/>
              <w:snapToGrid/>
              <w:spacing w:before="45" w:beforeLines="10" w:after="45" w:afterLines="10" w:line="420" w:lineRule="exact"/>
              <w:jc w:val="center"/>
              <w:textAlignment w:val="auto"/>
              <w:rPr>
                <w:rFonts w:hint="eastAsia" w:ascii="仿宋_GB2312" w:hAnsi="仿宋" w:eastAsia="仿宋_GB2312" w:cs="仿宋"/>
                <w:b/>
                <w:bCs/>
                <w:color w:val="000000"/>
                <w:sz w:val="28"/>
                <w:szCs w:val="28"/>
              </w:rPr>
            </w:pPr>
            <w:r>
              <w:rPr>
                <w:rFonts w:hint="eastAsia" w:ascii="仿宋_GB2312" w:hAnsi="仿宋" w:eastAsia="仿宋_GB2312" w:cs="仿宋"/>
                <w:b/>
                <w:bCs/>
                <w:color w:val="000000"/>
                <w:sz w:val="28"/>
                <w:szCs w:val="28"/>
              </w:rPr>
              <w:t>赔偿金额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noWrap w:val="0"/>
            <w:vAlign w:val="top"/>
          </w:tcPr>
          <w:p>
            <w:pPr>
              <w:keepNext w:val="0"/>
              <w:keepLines w:val="0"/>
              <w:pageBreakBefore w:val="0"/>
              <w:widowControl w:val="0"/>
              <w:kinsoku/>
              <w:wordWrap/>
              <w:overflowPunct/>
              <w:topLinePunct w:val="0"/>
              <w:autoSpaceDE/>
              <w:autoSpaceDN/>
              <w:bidi w:val="0"/>
              <w:adjustRightInd/>
              <w:snapToGrid/>
              <w:spacing w:before="91" w:beforeLines="20" w:after="91" w:afterLines="20" w:line="420" w:lineRule="exact"/>
              <w:jc w:val="center"/>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w:t>
            </w:r>
          </w:p>
        </w:tc>
        <w:tc>
          <w:tcPr>
            <w:tcW w:w="5319" w:type="dxa"/>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kinsoku/>
              <w:wordWrap/>
              <w:overflowPunct/>
              <w:topLinePunct w:val="0"/>
              <w:autoSpaceDE/>
              <w:autoSpaceDN/>
              <w:bidi w:val="0"/>
              <w:adjustRightInd/>
              <w:snapToGrid/>
              <w:spacing w:before="91" w:beforeLines="20" w:after="91" w:afterLines="20" w:line="420" w:lineRule="exact"/>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医药费</w:t>
            </w:r>
          </w:p>
        </w:tc>
        <w:tc>
          <w:tcPr>
            <w:tcW w:w="1422" w:type="dxa"/>
            <w:noWrap w:val="0"/>
            <w:vAlign w:val="top"/>
          </w:tcPr>
          <w:p>
            <w:pPr>
              <w:keepNext w:val="0"/>
              <w:keepLines w:val="0"/>
              <w:pageBreakBefore w:val="0"/>
              <w:widowControl w:val="0"/>
              <w:kinsoku/>
              <w:wordWrap/>
              <w:overflowPunct/>
              <w:topLinePunct w:val="0"/>
              <w:autoSpaceDE/>
              <w:autoSpaceDN/>
              <w:bidi w:val="0"/>
              <w:adjustRightInd/>
              <w:snapToGrid/>
              <w:spacing w:before="91" w:beforeLines="20" w:after="91" w:afterLines="20" w:line="420" w:lineRule="exact"/>
              <w:jc w:val="both"/>
              <w:textAlignment w:val="auto"/>
              <w:rPr>
                <w:rFonts w:hint="eastAsia" w:ascii="仿宋_GB2312" w:hAnsi="仿宋" w:eastAsia="仿宋_GB2312" w:cs="仿宋"/>
                <w:color w:val="000000"/>
                <w:sz w:val="28"/>
                <w:szCs w:val="28"/>
              </w:rPr>
            </w:pPr>
          </w:p>
        </w:tc>
        <w:tc>
          <w:tcPr>
            <w:tcW w:w="1516" w:type="dxa"/>
            <w:noWrap w:val="0"/>
            <w:vAlign w:val="top"/>
          </w:tcPr>
          <w:p>
            <w:pPr>
              <w:keepNext w:val="0"/>
              <w:keepLines w:val="0"/>
              <w:pageBreakBefore w:val="0"/>
              <w:widowControl w:val="0"/>
              <w:kinsoku/>
              <w:wordWrap/>
              <w:overflowPunct/>
              <w:topLinePunct w:val="0"/>
              <w:autoSpaceDE/>
              <w:autoSpaceDN/>
              <w:bidi w:val="0"/>
              <w:adjustRightInd/>
              <w:snapToGrid/>
              <w:spacing w:before="91" w:beforeLines="20" w:after="91" w:afterLines="20" w:line="420" w:lineRule="exact"/>
              <w:jc w:val="both"/>
              <w:textAlignment w:val="auto"/>
              <w:rPr>
                <w:rFonts w:hint="eastAsia" w:ascii="仿宋_GB2312" w:hAnsi="仿宋" w:eastAsia="仿宋_GB2312" w:cs="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noWrap w:val="0"/>
            <w:vAlign w:val="top"/>
          </w:tcPr>
          <w:p>
            <w:pPr>
              <w:keepNext w:val="0"/>
              <w:keepLines w:val="0"/>
              <w:pageBreakBefore w:val="0"/>
              <w:widowControl w:val="0"/>
              <w:kinsoku/>
              <w:wordWrap/>
              <w:overflowPunct/>
              <w:topLinePunct w:val="0"/>
              <w:autoSpaceDE/>
              <w:autoSpaceDN/>
              <w:bidi w:val="0"/>
              <w:adjustRightInd/>
              <w:snapToGrid/>
              <w:spacing w:before="91" w:beforeLines="20" w:after="91" w:afterLines="20" w:line="420" w:lineRule="exact"/>
              <w:jc w:val="center"/>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w:t>
            </w:r>
          </w:p>
        </w:tc>
        <w:tc>
          <w:tcPr>
            <w:tcW w:w="5319" w:type="dxa"/>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kinsoku/>
              <w:wordWrap/>
              <w:overflowPunct/>
              <w:topLinePunct w:val="0"/>
              <w:autoSpaceDE/>
              <w:autoSpaceDN/>
              <w:bidi w:val="0"/>
              <w:adjustRightInd/>
              <w:snapToGrid/>
              <w:spacing w:before="91" w:beforeLines="20" w:after="91" w:afterLines="20" w:line="420" w:lineRule="exact"/>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住院期间伙食补助费</w:t>
            </w:r>
          </w:p>
        </w:tc>
        <w:tc>
          <w:tcPr>
            <w:tcW w:w="1422" w:type="dxa"/>
            <w:noWrap w:val="0"/>
            <w:vAlign w:val="top"/>
          </w:tcPr>
          <w:p>
            <w:pPr>
              <w:keepNext w:val="0"/>
              <w:keepLines w:val="0"/>
              <w:pageBreakBefore w:val="0"/>
              <w:widowControl w:val="0"/>
              <w:kinsoku/>
              <w:wordWrap/>
              <w:overflowPunct/>
              <w:topLinePunct w:val="0"/>
              <w:autoSpaceDE/>
              <w:autoSpaceDN/>
              <w:bidi w:val="0"/>
              <w:adjustRightInd/>
              <w:snapToGrid/>
              <w:spacing w:before="91" w:beforeLines="20" w:after="91" w:afterLines="20" w:line="420" w:lineRule="exact"/>
              <w:jc w:val="both"/>
              <w:textAlignment w:val="auto"/>
              <w:rPr>
                <w:rFonts w:hint="eastAsia" w:ascii="仿宋_GB2312" w:hAnsi="仿宋" w:eastAsia="仿宋_GB2312" w:cs="仿宋"/>
                <w:color w:val="000000"/>
                <w:sz w:val="28"/>
                <w:szCs w:val="28"/>
              </w:rPr>
            </w:pPr>
          </w:p>
        </w:tc>
        <w:tc>
          <w:tcPr>
            <w:tcW w:w="1516" w:type="dxa"/>
            <w:noWrap w:val="0"/>
            <w:vAlign w:val="top"/>
          </w:tcPr>
          <w:p>
            <w:pPr>
              <w:keepNext w:val="0"/>
              <w:keepLines w:val="0"/>
              <w:pageBreakBefore w:val="0"/>
              <w:widowControl w:val="0"/>
              <w:kinsoku/>
              <w:wordWrap/>
              <w:overflowPunct/>
              <w:topLinePunct w:val="0"/>
              <w:autoSpaceDE/>
              <w:autoSpaceDN/>
              <w:bidi w:val="0"/>
              <w:adjustRightInd/>
              <w:snapToGrid/>
              <w:spacing w:before="91" w:beforeLines="20" w:after="91" w:afterLines="20" w:line="420" w:lineRule="exact"/>
              <w:jc w:val="both"/>
              <w:textAlignment w:val="auto"/>
              <w:rPr>
                <w:rFonts w:hint="eastAsia" w:ascii="仿宋_GB2312" w:hAnsi="仿宋" w:eastAsia="仿宋_GB2312" w:cs="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noWrap w:val="0"/>
            <w:vAlign w:val="top"/>
          </w:tcPr>
          <w:p>
            <w:pPr>
              <w:keepNext w:val="0"/>
              <w:keepLines w:val="0"/>
              <w:pageBreakBefore w:val="0"/>
              <w:widowControl w:val="0"/>
              <w:kinsoku/>
              <w:wordWrap/>
              <w:overflowPunct/>
              <w:topLinePunct w:val="0"/>
              <w:autoSpaceDE/>
              <w:autoSpaceDN/>
              <w:bidi w:val="0"/>
              <w:adjustRightInd/>
              <w:snapToGrid/>
              <w:spacing w:before="91" w:beforeLines="20" w:after="91" w:afterLines="20" w:line="420" w:lineRule="exact"/>
              <w:jc w:val="center"/>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w:t>
            </w:r>
          </w:p>
        </w:tc>
        <w:tc>
          <w:tcPr>
            <w:tcW w:w="5319" w:type="dxa"/>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kinsoku/>
              <w:wordWrap/>
              <w:overflowPunct/>
              <w:topLinePunct w:val="0"/>
              <w:autoSpaceDE/>
              <w:autoSpaceDN/>
              <w:bidi w:val="0"/>
              <w:adjustRightInd/>
              <w:snapToGrid/>
              <w:spacing w:before="91" w:beforeLines="20" w:after="91" w:afterLines="20" w:line="420" w:lineRule="exact"/>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交通费</w:t>
            </w:r>
          </w:p>
        </w:tc>
        <w:tc>
          <w:tcPr>
            <w:tcW w:w="1422" w:type="dxa"/>
            <w:noWrap w:val="0"/>
            <w:vAlign w:val="top"/>
          </w:tcPr>
          <w:p>
            <w:pPr>
              <w:keepNext w:val="0"/>
              <w:keepLines w:val="0"/>
              <w:pageBreakBefore w:val="0"/>
              <w:widowControl w:val="0"/>
              <w:kinsoku/>
              <w:wordWrap/>
              <w:overflowPunct/>
              <w:topLinePunct w:val="0"/>
              <w:autoSpaceDE/>
              <w:autoSpaceDN/>
              <w:bidi w:val="0"/>
              <w:adjustRightInd/>
              <w:snapToGrid/>
              <w:spacing w:before="91" w:beforeLines="20" w:after="91" w:afterLines="20" w:line="420" w:lineRule="exact"/>
              <w:jc w:val="both"/>
              <w:textAlignment w:val="auto"/>
              <w:rPr>
                <w:rFonts w:hint="eastAsia" w:ascii="仿宋_GB2312" w:hAnsi="仿宋" w:eastAsia="仿宋_GB2312" w:cs="仿宋"/>
                <w:color w:val="000000"/>
                <w:sz w:val="28"/>
                <w:szCs w:val="28"/>
              </w:rPr>
            </w:pPr>
          </w:p>
        </w:tc>
        <w:tc>
          <w:tcPr>
            <w:tcW w:w="1516" w:type="dxa"/>
            <w:noWrap w:val="0"/>
            <w:vAlign w:val="top"/>
          </w:tcPr>
          <w:p>
            <w:pPr>
              <w:keepNext w:val="0"/>
              <w:keepLines w:val="0"/>
              <w:pageBreakBefore w:val="0"/>
              <w:widowControl w:val="0"/>
              <w:kinsoku/>
              <w:wordWrap/>
              <w:overflowPunct/>
              <w:topLinePunct w:val="0"/>
              <w:autoSpaceDE/>
              <w:autoSpaceDN/>
              <w:bidi w:val="0"/>
              <w:adjustRightInd/>
              <w:snapToGrid/>
              <w:spacing w:before="91" w:beforeLines="20" w:after="91" w:afterLines="20" w:line="420" w:lineRule="exact"/>
              <w:jc w:val="both"/>
              <w:textAlignment w:val="auto"/>
              <w:rPr>
                <w:rFonts w:hint="eastAsia" w:ascii="仿宋_GB2312" w:hAnsi="仿宋" w:eastAsia="仿宋_GB2312" w:cs="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noWrap w:val="0"/>
            <w:vAlign w:val="top"/>
          </w:tcPr>
          <w:p>
            <w:pPr>
              <w:keepNext w:val="0"/>
              <w:keepLines w:val="0"/>
              <w:pageBreakBefore w:val="0"/>
              <w:widowControl w:val="0"/>
              <w:kinsoku/>
              <w:wordWrap/>
              <w:overflowPunct/>
              <w:topLinePunct w:val="0"/>
              <w:autoSpaceDE/>
              <w:autoSpaceDN/>
              <w:bidi w:val="0"/>
              <w:adjustRightInd/>
              <w:snapToGrid/>
              <w:spacing w:before="91" w:beforeLines="20" w:after="91" w:afterLines="20" w:line="420" w:lineRule="exact"/>
              <w:jc w:val="center"/>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4</w:t>
            </w:r>
          </w:p>
        </w:tc>
        <w:tc>
          <w:tcPr>
            <w:tcW w:w="5319" w:type="dxa"/>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kinsoku/>
              <w:wordWrap/>
              <w:overflowPunct/>
              <w:topLinePunct w:val="0"/>
              <w:autoSpaceDE/>
              <w:autoSpaceDN/>
              <w:bidi w:val="0"/>
              <w:adjustRightInd/>
              <w:snapToGrid/>
              <w:spacing w:before="91" w:beforeLines="20" w:after="91" w:afterLines="20" w:line="420" w:lineRule="exact"/>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食宿费</w:t>
            </w:r>
          </w:p>
        </w:tc>
        <w:tc>
          <w:tcPr>
            <w:tcW w:w="1422" w:type="dxa"/>
            <w:noWrap w:val="0"/>
            <w:vAlign w:val="top"/>
          </w:tcPr>
          <w:p>
            <w:pPr>
              <w:keepNext w:val="0"/>
              <w:keepLines w:val="0"/>
              <w:pageBreakBefore w:val="0"/>
              <w:widowControl w:val="0"/>
              <w:kinsoku/>
              <w:wordWrap/>
              <w:overflowPunct/>
              <w:topLinePunct w:val="0"/>
              <w:autoSpaceDE/>
              <w:autoSpaceDN/>
              <w:bidi w:val="0"/>
              <w:adjustRightInd/>
              <w:snapToGrid/>
              <w:spacing w:before="91" w:beforeLines="20" w:after="91" w:afterLines="20" w:line="420" w:lineRule="exact"/>
              <w:jc w:val="both"/>
              <w:textAlignment w:val="auto"/>
              <w:rPr>
                <w:rFonts w:hint="eastAsia" w:ascii="仿宋_GB2312" w:hAnsi="仿宋" w:eastAsia="仿宋_GB2312" w:cs="仿宋"/>
                <w:color w:val="000000"/>
                <w:sz w:val="28"/>
                <w:szCs w:val="28"/>
              </w:rPr>
            </w:pPr>
          </w:p>
        </w:tc>
        <w:tc>
          <w:tcPr>
            <w:tcW w:w="1516" w:type="dxa"/>
            <w:noWrap w:val="0"/>
            <w:vAlign w:val="top"/>
          </w:tcPr>
          <w:p>
            <w:pPr>
              <w:keepNext w:val="0"/>
              <w:keepLines w:val="0"/>
              <w:pageBreakBefore w:val="0"/>
              <w:widowControl w:val="0"/>
              <w:kinsoku/>
              <w:wordWrap/>
              <w:overflowPunct/>
              <w:topLinePunct w:val="0"/>
              <w:autoSpaceDE/>
              <w:autoSpaceDN/>
              <w:bidi w:val="0"/>
              <w:adjustRightInd/>
              <w:snapToGrid/>
              <w:spacing w:before="91" w:beforeLines="20" w:after="91" w:afterLines="20" w:line="420" w:lineRule="exact"/>
              <w:jc w:val="both"/>
              <w:textAlignment w:val="auto"/>
              <w:rPr>
                <w:rFonts w:hint="eastAsia" w:ascii="仿宋_GB2312" w:hAnsi="仿宋" w:eastAsia="仿宋_GB2312" w:cs="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noWrap w:val="0"/>
            <w:vAlign w:val="top"/>
          </w:tcPr>
          <w:p>
            <w:pPr>
              <w:keepNext w:val="0"/>
              <w:keepLines w:val="0"/>
              <w:pageBreakBefore w:val="0"/>
              <w:widowControl w:val="0"/>
              <w:kinsoku/>
              <w:wordWrap/>
              <w:overflowPunct/>
              <w:topLinePunct w:val="0"/>
              <w:autoSpaceDE/>
              <w:autoSpaceDN/>
              <w:bidi w:val="0"/>
              <w:adjustRightInd/>
              <w:snapToGrid/>
              <w:spacing w:before="91" w:beforeLines="20" w:after="91" w:afterLines="20" w:line="420" w:lineRule="exact"/>
              <w:jc w:val="center"/>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5</w:t>
            </w:r>
          </w:p>
        </w:tc>
        <w:tc>
          <w:tcPr>
            <w:tcW w:w="5319" w:type="dxa"/>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kinsoku/>
              <w:wordWrap/>
              <w:overflowPunct/>
              <w:topLinePunct w:val="0"/>
              <w:autoSpaceDE/>
              <w:autoSpaceDN/>
              <w:bidi w:val="0"/>
              <w:adjustRightInd/>
              <w:snapToGrid/>
              <w:spacing w:before="91" w:beforeLines="20" w:after="91" w:afterLines="20" w:line="420" w:lineRule="exact"/>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康复性治疗费</w:t>
            </w:r>
          </w:p>
        </w:tc>
        <w:tc>
          <w:tcPr>
            <w:tcW w:w="1422" w:type="dxa"/>
            <w:noWrap w:val="0"/>
            <w:vAlign w:val="top"/>
          </w:tcPr>
          <w:p>
            <w:pPr>
              <w:keepNext w:val="0"/>
              <w:keepLines w:val="0"/>
              <w:pageBreakBefore w:val="0"/>
              <w:widowControl w:val="0"/>
              <w:kinsoku/>
              <w:wordWrap/>
              <w:overflowPunct/>
              <w:topLinePunct w:val="0"/>
              <w:autoSpaceDE/>
              <w:autoSpaceDN/>
              <w:bidi w:val="0"/>
              <w:adjustRightInd/>
              <w:snapToGrid/>
              <w:spacing w:before="91" w:beforeLines="20" w:after="91" w:afterLines="20" w:line="420" w:lineRule="exact"/>
              <w:jc w:val="both"/>
              <w:textAlignment w:val="auto"/>
              <w:rPr>
                <w:rFonts w:hint="eastAsia" w:ascii="仿宋_GB2312" w:hAnsi="仿宋" w:eastAsia="仿宋_GB2312" w:cs="仿宋"/>
                <w:color w:val="000000"/>
                <w:sz w:val="28"/>
                <w:szCs w:val="28"/>
              </w:rPr>
            </w:pPr>
          </w:p>
        </w:tc>
        <w:tc>
          <w:tcPr>
            <w:tcW w:w="1516" w:type="dxa"/>
            <w:noWrap w:val="0"/>
            <w:vAlign w:val="top"/>
          </w:tcPr>
          <w:p>
            <w:pPr>
              <w:keepNext w:val="0"/>
              <w:keepLines w:val="0"/>
              <w:pageBreakBefore w:val="0"/>
              <w:widowControl w:val="0"/>
              <w:kinsoku/>
              <w:wordWrap/>
              <w:overflowPunct/>
              <w:topLinePunct w:val="0"/>
              <w:autoSpaceDE/>
              <w:autoSpaceDN/>
              <w:bidi w:val="0"/>
              <w:adjustRightInd/>
              <w:snapToGrid/>
              <w:spacing w:before="91" w:beforeLines="20" w:after="91" w:afterLines="20" w:line="420" w:lineRule="exact"/>
              <w:jc w:val="both"/>
              <w:textAlignment w:val="auto"/>
              <w:rPr>
                <w:rFonts w:hint="eastAsia" w:ascii="仿宋_GB2312" w:hAnsi="仿宋" w:eastAsia="仿宋_GB2312" w:cs="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noWrap w:val="0"/>
            <w:vAlign w:val="top"/>
          </w:tcPr>
          <w:p>
            <w:pPr>
              <w:keepNext w:val="0"/>
              <w:keepLines w:val="0"/>
              <w:pageBreakBefore w:val="0"/>
              <w:widowControl w:val="0"/>
              <w:kinsoku/>
              <w:wordWrap/>
              <w:overflowPunct/>
              <w:topLinePunct w:val="0"/>
              <w:autoSpaceDE/>
              <w:autoSpaceDN/>
              <w:bidi w:val="0"/>
              <w:adjustRightInd/>
              <w:snapToGrid/>
              <w:spacing w:before="91" w:beforeLines="20" w:after="91" w:afterLines="20" w:line="420" w:lineRule="exact"/>
              <w:jc w:val="center"/>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6</w:t>
            </w:r>
          </w:p>
        </w:tc>
        <w:tc>
          <w:tcPr>
            <w:tcW w:w="5319" w:type="dxa"/>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kinsoku/>
              <w:wordWrap/>
              <w:overflowPunct/>
              <w:topLinePunct w:val="0"/>
              <w:autoSpaceDE/>
              <w:autoSpaceDN/>
              <w:bidi w:val="0"/>
              <w:adjustRightInd/>
              <w:snapToGrid/>
              <w:spacing w:before="91" w:beforeLines="20" w:after="91" w:afterLines="20" w:line="420" w:lineRule="exact"/>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pacing w:val="-6"/>
                <w:sz w:val="28"/>
                <w:szCs w:val="28"/>
              </w:rPr>
              <w:t>假肢、矫形器、假眼、假牙、轮椅费用</w:t>
            </w:r>
          </w:p>
        </w:tc>
        <w:tc>
          <w:tcPr>
            <w:tcW w:w="1422" w:type="dxa"/>
            <w:noWrap w:val="0"/>
            <w:vAlign w:val="top"/>
          </w:tcPr>
          <w:p>
            <w:pPr>
              <w:keepNext w:val="0"/>
              <w:keepLines w:val="0"/>
              <w:pageBreakBefore w:val="0"/>
              <w:widowControl w:val="0"/>
              <w:kinsoku/>
              <w:wordWrap/>
              <w:overflowPunct/>
              <w:topLinePunct w:val="0"/>
              <w:autoSpaceDE/>
              <w:autoSpaceDN/>
              <w:bidi w:val="0"/>
              <w:adjustRightInd/>
              <w:snapToGrid/>
              <w:spacing w:before="91" w:beforeLines="20" w:after="91" w:afterLines="20" w:line="420" w:lineRule="exact"/>
              <w:jc w:val="both"/>
              <w:textAlignment w:val="auto"/>
              <w:rPr>
                <w:rFonts w:hint="eastAsia" w:ascii="仿宋_GB2312" w:hAnsi="仿宋" w:eastAsia="仿宋_GB2312" w:cs="仿宋"/>
                <w:color w:val="000000"/>
                <w:sz w:val="28"/>
                <w:szCs w:val="28"/>
              </w:rPr>
            </w:pPr>
          </w:p>
        </w:tc>
        <w:tc>
          <w:tcPr>
            <w:tcW w:w="1516" w:type="dxa"/>
            <w:noWrap w:val="0"/>
            <w:vAlign w:val="top"/>
          </w:tcPr>
          <w:p>
            <w:pPr>
              <w:keepNext w:val="0"/>
              <w:keepLines w:val="0"/>
              <w:pageBreakBefore w:val="0"/>
              <w:widowControl w:val="0"/>
              <w:kinsoku/>
              <w:wordWrap/>
              <w:overflowPunct/>
              <w:topLinePunct w:val="0"/>
              <w:autoSpaceDE/>
              <w:autoSpaceDN/>
              <w:bidi w:val="0"/>
              <w:adjustRightInd/>
              <w:snapToGrid/>
              <w:spacing w:before="91" w:beforeLines="20" w:after="91" w:afterLines="20" w:line="420" w:lineRule="exact"/>
              <w:jc w:val="both"/>
              <w:textAlignment w:val="auto"/>
              <w:rPr>
                <w:rFonts w:hint="eastAsia" w:ascii="仿宋_GB2312" w:hAnsi="仿宋" w:eastAsia="仿宋_GB2312" w:cs="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noWrap w:val="0"/>
            <w:vAlign w:val="top"/>
          </w:tcPr>
          <w:p>
            <w:pPr>
              <w:keepNext w:val="0"/>
              <w:keepLines w:val="0"/>
              <w:pageBreakBefore w:val="0"/>
              <w:widowControl w:val="0"/>
              <w:kinsoku/>
              <w:wordWrap/>
              <w:overflowPunct/>
              <w:topLinePunct w:val="0"/>
              <w:autoSpaceDE/>
              <w:autoSpaceDN/>
              <w:bidi w:val="0"/>
              <w:adjustRightInd/>
              <w:snapToGrid/>
              <w:spacing w:before="91" w:beforeLines="20" w:after="91" w:afterLines="20" w:line="420" w:lineRule="exact"/>
              <w:jc w:val="center"/>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7</w:t>
            </w:r>
          </w:p>
        </w:tc>
        <w:tc>
          <w:tcPr>
            <w:tcW w:w="5319" w:type="dxa"/>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kinsoku/>
              <w:wordWrap/>
              <w:overflowPunct/>
              <w:topLinePunct w:val="0"/>
              <w:autoSpaceDE/>
              <w:autoSpaceDN/>
              <w:bidi w:val="0"/>
              <w:adjustRightInd/>
              <w:snapToGrid/>
              <w:spacing w:before="91" w:beforeLines="20" w:after="91" w:afterLines="20" w:line="420" w:lineRule="exact"/>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停工留薪工资</w:t>
            </w:r>
          </w:p>
        </w:tc>
        <w:tc>
          <w:tcPr>
            <w:tcW w:w="1422" w:type="dxa"/>
            <w:noWrap w:val="0"/>
            <w:vAlign w:val="top"/>
          </w:tcPr>
          <w:p>
            <w:pPr>
              <w:keepNext w:val="0"/>
              <w:keepLines w:val="0"/>
              <w:pageBreakBefore w:val="0"/>
              <w:widowControl w:val="0"/>
              <w:kinsoku/>
              <w:wordWrap/>
              <w:overflowPunct/>
              <w:topLinePunct w:val="0"/>
              <w:autoSpaceDE/>
              <w:autoSpaceDN/>
              <w:bidi w:val="0"/>
              <w:adjustRightInd/>
              <w:snapToGrid/>
              <w:spacing w:before="91" w:beforeLines="20" w:after="91" w:afterLines="20" w:line="420" w:lineRule="exact"/>
              <w:jc w:val="both"/>
              <w:textAlignment w:val="auto"/>
              <w:rPr>
                <w:rFonts w:hint="eastAsia" w:ascii="仿宋_GB2312" w:hAnsi="仿宋" w:eastAsia="仿宋_GB2312" w:cs="仿宋"/>
                <w:color w:val="000000"/>
                <w:sz w:val="28"/>
                <w:szCs w:val="28"/>
              </w:rPr>
            </w:pPr>
          </w:p>
        </w:tc>
        <w:tc>
          <w:tcPr>
            <w:tcW w:w="1516" w:type="dxa"/>
            <w:noWrap w:val="0"/>
            <w:vAlign w:val="top"/>
          </w:tcPr>
          <w:p>
            <w:pPr>
              <w:keepNext w:val="0"/>
              <w:keepLines w:val="0"/>
              <w:pageBreakBefore w:val="0"/>
              <w:widowControl w:val="0"/>
              <w:kinsoku/>
              <w:wordWrap/>
              <w:overflowPunct/>
              <w:topLinePunct w:val="0"/>
              <w:autoSpaceDE/>
              <w:autoSpaceDN/>
              <w:bidi w:val="0"/>
              <w:adjustRightInd/>
              <w:snapToGrid/>
              <w:spacing w:before="91" w:beforeLines="20" w:after="91" w:afterLines="20" w:line="420" w:lineRule="exact"/>
              <w:jc w:val="both"/>
              <w:textAlignment w:val="auto"/>
              <w:rPr>
                <w:rFonts w:hint="eastAsia" w:ascii="仿宋_GB2312" w:hAnsi="仿宋" w:eastAsia="仿宋_GB2312" w:cs="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noWrap w:val="0"/>
            <w:vAlign w:val="top"/>
          </w:tcPr>
          <w:p>
            <w:pPr>
              <w:keepNext w:val="0"/>
              <w:keepLines w:val="0"/>
              <w:pageBreakBefore w:val="0"/>
              <w:widowControl w:val="0"/>
              <w:kinsoku/>
              <w:wordWrap/>
              <w:overflowPunct/>
              <w:topLinePunct w:val="0"/>
              <w:autoSpaceDE/>
              <w:autoSpaceDN/>
              <w:bidi w:val="0"/>
              <w:adjustRightInd/>
              <w:snapToGrid/>
              <w:spacing w:before="91" w:beforeLines="20" w:after="91" w:afterLines="20" w:line="420" w:lineRule="exact"/>
              <w:jc w:val="center"/>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8</w:t>
            </w:r>
          </w:p>
        </w:tc>
        <w:tc>
          <w:tcPr>
            <w:tcW w:w="5319" w:type="dxa"/>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kinsoku/>
              <w:wordWrap/>
              <w:overflowPunct/>
              <w:topLinePunct w:val="0"/>
              <w:autoSpaceDE/>
              <w:autoSpaceDN/>
              <w:bidi w:val="0"/>
              <w:adjustRightInd/>
              <w:snapToGrid/>
              <w:spacing w:before="91" w:beforeLines="20" w:after="91" w:afterLines="20" w:line="420" w:lineRule="exact"/>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护理费</w:t>
            </w:r>
          </w:p>
        </w:tc>
        <w:tc>
          <w:tcPr>
            <w:tcW w:w="1422" w:type="dxa"/>
            <w:noWrap w:val="0"/>
            <w:vAlign w:val="top"/>
          </w:tcPr>
          <w:p>
            <w:pPr>
              <w:keepNext w:val="0"/>
              <w:keepLines w:val="0"/>
              <w:pageBreakBefore w:val="0"/>
              <w:widowControl w:val="0"/>
              <w:kinsoku/>
              <w:wordWrap/>
              <w:overflowPunct/>
              <w:topLinePunct w:val="0"/>
              <w:autoSpaceDE/>
              <w:autoSpaceDN/>
              <w:bidi w:val="0"/>
              <w:adjustRightInd/>
              <w:snapToGrid/>
              <w:spacing w:before="91" w:beforeLines="20" w:after="91" w:afterLines="20" w:line="420" w:lineRule="exact"/>
              <w:jc w:val="both"/>
              <w:textAlignment w:val="auto"/>
              <w:rPr>
                <w:rFonts w:hint="eastAsia" w:ascii="仿宋_GB2312" w:hAnsi="仿宋" w:eastAsia="仿宋_GB2312" w:cs="仿宋"/>
                <w:color w:val="000000"/>
                <w:sz w:val="28"/>
                <w:szCs w:val="28"/>
              </w:rPr>
            </w:pPr>
          </w:p>
        </w:tc>
        <w:tc>
          <w:tcPr>
            <w:tcW w:w="1516" w:type="dxa"/>
            <w:noWrap w:val="0"/>
            <w:vAlign w:val="top"/>
          </w:tcPr>
          <w:p>
            <w:pPr>
              <w:keepNext w:val="0"/>
              <w:keepLines w:val="0"/>
              <w:pageBreakBefore w:val="0"/>
              <w:widowControl w:val="0"/>
              <w:kinsoku/>
              <w:wordWrap/>
              <w:overflowPunct/>
              <w:topLinePunct w:val="0"/>
              <w:autoSpaceDE/>
              <w:autoSpaceDN/>
              <w:bidi w:val="0"/>
              <w:adjustRightInd/>
              <w:snapToGrid/>
              <w:spacing w:before="91" w:beforeLines="20" w:after="91" w:afterLines="20" w:line="420" w:lineRule="exact"/>
              <w:jc w:val="both"/>
              <w:textAlignment w:val="auto"/>
              <w:rPr>
                <w:rFonts w:hint="eastAsia" w:ascii="仿宋_GB2312" w:hAnsi="仿宋" w:eastAsia="仿宋_GB2312" w:cs="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noWrap w:val="0"/>
            <w:vAlign w:val="top"/>
          </w:tcPr>
          <w:p>
            <w:pPr>
              <w:keepNext w:val="0"/>
              <w:keepLines w:val="0"/>
              <w:pageBreakBefore w:val="0"/>
              <w:widowControl w:val="0"/>
              <w:kinsoku/>
              <w:wordWrap/>
              <w:overflowPunct/>
              <w:topLinePunct w:val="0"/>
              <w:autoSpaceDE/>
              <w:autoSpaceDN/>
              <w:bidi w:val="0"/>
              <w:adjustRightInd/>
              <w:snapToGrid/>
              <w:spacing w:before="91" w:beforeLines="20" w:after="91" w:afterLines="20" w:line="420" w:lineRule="exact"/>
              <w:jc w:val="center"/>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9</w:t>
            </w:r>
          </w:p>
        </w:tc>
        <w:tc>
          <w:tcPr>
            <w:tcW w:w="5319" w:type="dxa"/>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kinsoku/>
              <w:wordWrap/>
              <w:overflowPunct/>
              <w:topLinePunct w:val="0"/>
              <w:autoSpaceDE/>
              <w:autoSpaceDN/>
              <w:bidi w:val="0"/>
              <w:adjustRightInd/>
              <w:snapToGrid/>
              <w:spacing w:before="91" w:beforeLines="20" w:after="91" w:afterLines="20" w:line="420" w:lineRule="exact"/>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一次性伤残补助金</w:t>
            </w:r>
          </w:p>
        </w:tc>
        <w:tc>
          <w:tcPr>
            <w:tcW w:w="1422" w:type="dxa"/>
            <w:noWrap w:val="0"/>
            <w:vAlign w:val="top"/>
          </w:tcPr>
          <w:p>
            <w:pPr>
              <w:keepNext w:val="0"/>
              <w:keepLines w:val="0"/>
              <w:pageBreakBefore w:val="0"/>
              <w:widowControl w:val="0"/>
              <w:kinsoku/>
              <w:wordWrap/>
              <w:overflowPunct/>
              <w:topLinePunct w:val="0"/>
              <w:autoSpaceDE/>
              <w:autoSpaceDN/>
              <w:bidi w:val="0"/>
              <w:adjustRightInd/>
              <w:snapToGrid/>
              <w:spacing w:before="91" w:beforeLines="20" w:after="91" w:afterLines="20" w:line="420" w:lineRule="exact"/>
              <w:jc w:val="both"/>
              <w:textAlignment w:val="auto"/>
              <w:rPr>
                <w:rFonts w:hint="eastAsia" w:ascii="仿宋_GB2312" w:hAnsi="仿宋" w:eastAsia="仿宋_GB2312" w:cs="仿宋"/>
                <w:color w:val="000000"/>
                <w:sz w:val="28"/>
                <w:szCs w:val="28"/>
              </w:rPr>
            </w:pPr>
          </w:p>
        </w:tc>
        <w:tc>
          <w:tcPr>
            <w:tcW w:w="1516" w:type="dxa"/>
            <w:noWrap w:val="0"/>
            <w:vAlign w:val="top"/>
          </w:tcPr>
          <w:p>
            <w:pPr>
              <w:keepNext w:val="0"/>
              <w:keepLines w:val="0"/>
              <w:pageBreakBefore w:val="0"/>
              <w:widowControl w:val="0"/>
              <w:kinsoku/>
              <w:wordWrap/>
              <w:overflowPunct/>
              <w:topLinePunct w:val="0"/>
              <w:autoSpaceDE/>
              <w:autoSpaceDN/>
              <w:bidi w:val="0"/>
              <w:adjustRightInd/>
              <w:snapToGrid/>
              <w:spacing w:before="91" w:beforeLines="20" w:after="91" w:afterLines="20" w:line="420" w:lineRule="exact"/>
              <w:jc w:val="both"/>
              <w:textAlignment w:val="auto"/>
              <w:rPr>
                <w:rFonts w:hint="eastAsia" w:ascii="仿宋_GB2312" w:hAnsi="仿宋" w:eastAsia="仿宋_GB2312" w:cs="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noWrap w:val="0"/>
            <w:vAlign w:val="top"/>
          </w:tcPr>
          <w:p>
            <w:pPr>
              <w:keepNext w:val="0"/>
              <w:keepLines w:val="0"/>
              <w:pageBreakBefore w:val="0"/>
              <w:widowControl w:val="0"/>
              <w:kinsoku/>
              <w:wordWrap/>
              <w:overflowPunct/>
              <w:topLinePunct w:val="0"/>
              <w:autoSpaceDE/>
              <w:autoSpaceDN/>
              <w:bidi w:val="0"/>
              <w:adjustRightInd/>
              <w:snapToGrid/>
              <w:spacing w:before="91" w:beforeLines="20" w:after="91" w:afterLines="20" w:line="420" w:lineRule="exact"/>
              <w:jc w:val="center"/>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10</w:t>
            </w:r>
          </w:p>
        </w:tc>
        <w:tc>
          <w:tcPr>
            <w:tcW w:w="5319" w:type="dxa"/>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kinsoku/>
              <w:wordWrap/>
              <w:overflowPunct/>
              <w:topLinePunct w:val="0"/>
              <w:autoSpaceDE/>
              <w:autoSpaceDN/>
              <w:bidi w:val="0"/>
              <w:adjustRightInd/>
              <w:snapToGrid/>
              <w:spacing w:before="91" w:beforeLines="20" w:after="91" w:afterLines="20" w:line="420" w:lineRule="exact"/>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一次性伤残医疗补助金</w:t>
            </w:r>
          </w:p>
        </w:tc>
        <w:tc>
          <w:tcPr>
            <w:tcW w:w="1422" w:type="dxa"/>
            <w:noWrap w:val="0"/>
            <w:vAlign w:val="top"/>
          </w:tcPr>
          <w:p>
            <w:pPr>
              <w:keepNext w:val="0"/>
              <w:keepLines w:val="0"/>
              <w:pageBreakBefore w:val="0"/>
              <w:widowControl w:val="0"/>
              <w:kinsoku/>
              <w:wordWrap/>
              <w:overflowPunct/>
              <w:topLinePunct w:val="0"/>
              <w:autoSpaceDE/>
              <w:autoSpaceDN/>
              <w:bidi w:val="0"/>
              <w:adjustRightInd/>
              <w:snapToGrid/>
              <w:spacing w:before="91" w:beforeLines="20" w:after="91" w:afterLines="20" w:line="420" w:lineRule="exact"/>
              <w:jc w:val="both"/>
              <w:textAlignment w:val="auto"/>
              <w:rPr>
                <w:rFonts w:hint="eastAsia" w:ascii="仿宋_GB2312" w:hAnsi="仿宋" w:eastAsia="仿宋_GB2312" w:cs="仿宋"/>
                <w:color w:val="000000"/>
                <w:sz w:val="28"/>
                <w:szCs w:val="28"/>
              </w:rPr>
            </w:pPr>
          </w:p>
        </w:tc>
        <w:tc>
          <w:tcPr>
            <w:tcW w:w="1516" w:type="dxa"/>
            <w:noWrap w:val="0"/>
            <w:vAlign w:val="top"/>
          </w:tcPr>
          <w:p>
            <w:pPr>
              <w:keepNext w:val="0"/>
              <w:keepLines w:val="0"/>
              <w:pageBreakBefore w:val="0"/>
              <w:widowControl w:val="0"/>
              <w:kinsoku/>
              <w:wordWrap/>
              <w:overflowPunct/>
              <w:topLinePunct w:val="0"/>
              <w:autoSpaceDE/>
              <w:autoSpaceDN/>
              <w:bidi w:val="0"/>
              <w:adjustRightInd/>
              <w:snapToGrid/>
              <w:spacing w:before="91" w:beforeLines="20" w:after="91" w:afterLines="20" w:line="420" w:lineRule="exact"/>
              <w:jc w:val="both"/>
              <w:textAlignment w:val="auto"/>
              <w:rPr>
                <w:rFonts w:hint="eastAsia" w:ascii="仿宋_GB2312" w:hAnsi="仿宋" w:eastAsia="仿宋_GB2312" w:cs="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noWrap w:val="0"/>
            <w:vAlign w:val="top"/>
          </w:tcPr>
          <w:p>
            <w:pPr>
              <w:keepNext w:val="0"/>
              <w:keepLines w:val="0"/>
              <w:pageBreakBefore w:val="0"/>
              <w:widowControl w:val="0"/>
              <w:kinsoku/>
              <w:wordWrap/>
              <w:overflowPunct/>
              <w:topLinePunct w:val="0"/>
              <w:autoSpaceDE/>
              <w:autoSpaceDN/>
              <w:bidi w:val="0"/>
              <w:adjustRightInd/>
              <w:snapToGrid/>
              <w:spacing w:before="91" w:beforeLines="20" w:after="91" w:afterLines="20" w:line="420" w:lineRule="exact"/>
              <w:jc w:val="center"/>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11</w:t>
            </w:r>
          </w:p>
        </w:tc>
        <w:tc>
          <w:tcPr>
            <w:tcW w:w="5319" w:type="dxa"/>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kinsoku/>
              <w:wordWrap/>
              <w:overflowPunct/>
              <w:topLinePunct w:val="0"/>
              <w:autoSpaceDE/>
              <w:autoSpaceDN/>
              <w:bidi w:val="0"/>
              <w:adjustRightInd/>
              <w:snapToGrid/>
              <w:spacing w:before="91" w:beforeLines="20" w:after="91" w:afterLines="20" w:line="420" w:lineRule="exact"/>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一次性就业补助金</w:t>
            </w:r>
          </w:p>
        </w:tc>
        <w:tc>
          <w:tcPr>
            <w:tcW w:w="1422" w:type="dxa"/>
            <w:noWrap w:val="0"/>
            <w:vAlign w:val="top"/>
          </w:tcPr>
          <w:p>
            <w:pPr>
              <w:keepNext w:val="0"/>
              <w:keepLines w:val="0"/>
              <w:pageBreakBefore w:val="0"/>
              <w:widowControl w:val="0"/>
              <w:kinsoku/>
              <w:wordWrap/>
              <w:overflowPunct/>
              <w:topLinePunct w:val="0"/>
              <w:autoSpaceDE/>
              <w:autoSpaceDN/>
              <w:bidi w:val="0"/>
              <w:adjustRightInd/>
              <w:snapToGrid/>
              <w:spacing w:before="91" w:beforeLines="20" w:after="91" w:afterLines="20" w:line="420" w:lineRule="exact"/>
              <w:jc w:val="both"/>
              <w:textAlignment w:val="auto"/>
              <w:rPr>
                <w:rFonts w:hint="eastAsia" w:ascii="仿宋_GB2312" w:hAnsi="仿宋" w:eastAsia="仿宋_GB2312" w:cs="仿宋"/>
                <w:color w:val="000000"/>
                <w:sz w:val="28"/>
                <w:szCs w:val="28"/>
              </w:rPr>
            </w:pPr>
          </w:p>
        </w:tc>
        <w:tc>
          <w:tcPr>
            <w:tcW w:w="1516" w:type="dxa"/>
            <w:noWrap w:val="0"/>
            <w:vAlign w:val="top"/>
          </w:tcPr>
          <w:p>
            <w:pPr>
              <w:keepNext w:val="0"/>
              <w:keepLines w:val="0"/>
              <w:pageBreakBefore w:val="0"/>
              <w:widowControl w:val="0"/>
              <w:kinsoku/>
              <w:wordWrap/>
              <w:overflowPunct/>
              <w:topLinePunct w:val="0"/>
              <w:autoSpaceDE/>
              <w:autoSpaceDN/>
              <w:bidi w:val="0"/>
              <w:adjustRightInd/>
              <w:snapToGrid/>
              <w:spacing w:before="91" w:beforeLines="20" w:after="91" w:afterLines="20" w:line="420" w:lineRule="exact"/>
              <w:jc w:val="both"/>
              <w:textAlignment w:val="auto"/>
              <w:rPr>
                <w:rFonts w:hint="eastAsia" w:ascii="仿宋_GB2312" w:hAnsi="仿宋" w:eastAsia="仿宋_GB2312" w:cs="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noWrap w:val="0"/>
            <w:vAlign w:val="top"/>
          </w:tcPr>
          <w:p>
            <w:pPr>
              <w:keepNext w:val="0"/>
              <w:keepLines w:val="0"/>
              <w:pageBreakBefore w:val="0"/>
              <w:widowControl w:val="0"/>
              <w:kinsoku/>
              <w:wordWrap/>
              <w:overflowPunct/>
              <w:topLinePunct w:val="0"/>
              <w:autoSpaceDE/>
              <w:autoSpaceDN/>
              <w:bidi w:val="0"/>
              <w:adjustRightInd/>
              <w:snapToGrid/>
              <w:spacing w:before="91" w:beforeLines="20" w:after="91" w:afterLines="20" w:line="420" w:lineRule="exact"/>
              <w:jc w:val="center"/>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12</w:t>
            </w:r>
          </w:p>
        </w:tc>
        <w:tc>
          <w:tcPr>
            <w:tcW w:w="5319" w:type="dxa"/>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kinsoku/>
              <w:wordWrap/>
              <w:overflowPunct/>
              <w:topLinePunct w:val="0"/>
              <w:autoSpaceDE/>
              <w:autoSpaceDN/>
              <w:bidi w:val="0"/>
              <w:adjustRightInd/>
              <w:snapToGrid/>
              <w:spacing w:before="91" w:beforeLines="20" w:after="91" w:afterLines="20" w:line="420" w:lineRule="exact"/>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伤残津贴</w:t>
            </w:r>
          </w:p>
        </w:tc>
        <w:tc>
          <w:tcPr>
            <w:tcW w:w="1422" w:type="dxa"/>
            <w:noWrap w:val="0"/>
            <w:vAlign w:val="top"/>
          </w:tcPr>
          <w:p>
            <w:pPr>
              <w:keepNext w:val="0"/>
              <w:keepLines w:val="0"/>
              <w:pageBreakBefore w:val="0"/>
              <w:widowControl w:val="0"/>
              <w:kinsoku/>
              <w:wordWrap/>
              <w:overflowPunct/>
              <w:topLinePunct w:val="0"/>
              <w:autoSpaceDE/>
              <w:autoSpaceDN/>
              <w:bidi w:val="0"/>
              <w:adjustRightInd/>
              <w:snapToGrid/>
              <w:spacing w:before="91" w:beforeLines="20" w:after="91" w:afterLines="20" w:line="420" w:lineRule="exact"/>
              <w:jc w:val="both"/>
              <w:textAlignment w:val="auto"/>
              <w:rPr>
                <w:rFonts w:hint="eastAsia" w:ascii="仿宋_GB2312" w:hAnsi="仿宋" w:eastAsia="仿宋_GB2312" w:cs="仿宋"/>
                <w:color w:val="000000"/>
                <w:sz w:val="28"/>
                <w:szCs w:val="28"/>
              </w:rPr>
            </w:pPr>
          </w:p>
        </w:tc>
        <w:tc>
          <w:tcPr>
            <w:tcW w:w="1516" w:type="dxa"/>
            <w:noWrap w:val="0"/>
            <w:vAlign w:val="top"/>
          </w:tcPr>
          <w:p>
            <w:pPr>
              <w:keepNext w:val="0"/>
              <w:keepLines w:val="0"/>
              <w:pageBreakBefore w:val="0"/>
              <w:widowControl w:val="0"/>
              <w:kinsoku/>
              <w:wordWrap/>
              <w:overflowPunct/>
              <w:topLinePunct w:val="0"/>
              <w:autoSpaceDE/>
              <w:autoSpaceDN/>
              <w:bidi w:val="0"/>
              <w:adjustRightInd/>
              <w:snapToGrid/>
              <w:spacing w:before="91" w:beforeLines="20" w:after="91" w:afterLines="20" w:line="420" w:lineRule="exact"/>
              <w:jc w:val="both"/>
              <w:textAlignment w:val="auto"/>
              <w:rPr>
                <w:rFonts w:hint="eastAsia" w:ascii="仿宋_GB2312" w:hAnsi="仿宋" w:eastAsia="仿宋_GB2312" w:cs="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noWrap w:val="0"/>
            <w:vAlign w:val="top"/>
          </w:tcPr>
          <w:p>
            <w:pPr>
              <w:keepNext w:val="0"/>
              <w:keepLines w:val="0"/>
              <w:pageBreakBefore w:val="0"/>
              <w:widowControl w:val="0"/>
              <w:kinsoku/>
              <w:wordWrap/>
              <w:overflowPunct/>
              <w:topLinePunct w:val="0"/>
              <w:autoSpaceDE/>
              <w:autoSpaceDN/>
              <w:bidi w:val="0"/>
              <w:adjustRightInd/>
              <w:snapToGrid/>
              <w:spacing w:before="91" w:beforeLines="20" w:after="91" w:afterLines="20" w:line="420" w:lineRule="exact"/>
              <w:jc w:val="center"/>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13</w:t>
            </w:r>
          </w:p>
        </w:tc>
        <w:tc>
          <w:tcPr>
            <w:tcW w:w="5319" w:type="dxa"/>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kinsoku/>
              <w:wordWrap/>
              <w:overflowPunct/>
              <w:topLinePunct w:val="0"/>
              <w:autoSpaceDE/>
              <w:autoSpaceDN/>
              <w:bidi w:val="0"/>
              <w:adjustRightInd/>
              <w:snapToGrid/>
              <w:spacing w:before="91" w:beforeLines="20" w:after="91" w:afterLines="20" w:line="420" w:lineRule="exact"/>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一次性工亡补助金</w:t>
            </w:r>
          </w:p>
        </w:tc>
        <w:tc>
          <w:tcPr>
            <w:tcW w:w="1422" w:type="dxa"/>
            <w:noWrap w:val="0"/>
            <w:vAlign w:val="top"/>
          </w:tcPr>
          <w:p>
            <w:pPr>
              <w:keepNext w:val="0"/>
              <w:keepLines w:val="0"/>
              <w:pageBreakBefore w:val="0"/>
              <w:widowControl w:val="0"/>
              <w:kinsoku/>
              <w:wordWrap/>
              <w:overflowPunct/>
              <w:topLinePunct w:val="0"/>
              <w:autoSpaceDE/>
              <w:autoSpaceDN/>
              <w:bidi w:val="0"/>
              <w:adjustRightInd/>
              <w:snapToGrid/>
              <w:spacing w:before="91" w:beforeLines="20" w:after="91" w:afterLines="20" w:line="420" w:lineRule="exact"/>
              <w:jc w:val="both"/>
              <w:textAlignment w:val="auto"/>
              <w:rPr>
                <w:rFonts w:hint="eastAsia" w:ascii="仿宋_GB2312" w:hAnsi="仿宋" w:eastAsia="仿宋_GB2312" w:cs="仿宋"/>
                <w:color w:val="000000"/>
                <w:sz w:val="28"/>
                <w:szCs w:val="28"/>
              </w:rPr>
            </w:pPr>
          </w:p>
        </w:tc>
        <w:tc>
          <w:tcPr>
            <w:tcW w:w="1516" w:type="dxa"/>
            <w:noWrap w:val="0"/>
            <w:vAlign w:val="top"/>
          </w:tcPr>
          <w:p>
            <w:pPr>
              <w:keepNext w:val="0"/>
              <w:keepLines w:val="0"/>
              <w:pageBreakBefore w:val="0"/>
              <w:widowControl w:val="0"/>
              <w:kinsoku/>
              <w:wordWrap/>
              <w:overflowPunct/>
              <w:topLinePunct w:val="0"/>
              <w:autoSpaceDE/>
              <w:autoSpaceDN/>
              <w:bidi w:val="0"/>
              <w:adjustRightInd/>
              <w:snapToGrid/>
              <w:spacing w:before="91" w:beforeLines="20" w:after="91" w:afterLines="20" w:line="420" w:lineRule="exact"/>
              <w:jc w:val="both"/>
              <w:textAlignment w:val="auto"/>
              <w:rPr>
                <w:rFonts w:hint="eastAsia" w:ascii="仿宋_GB2312" w:hAnsi="仿宋" w:eastAsia="仿宋_GB2312" w:cs="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noWrap w:val="0"/>
            <w:vAlign w:val="top"/>
          </w:tcPr>
          <w:p>
            <w:pPr>
              <w:keepNext w:val="0"/>
              <w:keepLines w:val="0"/>
              <w:pageBreakBefore w:val="0"/>
              <w:widowControl w:val="0"/>
              <w:kinsoku/>
              <w:wordWrap/>
              <w:overflowPunct/>
              <w:topLinePunct w:val="0"/>
              <w:autoSpaceDE/>
              <w:autoSpaceDN/>
              <w:bidi w:val="0"/>
              <w:adjustRightInd/>
              <w:snapToGrid/>
              <w:spacing w:before="91" w:beforeLines="20" w:after="91" w:afterLines="20" w:line="420" w:lineRule="exact"/>
              <w:jc w:val="center"/>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14</w:t>
            </w:r>
          </w:p>
        </w:tc>
        <w:tc>
          <w:tcPr>
            <w:tcW w:w="5319" w:type="dxa"/>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kinsoku/>
              <w:wordWrap/>
              <w:overflowPunct/>
              <w:topLinePunct w:val="0"/>
              <w:autoSpaceDE/>
              <w:autoSpaceDN/>
              <w:bidi w:val="0"/>
              <w:adjustRightInd/>
              <w:snapToGrid/>
              <w:spacing w:before="91" w:beforeLines="20" w:after="91" w:afterLines="20" w:line="420" w:lineRule="exact"/>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丧葬补助金</w:t>
            </w:r>
          </w:p>
        </w:tc>
        <w:tc>
          <w:tcPr>
            <w:tcW w:w="1422" w:type="dxa"/>
            <w:noWrap w:val="0"/>
            <w:vAlign w:val="top"/>
          </w:tcPr>
          <w:p>
            <w:pPr>
              <w:keepNext w:val="0"/>
              <w:keepLines w:val="0"/>
              <w:pageBreakBefore w:val="0"/>
              <w:widowControl w:val="0"/>
              <w:kinsoku/>
              <w:wordWrap/>
              <w:overflowPunct/>
              <w:topLinePunct w:val="0"/>
              <w:autoSpaceDE/>
              <w:autoSpaceDN/>
              <w:bidi w:val="0"/>
              <w:adjustRightInd/>
              <w:snapToGrid/>
              <w:spacing w:before="91" w:beforeLines="20" w:after="91" w:afterLines="20" w:line="420" w:lineRule="exact"/>
              <w:jc w:val="both"/>
              <w:textAlignment w:val="auto"/>
              <w:rPr>
                <w:rFonts w:hint="eastAsia" w:ascii="仿宋_GB2312" w:hAnsi="仿宋" w:eastAsia="仿宋_GB2312" w:cs="仿宋"/>
                <w:color w:val="000000"/>
                <w:sz w:val="28"/>
                <w:szCs w:val="28"/>
              </w:rPr>
            </w:pPr>
          </w:p>
        </w:tc>
        <w:tc>
          <w:tcPr>
            <w:tcW w:w="1516" w:type="dxa"/>
            <w:noWrap w:val="0"/>
            <w:vAlign w:val="top"/>
          </w:tcPr>
          <w:p>
            <w:pPr>
              <w:keepNext w:val="0"/>
              <w:keepLines w:val="0"/>
              <w:pageBreakBefore w:val="0"/>
              <w:widowControl w:val="0"/>
              <w:kinsoku/>
              <w:wordWrap/>
              <w:overflowPunct/>
              <w:topLinePunct w:val="0"/>
              <w:autoSpaceDE/>
              <w:autoSpaceDN/>
              <w:bidi w:val="0"/>
              <w:adjustRightInd/>
              <w:snapToGrid/>
              <w:spacing w:before="91" w:beforeLines="20" w:after="91" w:afterLines="20" w:line="420" w:lineRule="exact"/>
              <w:jc w:val="both"/>
              <w:textAlignment w:val="auto"/>
              <w:rPr>
                <w:rFonts w:hint="eastAsia" w:ascii="仿宋_GB2312" w:hAnsi="仿宋" w:eastAsia="仿宋_GB2312" w:cs="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noWrap w:val="0"/>
            <w:vAlign w:val="top"/>
          </w:tcPr>
          <w:p>
            <w:pPr>
              <w:keepNext w:val="0"/>
              <w:keepLines w:val="0"/>
              <w:pageBreakBefore w:val="0"/>
              <w:widowControl w:val="0"/>
              <w:kinsoku/>
              <w:wordWrap/>
              <w:overflowPunct/>
              <w:topLinePunct w:val="0"/>
              <w:autoSpaceDE/>
              <w:autoSpaceDN/>
              <w:bidi w:val="0"/>
              <w:adjustRightInd/>
              <w:snapToGrid/>
              <w:spacing w:before="91" w:beforeLines="20" w:after="91" w:afterLines="20" w:line="420" w:lineRule="exact"/>
              <w:jc w:val="center"/>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15</w:t>
            </w:r>
          </w:p>
        </w:tc>
        <w:tc>
          <w:tcPr>
            <w:tcW w:w="5319" w:type="dxa"/>
            <w:noWrap w:val="0"/>
            <w:vAlign w:val="top"/>
          </w:tcPr>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kinsoku/>
              <w:wordWrap/>
              <w:overflowPunct/>
              <w:topLinePunct w:val="0"/>
              <w:autoSpaceDE/>
              <w:autoSpaceDN/>
              <w:bidi w:val="0"/>
              <w:adjustRightInd/>
              <w:snapToGrid/>
              <w:spacing w:before="91" w:beforeLines="20" w:after="91" w:afterLines="20" w:line="420" w:lineRule="exact"/>
              <w:jc w:val="both"/>
              <w:textAlignment w:val="auto"/>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供养亲属抚恤金</w:t>
            </w:r>
          </w:p>
        </w:tc>
        <w:tc>
          <w:tcPr>
            <w:tcW w:w="1422" w:type="dxa"/>
            <w:noWrap w:val="0"/>
            <w:vAlign w:val="top"/>
          </w:tcPr>
          <w:p>
            <w:pPr>
              <w:keepNext w:val="0"/>
              <w:keepLines w:val="0"/>
              <w:pageBreakBefore w:val="0"/>
              <w:widowControl w:val="0"/>
              <w:kinsoku/>
              <w:wordWrap/>
              <w:overflowPunct/>
              <w:topLinePunct w:val="0"/>
              <w:autoSpaceDE/>
              <w:autoSpaceDN/>
              <w:bidi w:val="0"/>
              <w:adjustRightInd/>
              <w:snapToGrid/>
              <w:spacing w:before="91" w:beforeLines="20" w:after="91" w:afterLines="20" w:line="420" w:lineRule="exact"/>
              <w:jc w:val="both"/>
              <w:textAlignment w:val="auto"/>
              <w:rPr>
                <w:rFonts w:hint="eastAsia" w:ascii="仿宋_GB2312" w:hAnsi="仿宋" w:eastAsia="仿宋_GB2312" w:cs="仿宋"/>
                <w:color w:val="000000"/>
                <w:sz w:val="28"/>
                <w:szCs w:val="28"/>
              </w:rPr>
            </w:pPr>
          </w:p>
        </w:tc>
        <w:tc>
          <w:tcPr>
            <w:tcW w:w="1516" w:type="dxa"/>
            <w:noWrap w:val="0"/>
            <w:vAlign w:val="top"/>
          </w:tcPr>
          <w:p>
            <w:pPr>
              <w:keepNext w:val="0"/>
              <w:keepLines w:val="0"/>
              <w:pageBreakBefore w:val="0"/>
              <w:widowControl w:val="0"/>
              <w:kinsoku/>
              <w:wordWrap/>
              <w:overflowPunct/>
              <w:topLinePunct w:val="0"/>
              <w:autoSpaceDE/>
              <w:autoSpaceDN/>
              <w:bidi w:val="0"/>
              <w:adjustRightInd/>
              <w:snapToGrid/>
              <w:spacing w:before="91" w:beforeLines="20" w:after="91" w:afterLines="20" w:line="420" w:lineRule="exact"/>
              <w:jc w:val="both"/>
              <w:textAlignment w:val="auto"/>
              <w:rPr>
                <w:rFonts w:hint="eastAsia" w:ascii="仿宋_GB2312" w:hAnsi="仿宋" w:eastAsia="仿宋_GB2312" w:cs="仿宋"/>
                <w:color w:val="000000"/>
                <w:sz w:val="28"/>
                <w:szCs w:val="28"/>
              </w:rPr>
            </w:pPr>
          </w:p>
        </w:tc>
      </w:tr>
    </w:tbl>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522" w:firstLineChars="200"/>
        <w:jc w:val="both"/>
        <w:rPr>
          <w:rFonts w:hint="eastAsia" w:ascii="黑体" w:hAnsi="黑体" w:eastAsia="黑体" w:cs="仿宋"/>
          <w:bCs/>
          <w:color w:val="000000"/>
          <w:kern w:val="2"/>
          <w:sz w:val="28"/>
          <w:szCs w:val="28"/>
        </w:rPr>
      </w:pPr>
      <w:r>
        <w:rPr>
          <w:rFonts w:hint="eastAsia" w:ascii="仿宋" w:hAnsi="仿宋" w:eastAsia="仿宋" w:cs="仿宋"/>
          <w:color w:val="000000"/>
          <w:sz w:val="28"/>
          <w:szCs w:val="28"/>
        </w:rPr>
        <w:br w:type="page"/>
      </w:r>
      <w:bookmarkStart w:id="326" w:name="_Toc75114637"/>
      <w:r>
        <w:rPr>
          <w:rFonts w:hint="eastAsia" w:ascii="黑体" w:hAnsi="黑体" w:eastAsia="黑体" w:cs="仿宋"/>
          <w:bCs/>
          <w:color w:val="000000"/>
          <w:kern w:val="2"/>
          <w:sz w:val="28"/>
          <w:szCs w:val="28"/>
        </w:rPr>
        <w:t>四、风险告知书</w:t>
      </w:r>
      <w:bookmarkEnd w:id="326"/>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某某律所为帮助委托人避免常见的诉讼风险，根据《中华人民共和国民事诉讼法》、《中华人民共和国律师法》、《工伤保险条例》以及相关法律规定，现将常见的工伤纠纷案件诉讼风险提示如下：</w:t>
      </w:r>
    </w:p>
    <w:p>
      <w:pPr>
        <w:keepNext w:val="0"/>
        <w:keepLines w:val="0"/>
        <w:pageBreakBefore w:val="0"/>
        <w:widowControl w:val="0"/>
        <w:numPr>
          <w:ilvl w:val="0"/>
          <w:numId w:val="185"/>
        </w:numPr>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工伤认定</w:t>
      </w:r>
    </w:p>
    <w:p>
      <w:pPr>
        <w:keepNext w:val="0"/>
        <w:keepLines w:val="0"/>
        <w:pageBreakBefore w:val="0"/>
        <w:widowControl w:val="0"/>
        <w:numPr>
          <w:ilvl w:val="0"/>
          <w:numId w:val="186"/>
        </w:numPr>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工伤认定必须在规定时间内进行，超过法定申请时限，社会保险行政部门将不会受理工伤认定申请。</w:t>
      </w:r>
    </w:p>
    <w:p>
      <w:pPr>
        <w:keepNext w:val="0"/>
        <w:keepLines w:val="0"/>
        <w:pageBreakBefore w:val="0"/>
        <w:widowControl w:val="0"/>
        <w:numPr>
          <w:ilvl w:val="0"/>
          <w:numId w:val="186"/>
        </w:numPr>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必须根据社会保险行政部门的要求提供工伤认定的申请材料，否则社会保险行政部门可能会以证据不足为由作出不予认定工伤决定。</w:t>
      </w:r>
    </w:p>
    <w:p>
      <w:pPr>
        <w:keepNext w:val="0"/>
        <w:keepLines w:val="0"/>
        <w:pageBreakBefore w:val="0"/>
        <w:widowControl w:val="0"/>
        <w:numPr>
          <w:ilvl w:val="0"/>
          <w:numId w:val="185"/>
        </w:numPr>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仲裁申请、起诉、请求与时效</w:t>
      </w:r>
    </w:p>
    <w:p>
      <w:pPr>
        <w:keepNext w:val="0"/>
        <w:keepLines w:val="0"/>
        <w:pageBreakBefore w:val="0"/>
        <w:widowControl w:val="0"/>
        <w:numPr>
          <w:ilvl w:val="0"/>
          <w:numId w:val="187"/>
        </w:numPr>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left="0"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仲裁申请、起诉不符合法律规定条件的，劳动人事争议仲裁委员会或人民法院不会受理，即使受理也会驳回起诉。委托人起诉不符合管辖规定的，案件将会被移送到有权管辖的人民法院审理。</w:t>
      </w:r>
    </w:p>
    <w:p>
      <w:pPr>
        <w:keepNext w:val="0"/>
        <w:keepLines w:val="0"/>
        <w:pageBreakBefore w:val="0"/>
        <w:widowControl w:val="0"/>
        <w:numPr>
          <w:ilvl w:val="0"/>
          <w:numId w:val="187"/>
        </w:numPr>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left="0"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增加、变更诉讼请求或者提出反诉，超过仲裁时效或人民法院许可或者指定期限的，可能不被审理。</w:t>
      </w:r>
    </w:p>
    <w:p>
      <w:pPr>
        <w:keepNext w:val="0"/>
        <w:keepLines w:val="0"/>
        <w:pageBreakBefore w:val="0"/>
        <w:widowControl w:val="0"/>
        <w:numPr>
          <w:ilvl w:val="0"/>
          <w:numId w:val="187"/>
        </w:numPr>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left="0"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请求人民法院保护民事权利的起诉已超过诉讼时效的，如果原告没有对导致超过诉讼时效的事实提供证据证明，其诉讼请求不会得到人民法院的支持。</w:t>
      </w:r>
    </w:p>
    <w:p>
      <w:pPr>
        <w:keepNext w:val="0"/>
        <w:keepLines w:val="0"/>
        <w:pageBreakBefore w:val="0"/>
        <w:widowControl w:val="0"/>
        <w:numPr>
          <w:ilvl w:val="0"/>
          <w:numId w:val="187"/>
        </w:numPr>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left="0"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起诉或者上诉，不按时预交诉讼费用，或者提出缓交、减交、免交诉讼费用申请未获批准仍不交纳诉讼费用的，人民法院将会按自动撤回起诉、上诉处理。</w:t>
      </w:r>
    </w:p>
    <w:p>
      <w:pPr>
        <w:keepNext w:val="0"/>
        <w:keepLines w:val="0"/>
        <w:pageBreakBefore w:val="0"/>
        <w:widowControl w:val="0"/>
        <w:numPr>
          <w:ilvl w:val="0"/>
          <w:numId w:val="187"/>
        </w:numPr>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left="0"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申请财产保全，应当按规定交纳保全费用而没有交纳的，人民法院不会对申请保全的财产采取保全措施。委托人提出财产保全申请，未按人民法院要求提供相应财产担保的，人民法院将依法驳回其申请。申请人申请财产保全有错误的，将要赔偿被申请人因财产保全所受到的损失。</w:t>
      </w:r>
    </w:p>
    <w:p>
      <w:pPr>
        <w:keepNext w:val="0"/>
        <w:keepLines w:val="0"/>
        <w:pageBreakBefore w:val="0"/>
        <w:widowControl w:val="0"/>
        <w:numPr>
          <w:ilvl w:val="0"/>
          <w:numId w:val="187"/>
        </w:numPr>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left="0"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人民法院按照委托人自己提供的送达地址送达诉讼文书时，因委托人提供的己方送达地址不准确，或者送达地址变更未及时告知人民法院，致使人民法院无法送达，造成诉讼文书被退回的，诉讼文书也视为送达。</w:t>
      </w:r>
    </w:p>
    <w:p>
      <w:pPr>
        <w:keepNext w:val="0"/>
        <w:keepLines w:val="0"/>
        <w:pageBreakBefore w:val="0"/>
        <w:widowControl w:val="0"/>
        <w:numPr>
          <w:ilvl w:val="0"/>
          <w:numId w:val="185"/>
        </w:numPr>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证据材料</w:t>
      </w:r>
    </w:p>
    <w:p>
      <w:pPr>
        <w:keepNext w:val="0"/>
        <w:keepLines w:val="0"/>
        <w:pageBreakBefore w:val="0"/>
        <w:widowControl w:val="0"/>
        <w:numPr>
          <w:ilvl w:val="0"/>
          <w:numId w:val="188"/>
        </w:numPr>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诉讼请求或者反驳对方的诉讼请求，应提供证据证明。律师不具有强制取证的权利，根据委托人的线索仍无法取得充分的证据，则可能面临不利的裁判后果。</w:t>
      </w:r>
    </w:p>
    <w:p>
      <w:pPr>
        <w:keepNext w:val="0"/>
        <w:keepLines w:val="0"/>
        <w:pageBreakBefore w:val="0"/>
        <w:widowControl w:val="0"/>
        <w:numPr>
          <w:ilvl w:val="0"/>
          <w:numId w:val="188"/>
        </w:numPr>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向人民法院提交的证据，应当在法院指定的期限内完成。否则人民法院可能视其放弃了举证的权利。</w:t>
      </w:r>
    </w:p>
    <w:p>
      <w:pPr>
        <w:keepNext w:val="0"/>
        <w:keepLines w:val="0"/>
        <w:pageBreakBefore w:val="0"/>
        <w:widowControl w:val="0"/>
        <w:numPr>
          <w:ilvl w:val="0"/>
          <w:numId w:val="188"/>
        </w:numPr>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证据应当提供原件或者原物，或经人民法院核对无异的复制件或者复制品。否则可能不被采信。</w:t>
      </w:r>
    </w:p>
    <w:p>
      <w:pPr>
        <w:keepNext w:val="0"/>
        <w:keepLines w:val="0"/>
        <w:pageBreakBefore w:val="0"/>
        <w:widowControl w:val="0"/>
        <w:numPr>
          <w:ilvl w:val="0"/>
          <w:numId w:val="188"/>
        </w:numPr>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证人证言需证人出庭作证并接受质询，否则可能会不被采信。</w:t>
      </w:r>
    </w:p>
    <w:p>
      <w:pPr>
        <w:keepNext w:val="0"/>
        <w:keepLines w:val="0"/>
        <w:pageBreakBefore w:val="0"/>
        <w:widowControl w:val="0"/>
        <w:numPr>
          <w:ilvl w:val="0"/>
          <w:numId w:val="185"/>
        </w:numPr>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审理与执行</w:t>
      </w:r>
    </w:p>
    <w:p>
      <w:pPr>
        <w:keepNext w:val="0"/>
        <w:keepLines w:val="0"/>
        <w:pageBreakBefore w:val="0"/>
        <w:widowControl w:val="0"/>
        <w:numPr>
          <w:ilvl w:val="0"/>
          <w:numId w:val="189"/>
        </w:numPr>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left="0"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原告经传票传唤，无正当理由拒不到庭，或者未经法庭许可中途退出法庭的，人民法院将按自动撤回起诉处理；被告反诉的，人民法院将对反诉的内容缺席审判。被告经传票传唤，无正当理由拒不到庭，或者未经法庭许可中途退出法庭的，人民法院将缺席判决。</w:t>
      </w:r>
    </w:p>
    <w:p>
      <w:pPr>
        <w:keepNext w:val="0"/>
        <w:keepLines w:val="0"/>
        <w:pageBreakBefore w:val="0"/>
        <w:widowControl w:val="0"/>
        <w:numPr>
          <w:ilvl w:val="0"/>
          <w:numId w:val="189"/>
        </w:numPr>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left="0"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超过期限向人民法院申请强制执行的，人民法院不予受理。</w:t>
      </w:r>
    </w:p>
    <w:p>
      <w:pPr>
        <w:keepNext w:val="0"/>
        <w:keepLines w:val="0"/>
        <w:pageBreakBefore w:val="0"/>
        <w:widowControl w:val="0"/>
        <w:numPr>
          <w:ilvl w:val="0"/>
          <w:numId w:val="189"/>
        </w:numPr>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left="0"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被执行人没有财产或者没有足够财产履行生效法律文书确定义务的，人民法院可能对未履行的部分裁定中止执行，申请执行人的财产权益将可能暂时无法实现或者不能完全实现。</w:t>
      </w:r>
    </w:p>
    <w:p>
      <w:pPr>
        <w:keepNext w:val="0"/>
        <w:keepLines w:val="0"/>
        <w:pageBreakBefore w:val="0"/>
        <w:widowControl w:val="0"/>
        <w:numPr>
          <w:ilvl w:val="0"/>
          <w:numId w:val="185"/>
        </w:numPr>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律师代理</w:t>
      </w:r>
    </w:p>
    <w:p>
      <w:pPr>
        <w:keepNext w:val="0"/>
        <w:keepLines w:val="0"/>
        <w:pageBreakBefore w:val="0"/>
        <w:widowControl w:val="0"/>
        <w:numPr>
          <w:ilvl w:val="0"/>
          <w:numId w:val="190"/>
        </w:numPr>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委托人向律师作虚假陈述、提供虚假证据，将会导致律师作出错误分析和判断，对此律师所及律师不承担责任。</w:t>
      </w:r>
    </w:p>
    <w:p>
      <w:pPr>
        <w:keepNext w:val="0"/>
        <w:keepLines w:val="0"/>
        <w:pageBreakBefore w:val="0"/>
        <w:widowControl w:val="0"/>
        <w:numPr>
          <w:ilvl w:val="0"/>
          <w:numId w:val="190"/>
        </w:numPr>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因众多不确定因素的存在，律师对委托事项的分析是基于委托人陈述和证据，在维护委托人权益的立场上根据自己的专业知识所作的法律判断，并不代表结果的必然性，</w:t>
      </w:r>
      <w:r>
        <w:rPr>
          <w:rFonts w:hint="eastAsia" w:ascii="仿宋_GB2312" w:hAnsi="仿宋" w:eastAsia="仿宋_GB2312" w:cs="仿宋"/>
          <w:b/>
          <w:bCs/>
          <w:color w:val="000000"/>
          <w:sz w:val="28"/>
          <w:szCs w:val="28"/>
        </w:rPr>
        <w:t>律师对代理结果不作承诺和保证（即律师不包赢）。</w:t>
      </w:r>
    </w:p>
    <w:p>
      <w:pPr>
        <w:keepNext w:val="0"/>
        <w:keepLines w:val="0"/>
        <w:pageBreakBefore w:val="0"/>
        <w:widowControl w:val="0"/>
        <w:numPr>
          <w:ilvl w:val="0"/>
          <w:numId w:val="190"/>
        </w:numPr>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诉讼中各种法律文书均具有一定的法律效力，委托人在签署任何法律文书时应当全面阅读和理解后签署，法律文书经委托人签署则视为委托人对其中内容的认可。</w:t>
      </w:r>
    </w:p>
    <w:p>
      <w:pPr>
        <w:keepNext w:val="0"/>
        <w:keepLines w:val="0"/>
        <w:pageBreakBefore w:val="0"/>
        <w:widowControl w:val="0"/>
        <w:numPr>
          <w:ilvl w:val="0"/>
          <w:numId w:val="190"/>
        </w:numPr>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委托律师代理业务应当与律师事务所而非个人签订委托合同，委托合同必须有律师事务所的盖章，所有律师费必须在合同中明确约定并缴纳给律师事务所或打入律师事务所账户，否则，因此造成的不利后果由委托人自行承担，律师事务所对此不承担责任。</w:t>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如您已经阅读和完全理解上述风险告知内容，请您签字确认，并留下您的联系方式。欢迎向我所提出宝贵意见和建议，并进行监督，电话：           </w:t>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u w:val="single"/>
        </w:rPr>
      </w:pPr>
      <w:r>
        <w:rPr>
          <w:rFonts w:hint="eastAsia" w:ascii="仿宋_GB2312" w:hAnsi="仿宋" w:eastAsia="仿宋_GB2312" w:cs="仿宋"/>
          <w:color w:val="000000"/>
          <w:sz w:val="28"/>
          <w:szCs w:val="28"/>
        </w:rPr>
        <w:t>委托人签字确认：</w:t>
      </w:r>
      <w:r>
        <w:rPr>
          <w:rFonts w:hint="eastAsia" w:ascii="仿宋_GB2312" w:hAnsi="仿宋" w:eastAsia="仿宋_GB2312" w:cs="仿宋"/>
          <w:color w:val="000000"/>
          <w:sz w:val="28"/>
          <w:szCs w:val="28"/>
          <w:u w:val="single"/>
        </w:rPr>
        <w:t xml:space="preserve">                    </w:t>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u w:val="single"/>
        </w:rPr>
      </w:pPr>
      <w:r>
        <w:rPr>
          <w:rFonts w:hint="eastAsia" w:ascii="仿宋_GB2312" w:hAnsi="仿宋" w:eastAsia="仿宋_GB2312" w:cs="仿宋"/>
          <w:color w:val="000000"/>
          <w:sz w:val="28"/>
          <w:szCs w:val="28"/>
        </w:rPr>
        <w:t>签署时间：</w:t>
      </w:r>
      <w:r>
        <w:rPr>
          <w:rFonts w:hint="eastAsia" w:ascii="仿宋_GB2312" w:hAnsi="仿宋" w:eastAsia="仿宋_GB2312" w:cs="仿宋"/>
          <w:color w:val="000000"/>
          <w:sz w:val="28"/>
          <w:szCs w:val="28"/>
          <w:u w:val="single"/>
        </w:rPr>
        <w:t xml:space="preserve">                          </w:t>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522" w:firstLineChars="200"/>
        <w:jc w:val="both"/>
        <w:rPr>
          <w:rFonts w:hint="eastAsia" w:ascii="仿宋" w:hAnsi="仿宋" w:eastAsia="仿宋" w:cs="仿宋"/>
          <w:color w:val="000000"/>
          <w:sz w:val="28"/>
          <w:szCs w:val="28"/>
          <w:u w:val="single"/>
        </w:rPr>
      </w:pPr>
      <w:r>
        <w:rPr>
          <w:rFonts w:hint="eastAsia" w:ascii="仿宋_GB2312" w:hAnsi="仿宋" w:eastAsia="仿宋_GB2312" w:cs="仿宋"/>
          <w:color w:val="000000"/>
          <w:sz w:val="28"/>
          <w:szCs w:val="28"/>
        </w:rPr>
        <w:t>联系方式：</w:t>
      </w:r>
      <w:r>
        <w:rPr>
          <w:rFonts w:hint="eastAsia" w:ascii="仿宋_GB2312" w:hAnsi="仿宋" w:eastAsia="仿宋_GB2312" w:cs="仿宋"/>
          <w:color w:val="000000"/>
          <w:sz w:val="28"/>
          <w:szCs w:val="28"/>
          <w:u w:val="single"/>
        </w:rPr>
        <w:t xml:space="preserve">                     </w:t>
      </w:r>
      <w:r>
        <w:rPr>
          <w:rFonts w:hint="eastAsia" w:ascii="仿宋" w:hAnsi="仿宋" w:eastAsia="仿宋" w:cs="仿宋"/>
          <w:color w:val="000000"/>
          <w:sz w:val="28"/>
          <w:szCs w:val="28"/>
          <w:u w:val="single"/>
        </w:rPr>
        <w:t xml:space="preserve">     </w:t>
      </w:r>
    </w:p>
    <w:p>
      <w:pPr>
        <w:keepNext w:val="0"/>
        <w:keepLines w:val="0"/>
        <w:pageBreakBefore w:val="0"/>
        <w:widowControl w:val="0"/>
        <w:wordWrap/>
        <w:bidi w:val="0"/>
        <w:rPr>
          <w:rFonts w:hint="eastAsia" w:ascii="Calibri" w:hAnsi="Calibri" w:eastAsia="仿宋" w:cs="Calibri"/>
          <w:color w:val="000000"/>
          <w:sz w:val="28"/>
          <w:szCs w:val="28"/>
          <w:u w:val="single"/>
        </w:rPr>
      </w:pPr>
    </w:p>
    <w:p>
      <w:pPr>
        <w:keepNext w:val="0"/>
        <w:keepLines w:val="0"/>
        <w:pageBreakBefore w:val="0"/>
        <w:widowControl w:val="0"/>
        <w:wordWrap/>
        <w:bidi w:val="0"/>
        <w:jc w:val="left"/>
        <w:rPr>
          <w:rFonts w:hint="eastAsia" w:ascii="黑体" w:hAnsi="黑体" w:eastAsia="黑体" w:cs="Calibri"/>
          <w:color w:val="000000"/>
          <w:sz w:val="28"/>
          <w:szCs w:val="28"/>
        </w:rPr>
      </w:pPr>
      <w:bookmarkStart w:id="327" w:name="_Toc75114638"/>
      <w:r>
        <w:rPr>
          <w:rFonts w:hint="eastAsia" w:ascii="黑体" w:hAnsi="黑体" w:eastAsia="黑体" w:cs="Calibri"/>
          <w:color w:val="000000"/>
          <w:sz w:val="28"/>
          <w:szCs w:val="28"/>
        </w:rPr>
        <w:t xml:space="preserve">  </w:t>
      </w:r>
    </w:p>
    <w:p>
      <w:pPr>
        <w:keepNext w:val="0"/>
        <w:keepLines w:val="0"/>
        <w:pageBreakBefore w:val="0"/>
        <w:widowControl w:val="0"/>
        <w:wordWrap/>
        <w:bidi w:val="0"/>
        <w:jc w:val="left"/>
        <w:rPr>
          <w:rFonts w:hint="eastAsia" w:ascii="黑体" w:hAnsi="黑体" w:eastAsia="黑体" w:cs="Calibri"/>
          <w:color w:val="000000"/>
          <w:sz w:val="28"/>
          <w:szCs w:val="28"/>
        </w:rPr>
      </w:pPr>
    </w:p>
    <w:p>
      <w:pPr>
        <w:keepNext w:val="0"/>
        <w:keepLines w:val="0"/>
        <w:pageBreakBefore w:val="0"/>
        <w:widowControl w:val="0"/>
        <w:wordWrap/>
        <w:bidi w:val="0"/>
        <w:jc w:val="left"/>
        <w:rPr>
          <w:rFonts w:hint="eastAsia" w:ascii="黑体" w:hAnsi="黑体" w:eastAsia="黑体" w:cs="Calibri"/>
          <w:color w:val="000000"/>
          <w:sz w:val="28"/>
          <w:szCs w:val="28"/>
        </w:rPr>
      </w:pPr>
    </w:p>
    <w:p>
      <w:pPr>
        <w:keepNext w:val="0"/>
        <w:keepLines w:val="0"/>
        <w:pageBreakBefore w:val="0"/>
        <w:widowControl w:val="0"/>
        <w:wordWrap/>
        <w:bidi w:val="0"/>
        <w:jc w:val="left"/>
        <w:rPr>
          <w:rFonts w:hint="eastAsia" w:ascii="黑体" w:hAnsi="黑体" w:eastAsia="黑体" w:cs="Calibri"/>
          <w:color w:val="000000"/>
          <w:sz w:val="28"/>
          <w:szCs w:val="28"/>
        </w:rPr>
      </w:pPr>
    </w:p>
    <w:p>
      <w:pPr>
        <w:keepNext w:val="0"/>
        <w:keepLines w:val="0"/>
        <w:pageBreakBefore w:val="0"/>
        <w:widowControl w:val="0"/>
        <w:wordWrap/>
        <w:bidi w:val="0"/>
        <w:jc w:val="left"/>
        <w:rPr>
          <w:rFonts w:hint="eastAsia" w:ascii="黑体" w:hAnsi="黑体" w:eastAsia="黑体" w:cs="Calibri"/>
          <w:color w:val="000000"/>
          <w:sz w:val="28"/>
          <w:szCs w:val="28"/>
        </w:rPr>
      </w:pPr>
    </w:p>
    <w:p>
      <w:pPr>
        <w:keepNext w:val="0"/>
        <w:keepLines w:val="0"/>
        <w:pageBreakBefore w:val="0"/>
        <w:widowControl w:val="0"/>
        <w:wordWrap/>
        <w:bidi w:val="0"/>
        <w:jc w:val="left"/>
        <w:rPr>
          <w:rFonts w:hint="eastAsia" w:ascii="仿宋" w:hAnsi="仿宋" w:eastAsia="仿宋" w:cs="仿宋"/>
          <w:b/>
          <w:bCs/>
          <w:color w:val="000000"/>
          <w:kern w:val="2"/>
          <w:sz w:val="28"/>
          <w:szCs w:val="28"/>
          <w:lang w:eastAsia="en-US"/>
        </w:rPr>
      </w:pPr>
      <w:r>
        <w:rPr>
          <w:rFonts w:hint="eastAsia" w:ascii="黑体" w:hAnsi="黑体" w:eastAsia="黑体" w:cs="仿宋"/>
          <w:bCs/>
          <w:color w:val="000000"/>
          <w:kern w:val="2"/>
          <w:sz w:val="28"/>
          <w:szCs w:val="28"/>
        </w:rPr>
        <w:t>五、</w:t>
      </w:r>
      <w:r>
        <w:rPr>
          <w:rFonts w:hint="eastAsia" w:ascii="黑体" w:hAnsi="黑体" w:eastAsia="黑体" w:cs="仿宋"/>
          <w:bCs/>
          <w:color w:val="000000"/>
          <w:kern w:val="2"/>
          <w:sz w:val="28"/>
          <w:szCs w:val="28"/>
          <w:lang w:eastAsia="en-US"/>
        </w:rPr>
        <w:t>和解协议</w:t>
      </w:r>
      <w:bookmarkEnd w:id="327"/>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522" w:firstLineChars="200"/>
        <w:jc w:val="both"/>
        <w:rPr>
          <w:rFonts w:hint="eastAsia" w:ascii="仿宋" w:hAnsi="仿宋" w:eastAsia="仿宋" w:cs="仿宋"/>
          <w:color w:val="000000"/>
          <w:sz w:val="28"/>
          <w:szCs w:val="28"/>
        </w:rPr>
      </w:pP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甲方：</w:t>
      </w:r>
      <w:r>
        <w:rPr>
          <w:rFonts w:hint="eastAsia" w:ascii="仿宋_GB2312" w:hAnsi="仿宋" w:eastAsia="仿宋_GB2312" w:cs="仿宋"/>
          <w:color w:val="000000"/>
          <w:sz w:val="28"/>
          <w:szCs w:val="28"/>
          <w:u w:val="single"/>
        </w:rPr>
        <w:t xml:space="preserve">                      </w:t>
      </w:r>
      <w:r>
        <w:rPr>
          <w:rFonts w:hint="eastAsia" w:ascii="仿宋_GB2312" w:hAnsi="仿宋" w:eastAsia="仿宋_GB2312" w:cs="仿宋"/>
          <w:color w:val="000000"/>
          <w:sz w:val="28"/>
          <w:szCs w:val="28"/>
        </w:rPr>
        <w:t>公司</w:t>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法定代表人：</w:t>
      </w:r>
      <w:r>
        <w:rPr>
          <w:rFonts w:hint="eastAsia" w:ascii="仿宋_GB2312" w:hAnsi="仿宋" w:eastAsia="仿宋_GB2312" w:cs="仿宋"/>
          <w:color w:val="000000"/>
          <w:sz w:val="28"/>
          <w:szCs w:val="28"/>
          <w:u w:val="single"/>
        </w:rPr>
        <w:t xml:space="preserve">             </w:t>
      </w:r>
      <w:r>
        <w:rPr>
          <w:rFonts w:hint="eastAsia" w:ascii="仿宋_GB2312" w:hAnsi="仿宋" w:eastAsia="仿宋_GB2312" w:cs="仿宋"/>
          <w:color w:val="000000"/>
          <w:sz w:val="28"/>
          <w:szCs w:val="28"/>
        </w:rPr>
        <w:t>，</w:t>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u w:val="single"/>
        </w:rPr>
      </w:pPr>
      <w:r>
        <w:rPr>
          <w:rFonts w:hint="eastAsia" w:ascii="仿宋_GB2312" w:hAnsi="仿宋" w:eastAsia="仿宋_GB2312" w:cs="仿宋"/>
          <w:color w:val="000000"/>
          <w:sz w:val="28"/>
          <w:szCs w:val="28"/>
        </w:rPr>
        <w:t>地址：</w:t>
      </w:r>
      <w:r>
        <w:rPr>
          <w:rFonts w:hint="eastAsia" w:ascii="仿宋_GB2312" w:hAnsi="仿宋" w:eastAsia="仿宋_GB2312" w:cs="仿宋"/>
          <w:color w:val="000000"/>
          <w:sz w:val="28"/>
          <w:szCs w:val="28"/>
          <w:u w:val="single"/>
        </w:rPr>
        <w:t xml:space="preserve">                      </w:t>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乙方：</w:t>
      </w:r>
      <w:r>
        <w:rPr>
          <w:rFonts w:hint="eastAsia" w:ascii="仿宋_GB2312" w:hAnsi="仿宋" w:eastAsia="仿宋_GB2312" w:cs="仿宋"/>
          <w:color w:val="000000"/>
          <w:sz w:val="28"/>
          <w:szCs w:val="28"/>
          <w:u w:val="single"/>
        </w:rPr>
        <w:t xml:space="preserve">           </w:t>
      </w:r>
      <w:r>
        <w:rPr>
          <w:rFonts w:hint="eastAsia" w:ascii="仿宋_GB2312" w:hAnsi="仿宋" w:eastAsia="仿宋_GB2312" w:cs="仿宋"/>
          <w:color w:val="000000"/>
          <w:sz w:val="28"/>
          <w:szCs w:val="28"/>
        </w:rPr>
        <w:t xml:space="preserve"> ，公民身份号码：</w:t>
      </w:r>
      <w:r>
        <w:rPr>
          <w:rFonts w:hint="eastAsia" w:ascii="仿宋_GB2312" w:hAnsi="仿宋" w:eastAsia="仿宋_GB2312" w:cs="仿宋"/>
          <w:color w:val="000000"/>
          <w:sz w:val="28"/>
          <w:szCs w:val="28"/>
          <w:u w:val="single"/>
        </w:rPr>
        <w:t xml:space="preserve">              </w:t>
      </w:r>
      <w:r>
        <w:rPr>
          <w:rFonts w:hint="eastAsia" w:ascii="仿宋_GB2312" w:hAnsi="仿宋" w:eastAsia="仿宋_GB2312" w:cs="仿宋"/>
          <w:color w:val="000000"/>
          <w:sz w:val="28"/>
          <w:szCs w:val="28"/>
        </w:rPr>
        <w:t>，住</w:t>
      </w:r>
      <w:r>
        <w:rPr>
          <w:rFonts w:hint="eastAsia" w:ascii="仿宋_GB2312" w:hAnsi="仿宋" w:eastAsia="仿宋_GB2312" w:cs="仿宋"/>
          <w:color w:val="000000"/>
          <w:sz w:val="28"/>
          <w:szCs w:val="28"/>
          <w:u w:val="single"/>
        </w:rPr>
        <w:t xml:space="preserve">                      </w:t>
      </w:r>
      <w:r>
        <w:rPr>
          <w:rFonts w:hint="eastAsia" w:ascii="仿宋_GB2312" w:hAnsi="仿宋" w:eastAsia="仿宋_GB2312" w:cs="仿宋"/>
          <w:color w:val="000000"/>
          <w:sz w:val="28"/>
          <w:szCs w:val="28"/>
        </w:rPr>
        <w:t>，联系电话：</w:t>
      </w:r>
      <w:r>
        <w:rPr>
          <w:rFonts w:hint="eastAsia" w:ascii="仿宋_GB2312" w:hAnsi="仿宋" w:eastAsia="仿宋_GB2312" w:cs="仿宋"/>
          <w:color w:val="000000"/>
          <w:sz w:val="28"/>
          <w:szCs w:val="28"/>
          <w:u w:val="single"/>
        </w:rPr>
        <w:t xml:space="preserve">             </w:t>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就乙方于     年     月    日在     受伤一事，甲、乙双方秉承着平等协商、互谅互让的原则，自愿达成如下协议：</w:t>
      </w:r>
    </w:p>
    <w:p>
      <w:pPr>
        <w:keepNext w:val="0"/>
        <w:keepLines w:val="0"/>
        <w:pageBreakBefore w:val="0"/>
        <w:widowControl w:val="0"/>
        <w:numPr>
          <w:ilvl w:val="0"/>
          <w:numId w:val="191"/>
        </w:numPr>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甲方向乙方支付一次性补偿费用为     元（包括但不限于医疗费、后续治疗费、住院伙食补助费、停工留薪费、护理费、交通费、鉴定费、一次性伤残补助金、一次性工伤医疗补助金、一次性伤残就业补助金）。</w:t>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上述款项      元由甲方通过甲方的公账（户名：      ，开户银行：        ；账号：                ）在    年      月      日前转到乙方指定账户（户名：      ，开户银行：     ；账号：             ）。</w:t>
      </w:r>
    </w:p>
    <w:p>
      <w:pPr>
        <w:keepNext w:val="0"/>
        <w:keepLines w:val="0"/>
        <w:pageBreakBefore w:val="0"/>
        <w:widowControl w:val="0"/>
        <w:numPr>
          <w:ilvl w:val="0"/>
          <w:numId w:val="191"/>
        </w:numPr>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在甲方依本协议约定支付上述款项      元后，甲、乙双方再无争议，乙方不得再以任何事由和任何方式向甲方或甲方关联方主张权利，或向有关部门进行投诉、申诉、起诉等。</w:t>
      </w:r>
    </w:p>
    <w:p>
      <w:pPr>
        <w:keepNext w:val="0"/>
        <w:keepLines w:val="0"/>
        <w:pageBreakBefore w:val="0"/>
        <w:widowControl w:val="0"/>
        <w:numPr>
          <w:ilvl w:val="0"/>
          <w:numId w:val="191"/>
        </w:numPr>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乙方如违反上述约定，应无条件退还甲方已支付的全部款项     万元，并向甲方支付违约金    元。</w:t>
      </w:r>
    </w:p>
    <w:p>
      <w:pPr>
        <w:keepNext w:val="0"/>
        <w:keepLines w:val="0"/>
        <w:pageBreakBefore w:val="0"/>
        <w:widowControl w:val="0"/>
        <w:numPr>
          <w:ilvl w:val="0"/>
          <w:numId w:val="191"/>
        </w:numPr>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本协议在履行过程中，如有纠纷，双方应友好协商解决，协商不成，则提交本协议签订地    人民法院进行司法处理。双方在协议首部约定的联系方式为合法有效的送达方式，适用于本协议相关事宜处理的全部阶段，如有变更，应书面通知对方方为有效。</w:t>
      </w:r>
    </w:p>
    <w:p>
      <w:pPr>
        <w:keepNext w:val="0"/>
        <w:keepLines w:val="0"/>
        <w:pageBreakBefore w:val="0"/>
        <w:widowControl w:val="0"/>
        <w:numPr>
          <w:ilvl w:val="0"/>
          <w:numId w:val="191"/>
        </w:numPr>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本协议由甲乙双方签字或盖章后生效，本协议一式四份，甲方持三份，乙方持一份，具有同等法律效力。</w:t>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甲方：                        乙方：</w:t>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授权代表：      </w:t>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w:t>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年    月     日               年      月      日</w:t>
      </w:r>
    </w:p>
    <w:p>
      <w:pPr>
        <w:keepNext w:val="0"/>
        <w:keepLines w:val="0"/>
        <w:pageBreakBefore w:val="0"/>
        <w:widowControl w:val="0"/>
        <w:pBdr>
          <w:top w:val="none" w:color="000000" w:sz="0" w:space="0"/>
          <w:left w:val="none" w:color="000000" w:sz="0" w:space="0"/>
          <w:bottom w:val="none" w:color="000000" w:sz="0" w:space="0"/>
          <w:right w:val="none" w:color="000000" w:sz="0" w:space="0"/>
          <w:between w:val="none" w:color="000000" w:sz="0" w:space="0"/>
        </w:pBdr>
        <w:shd w:val="clear" w:color="auto" w:fill="FFFFFF"/>
        <w:wordWrap/>
        <w:bidi w:val="0"/>
        <w:adjustRightInd/>
        <w:snapToGrid/>
        <w:spacing w:before="227" w:beforeLines="50" w:after="227" w:afterLines="50" w:line="500" w:lineRule="exact"/>
        <w:ind w:firstLine="442" w:firstLineChars="200"/>
        <w:jc w:val="both"/>
        <w:rPr>
          <w:rFonts w:ascii="Calibri" w:hAnsi="Calibri" w:eastAsia="仿宋" w:cs="Calibri"/>
          <w:color w:val="000000"/>
          <w:sz w:val="24"/>
          <w:szCs w:val="21"/>
        </w:rPr>
      </w:pPr>
    </w:p>
    <w:p>
      <w:pPr>
        <w:pStyle w:val="28"/>
        <w:keepNext w:val="0"/>
        <w:keepLines w:val="0"/>
        <w:pageBreakBefore w:val="0"/>
        <w:widowControl w:val="0"/>
        <w:shd w:val="clear" w:color="auto" w:fill="FFFFFF"/>
        <w:wordWrap/>
        <w:bidi w:val="0"/>
        <w:spacing w:before="227" w:beforeLines="50" w:beforeAutospacing="0" w:after="227" w:afterLines="50" w:afterAutospacing="0" w:line="500" w:lineRule="exact"/>
        <w:ind w:right="1204"/>
        <w:jc w:val="center"/>
        <w:rPr>
          <w:rFonts w:hint="eastAsia" w:ascii="方正小标宋简体" w:hAnsi="方正小标宋简体" w:eastAsia="方正小标宋简体" w:cs="方正小标宋简体"/>
          <w:b/>
          <w:bCs/>
          <w:color w:val="000000"/>
          <w:sz w:val="40"/>
          <w:szCs w:val="40"/>
        </w:rPr>
      </w:pPr>
    </w:p>
    <w:p>
      <w:pPr>
        <w:pStyle w:val="28"/>
        <w:keepNext w:val="0"/>
        <w:keepLines w:val="0"/>
        <w:pageBreakBefore w:val="0"/>
        <w:widowControl w:val="0"/>
        <w:shd w:val="clear" w:color="auto" w:fill="FFFFFF"/>
        <w:wordWrap/>
        <w:bidi w:val="0"/>
        <w:spacing w:before="227" w:beforeLines="50" w:beforeAutospacing="0" w:after="227" w:afterLines="50" w:afterAutospacing="0" w:line="500" w:lineRule="exact"/>
        <w:ind w:right="1204"/>
        <w:jc w:val="center"/>
        <w:rPr>
          <w:rFonts w:hint="eastAsia" w:ascii="方正小标宋简体" w:hAnsi="方正小标宋简体" w:eastAsia="方正小标宋简体" w:cs="方正小标宋简体"/>
          <w:b/>
          <w:bCs/>
          <w:color w:val="000000"/>
          <w:sz w:val="40"/>
          <w:szCs w:val="40"/>
        </w:rPr>
      </w:pPr>
    </w:p>
    <w:p>
      <w:pPr>
        <w:pStyle w:val="28"/>
        <w:keepNext w:val="0"/>
        <w:keepLines w:val="0"/>
        <w:pageBreakBefore w:val="0"/>
        <w:widowControl w:val="0"/>
        <w:shd w:val="clear" w:color="auto" w:fill="FFFFFF"/>
        <w:wordWrap/>
        <w:bidi w:val="0"/>
        <w:spacing w:before="227" w:beforeLines="50" w:beforeAutospacing="0" w:after="227" w:afterLines="50" w:afterAutospacing="0" w:line="500" w:lineRule="exact"/>
        <w:ind w:right="1204"/>
        <w:jc w:val="center"/>
        <w:rPr>
          <w:rFonts w:hint="eastAsia" w:ascii="方正小标宋简体" w:hAnsi="方正小标宋简体" w:eastAsia="方正小标宋简体" w:cs="方正小标宋简体"/>
          <w:b/>
          <w:bCs/>
          <w:color w:val="000000"/>
          <w:sz w:val="40"/>
          <w:szCs w:val="40"/>
        </w:rPr>
      </w:pPr>
    </w:p>
    <w:p>
      <w:pPr>
        <w:pStyle w:val="28"/>
        <w:keepNext w:val="0"/>
        <w:keepLines w:val="0"/>
        <w:pageBreakBefore w:val="0"/>
        <w:widowControl w:val="0"/>
        <w:shd w:val="clear" w:color="auto" w:fill="FFFFFF"/>
        <w:wordWrap/>
        <w:bidi w:val="0"/>
        <w:spacing w:before="227" w:beforeLines="50" w:beforeAutospacing="0" w:after="227" w:afterLines="50" w:afterAutospacing="0" w:line="500" w:lineRule="exact"/>
        <w:ind w:right="1204"/>
        <w:jc w:val="center"/>
        <w:rPr>
          <w:rFonts w:hint="eastAsia" w:ascii="方正小标宋简体" w:hAnsi="方正小标宋简体" w:eastAsia="方正小标宋简体" w:cs="方正小标宋简体"/>
          <w:b/>
          <w:bCs/>
          <w:color w:val="000000"/>
          <w:sz w:val="40"/>
          <w:szCs w:val="40"/>
        </w:rPr>
      </w:pPr>
    </w:p>
    <w:p>
      <w:pPr>
        <w:pStyle w:val="28"/>
        <w:keepNext w:val="0"/>
        <w:keepLines w:val="0"/>
        <w:pageBreakBefore w:val="0"/>
        <w:widowControl w:val="0"/>
        <w:shd w:val="clear" w:color="auto" w:fill="FFFFFF"/>
        <w:wordWrap/>
        <w:bidi w:val="0"/>
        <w:spacing w:before="227" w:beforeLines="50" w:beforeAutospacing="0" w:after="227" w:afterLines="50" w:afterAutospacing="0" w:line="500" w:lineRule="exact"/>
        <w:ind w:right="1204"/>
        <w:jc w:val="center"/>
        <w:rPr>
          <w:rFonts w:hint="eastAsia" w:ascii="方正小标宋简体" w:hAnsi="方正小标宋简体" w:eastAsia="方正小标宋简体" w:cs="方正小标宋简体"/>
          <w:b/>
          <w:bCs/>
          <w:color w:val="000000"/>
          <w:sz w:val="40"/>
          <w:szCs w:val="40"/>
        </w:rPr>
      </w:pPr>
    </w:p>
    <w:p>
      <w:pPr>
        <w:keepNext w:val="0"/>
        <w:keepLines w:val="0"/>
        <w:pageBreakBefore w:val="0"/>
        <w:widowControl w:val="0"/>
        <w:wordWrap/>
        <w:bidi w:val="0"/>
        <w:spacing w:line="500" w:lineRule="exact"/>
        <w:jc w:val="center"/>
        <w:rPr>
          <w:rFonts w:hint="eastAsia" w:ascii="方正小标宋简体" w:hAnsi="方正小标宋简体" w:eastAsia="方正小标宋简体" w:cs="方正小标宋简体"/>
          <w:b/>
          <w:bCs/>
          <w:color w:val="000000"/>
          <w:sz w:val="40"/>
          <w:szCs w:val="40"/>
        </w:rPr>
      </w:pPr>
      <w:r>
        <w:rPr>
          <w:rFonts w:ascii="仿宋" w:hAnsi="仿宋" w:eastAsia="仿宋" w:cs="Arial"/>
          <w:color w:val="4D4D4D"/>
          <w:sz w:val="22"/>
          <w:szCs w:val="22"/>
        </w:rPr>
        <mc:AlternateContent>
          <mc:Choice Requires="wps">
            <w:drawing>
              <wp:anchor distT="0" distB="0" distL="114300" distR="114300" simplePos="0" relativeHeight="251716608" behindDoc="0" locked="0" layoutInCell="1" allowOverlap="1">
                <wp:simplePos x="0" y="0"/>
                <wp:positionH relativeFrom="column">
                  <wp:posOffset>-290830</wp:posOffset>
                </wp:positionH>
                <wp:positionV relativeFrom="paragraph">
                  <wp:posOffset>6061075</wp:posOffset>
                </wp:positionV>
                <wp:extent cx="1285240" cy="768985"/>
                <wp:effectExtent l="4445" t="4445" r="5715" b="7620"/>
                <wp:wrapNone/>
                <wp:docPr id="80" name="文本框 80"/>
                <wp:cNvGraphicFramePr/>
                <a:graphic xmlns:a="http://schemas.openxmlformats.org/drawingml/2006/main">
                  <a:graphicData uri="http://schemas.microsoft.com/office/word/2010/wordprocessingShape">
                    <wps:wsp>
                      <wps:cNvSpPr txBox="1"/>
                      <wps:spPr>
                        <a:xfrm>
                          <a:off x="0" y="0"/>
                          <a:ext cx="1285240" cy="768985"/>
                        </a:xfrm>
                        <a:prstGeom prst="rect">
                          <a:avLst/>
                        </a:prstGeom>
                        <a:solidFill>
                          <a:srgbClr val="FFFFFF"/>
                        </a:solidFill>
                        <a:ln w="9525" cap="flat" cmpd="sng">
                          <a:solidFill>
                            <a:srgbClr val="FFFFFF"/>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202" type="#_x0000_t202" style="position:absolute;left:0pt;margin-left:-22.9pt;margin-top:477.25pt;height:60.55pt;width:101.2pt;z-index:251716608;mso-width-relative:page;mso-height-relative:page;" fillcolor="#FFFFFF" filled="t" stroked="t" coordsize="21600,21600" o:gfxdata="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uw1/T2gAAAAwBAAAPAAAAAAAAAAEAIAAAACIA&#10;AABkcnMvZG93bnJldi54bWxQSwECFAAUAAAACACHTuJAZgwbugcCAAA4BAAADgAAAAAAAAABACAA&#10;AAApAQAAZHJzL2Uyb0RvYy54bWxQSwUGAAAAAAYABgBZAQAAogUAAAAA&#10;">
                <v:fill on="t" focussize="0,0"/>
                <v:stroke color="#FFFFFF" joinstyle="miter"/>
                <v:imagedata o:title=""/>
                <o:lock v:ext="edit" aspectratio="f"/>
                <v:textbox>
                  <w:txbxContent>
                    <w:p/>
                  </w:txbxContent>
                </v:textbox>
              </v:shape>
            </w:pict>
          </mc:Fallback>
        </mc:AlternateContent>
      </w:r>
      <w:r>
        <w:rPr>
          <w:rFonts w:hint="eastAsia" w:ascii="方正小标宋简体" w:hAnsi="方正小标宋简体" w:eastAsia="方正小标宋简体" w:cs="方正小标宋简体"/>
          <w:b/>
          <w:bCs/>
          <w:color w:val="000000"/>
          <w:sz w:val="40"/>
          <w:szCs w:val="40"/>
        </w:rPr>
        <w:br w:type="page"/>
      </w:r>
    </w:p>
    <w:p>
      <w:pPr>
        <w:keepNext w:val="0"/>
        <w:keepLines w:val="0"/>
        <w:pageBreakBefore w:val="0"/>
        <w:widowControl w:val="0"/>
        <w:wordWrap/>
        <w:bidi w:val="0"/>
        <w:spacing w:line="500" w:lineRule="exact"/>
        <w:jc w:val="center"/>
        <w:rPr>
          <w:rFonts w:hint="eastAsia" w:ascii="方正小标宋简体" w:hAnsi="方正小标宋简体" w:eastAsia="方正小标宋简体" w:cs="方正小标宋简体"/>
          <w:b/>
          <w:bCs/>
          <w:color w:val="000000"/>
          <w:sz w:val="40"/>
          <w:szCs w:val="40"/>
        </w:rPr>
      </w:pPr>
    </w:p>
    <w:p>
      <w:pPr>
        <w:keepNext w:val="0"/>
        <w:keepLines w:val="0"/>
        <w:pageBreakBefore w:val="0"/>
        <w:widowControl w:val="0"/>
        <w:wordWrap/>
        <w:bidi w:val="0"/>
        <w:spacing w:line="500" w:lineRule="exact"/>
        <w:jc w:val="center"/>
        <w:rPr>
          <w:rFonts w:hint="eastAsia" w:ascii="方正小标宋简体" w:hAnsi="方正小标宋简体" w:eastAsia="方正小标宋简体" w:cs="方正小标宋简体"/>
          <w:b/>
          <w:bCs/>
          <w:color w:val="000000"/>
          <w:sz w:val="40"/>
          <w:szCs w:val="40"/>
        </w:rPr>
      </w:pPr>
    </w:p>
    <w:p>
      <w:pPr>
        <w:keepNext w:val="0"/>
        <w:keepLines w:val="0"/>
        <w:pageBreakBefore w:val="0"/>
        <w:widowControl w:val="0"/>
        <w:wordWrap/>
        <w:bidi w:val="0"/>
        <w:spacing w:line="500" w:lineRule="exact"/>
        <w:jc w:val="center"/>
        <w:rPr>
          <w:rFonts w:ascii="方正小标宋简体" w:hAnsi="方正小标宋简体" w:eastAsia="方正小标宋简体" w:cs="方正小标宋简体"/>
          <w:color w:val="000000"/>
          <w:sz w:val="48"/>
          <w:szCs w:val="48"/>
          <w:shd w:val="clear" w:color="auto" w:fill="FFFFFF"/>
        </w:rPr>
      </w:pPr>
    </w:p>
    <w:p>
      <w:pPr>
        <w:keepNext w:val="0"/>
        <w:keepLines w:val="0"/>
        <w:pageBreakBefore w:val="0"/>
        <w:widowControl w:val="0"/>
        <w:wordWrap/>
        <w:bidi w:val="0"/>
        <w:spacing w:line="500" w:lineRule="exact"/>
        <w:jc w:val="center"/>
        <w:rPr>
          <w:rFonts w:ascii="方正小标宋简体" w:hAnsi="方正小标宋简体" w:eastAsia="方正小标宋简体" w:cs="方正小标宋简体"/>
          <w:color w:val="000000"/>
          <w:sz w:val="48"/>
          <w:szCs w:val="48"/>
          <w:shd w:val="clear" w:color="auto" w:fill="FFFFFF"/>
        </w:rPr>
      </w:pPr>
    </w:p>
    <w:p>
      <w:pPr>
        <w:keepNext w:val="0"/>
        <w:keepLines w:val="0"/>
        <w:pageBreakBefore w:val="0"/>
        <w:widowControl w:val="0"/>
        <w:wordWrap/>
        <w:bidi w:val="0"/>
        <w:spacing w:line="500" w:lineRule="exact"/>
        <w:jc w:val="center"/>
        <w:rPr>
          <w:rFonts w:ascii="方正小标宋简体" w:hAnsi="方正小标宋简体" w:eastAsia="方正小标宋简体" w:cs="方正小标宋简体"/>
          <w:color w:val="000000"/>
          <w:sz w:val="48"/>
          <w:szCs w:val="48"/>
          <w:shd w:val="clear" w:color="auto" w:fill="FFFFFF"/>
        </w:rPr>
      </w:pPr>
    </w:p>
    <w:p>
      <w:pPr>
        <w:keepNext w:val="0"/>
        <w:keepLines w:val="0"/>
        <w:pageBreakBefore w:val="0"/>
        <w:widowControl w:val="0"/>
        <w:wordWrap/>
        <w:bidi w:val="0"/>
        <w:spacing w:line="240" w:lineRule="auto"/>
        <w:jc w:val="center"/>
        <w:rPr>
          <w:rFonts w:hint="eastAsia" w:ascii="方正小标宋简体" w:hAnsi="方正小标宋简体" w:eastAsia="方正小标宋简体" w:cs="方正小标宋简体"/>
          <w:color w:val="000000"/>
          <w:w w:val="95"/>
          <w:sz w:val="48"/>
          <w:szCs w:val="48"/>
          <w:shd w:val="clear" w:color="auto" w:fill="FFFFFF"/>
        </w:rPr>
      </w:pPr>
      <w:r>
        <w:rPr>
          <w:rFonts w:hint="eastAsia" w:ascii="方正小标宋简体" w:hAnsi="方正小标宋简体" w:eastAsia="方正小标宋简体" w:cs="方正小标宋简体"/>
          <w:color w:val="000000"/>
          <w:w w:val="95"/>
          <w:sz w:val="48"/>
          <w:szCs w:val="48"/>
          <w:shd w:val="clear" w:color="auto" w:fill="FFFFFF"/>
        </w:rPr>
        <w:t>律师</w:t>
      </w:r>
      <w:r>
        <w:rPr>
          <w:rFonts w:hint="eastAsia" w:ascii="方正小标宋简体" w:hAnsi="方正小标宋简体" w:eastAsia="方正小标宋简体" w:cs="方正小标宋简体"/>
          <w:color w:val="000000"/>
          <w:w w:val="95"/>
          <w:sz w:val="48"/>
          <w:szCs w:val="48"/>
          <w:shd w:val="clear" w:color="auto" w:fill="FFFFFF"/>
          <w:lang w:val="en-US" w:eastAsia="zh-CN"/>
        </w:rPr>
        <w:t>代</w:t>
      </w:r>
      <w:r>
        <w:rPr>
          <w:rFonts w:hint="eastAsia" w:ascii="方正小标宋简体" w:hAnsi="方正小标宋简体" w:eastAsia="方正小标宋简体" w:cs="方正小标宋简体"/>
          <w:color w:val="000000"/>
          <w:w w:val="95"/>
          <w:sz w:val="48"/>
          <w:szCs w:val="48"/>
          <w:shd w:val="clear" w:color="auto" w:fill="FFFFFF"/>
        </w:rPr>
        <w:t>理</w:t>
      </w:r>
      <w:r>
        <w:rPr>
          <w:rFonts w:hint="eastAsia" w:ascii="方正小标宋简体" w:hAnsi="方正小标宋简体" w:eastAsia="方正小标宋简体" w:cs="方正小标宋简体"/>
          <w:color w:val="000000"/>
          <w:w w:val="95"/>
          <w:sz w:val="48"/>
          <w:szCs w:val="48"/>
          <w:shd w:val="clear" w:color="auto" w:fill="FFFFFF"/>
          <w:lang w:eastAsia="zh-CN"/>
        </w:rPr>
        <w:t>患方</w:t>
      </w:r>
      <w:r>
        <w:rPr>
          <w:rFonts w:hint="eastAsia" w:ascii="方正小标宋简体" w:hAnsi="方正小标宋简体" w:eastAsia="方正小标宋简体" w:cs="方正小标宋简体"/>
          <w:color w:val="000000"/>
          <w:w w:val="95"/>
          <w:sz w:val="48"/>
          <w:szCs w:val="48"/>
          <w:shd w:val="clear" w:color="auto" w:fill="FFFFFF"/>
        </w:rPr>
        <w:t>医疗损害责任纠纷案件</w:t>
      </w:r>
    </w:p>
    <w:p>
      <w:pPr>
        <w:keepNext w:val="0"/>
        <w:keepLines w:val="0"/>
        <w:pageBreakBefore w:val="0"/>
        <w:widowControl w:val="0"/>
        <w:wordWrap/>
        <w:bidi w:val="0"/>
        <w:spacing w:line="240" w:lineRule="auto"/>
        <w:jc w:val="center"/>
        <w:rPr>
          <w:rFonts w:ascii="方正小标宋简体" w:hAnsi="方正小标宋简体" w:eastAsia="方正小标宋简体" w:cs="方正小标宋简体"/>
          <w:color w:val="000000"/>
          <w:sz w:val="48"/>
          <w:szCs w:val="48"/>
          <w:shd w:val="clear" w:color="auto" w:fill="FFFFFF"/>
        </w:rPr>
      </w:pPr>
      <w:r>
        <w:rPr>
          <w:rFonts w:hint="eastAsia" w:ascii="方正小标宋简体" w:hAnsi="方正小标宋简体" w:eastAsia="方正小标宋简体" w:cs="方正小标宋简体"/>
          <w:color w:val="000000"/>
          <w:sz w:val="48"/>
          <w:szCs w:val="48"/>
          <w:shd w:val="clear" w:color="auto" w:fill="FFFFFF"/>
        </w:rPr>
        <w:t>业务操作指引</w:t>
      </w:r>
    </w:p>
    <w:p>
      <w:pPr>
        <w:keepNext w:val="0"/>
        <w:keepLines w:val="0"/>
        <w:pageBreakBefore w:val="0"/>
        <w:widowControl w:val="0"/>
        <w:wordWrap/>
        <w:bidi w:val="0"/>
        <w:spacing w:line="500" w:lineRule="exact"/>
        <w:jc w:val="center"/>
        <w:rPr>
          <w:rFonts w:ascii="方正小标宋简体" w:hAnsi="方正小标宋简体" w:eastAsia="方正小标宋简体" w:cs="方正小标宋简体"/>
          <w:color w:val="000000"/>
          <w:sz w:val="48"/>
          <w:szCs w:val="48"/>
          <w:shd w:val="clear" w:color="auto" w:fill="FFFFFF"/>
        </w:rPr>
      </w:pPr>
    </w:p>
    <w:p>
      <w:pPr>
        <w:pStyle w:val="28"/>
        <w:keepNext w:val="0"/>
        <w:keepLines w:val="0"/>
        <w:pageBreakBefore w:val="0"/>
        <w:widowControl w:val="0"/>
        <w:shd w:val="clear" w:color="auto" w:fill="FFFFFF"/>
        <w:wordWrap/>
        <w:bidi w:val="0"/>
        <w:spacing w:before="0" w:beforeAutospacing="0" w:after="0" w:afterAutospacing="0" w:line="500" w:lineRule="exact"/>
        <w:ind w:right="1204"/>
        <w:jc w:val="center"/>
        <w:rPr>
          <w:rFonts w:ascii="仿宋" w:hAnsi="仿宋" w:eastAsia="仿宋" w:cs="Arial"/>
          <w:b/>
          <w:bCs/>
          <w:color w:val="4D4D4D"/>
          <w:sz w:val="28"/>
          <w:szCs w:val="28"/>
        </w:rPr>
      </w:pPr>
    </w:p>
    <w:p>
      <w:pPr>
        <w:pStyle w:val="28"/>
        <w:keepNext w:val="0"/>
        <w:keepLines w:val="0"/>
        <w:pageBreakBefore w:val="0"/>
        <w:widowControl w:val="0"/>
        <w:shd w:val="clear" w:color="auto" w:fill="FFFFFF"/>
        <w:wordWrap/>
        <w:bidi w:val="0"/>
        <w:spacing w:before="0" w:beforeAutospacing="0" w:after="0" w:afterAutospacing="0" w:line="500" w:lineRule="exact"/>
        <w:jc w:val="both"/>
        <w:rPr>
          <w:rFonts w:ascii="仿宋" w:hAnsi="仿宋" w:eastAsia="仿宋" w:cs="Arial"/>
          <w:color w:val="4D4D4D"/>
          <w:sz w:val="22"/>
          <w:szCs w:val="22"/>
        </w:rPr>
      </w:pPr>
    </w:p>
    <w:p>
      <w:pPr>
        <w:pStyle w:val="28"/>
        <w:keepNext w:val="0"/>
        <w:keepLines w:val="0"/>
        <w:pageBreakBefore w:val="0"/>
        <w:widowControl w:val="0"/>
        <w:shd w:val="clear" w:color="auto" w:fill="FFFFFF"/>
        <w:wordWrap/>
        <w:bidi w:val="0"/>
        <w:spacing w:before="0" w:beforeAutospacing="0" w:after="0" w:afterAutospacing="0" w:line="500" w:lineRule="exact"/>
        <w:jc w:val="both"/>
        <w:rPr>
          <w:rFonts w:ascii="仿宋" w:hAnsi="仿宋" w:eastAsia="仿宋" w:cs="Arial"/>
          <w:color w:val="4D4D4D"/>
          <w:sz w:val="22"/>
          <w:szCs w:val="22"/>
        </w:rPr>
      </w:pPr>
    </w:p>
    <w:p>
      <w:pPr>
        <w:pStyle w:val="28"/>
        <w:keepNext w:val="0"/>
        <w:keepLines w:val="0"/>
        <w:pageBreakBefore w:val="0"/>
        <w:widowControl w:val="0"/>
        <w:shd w:val="clear" w:color="auto" w:fill="FFFFFF"/>
        <w:wordWrap/>
        <w:bidi w:val="0"/>
        <w:spacing w:before="0" w:beforeAutospacing="0" w:after="0" w:afterAutospacing="0" w:line="500" w:lineRule="exact"/>
        <w:jc w:val="both"/>
        <w:rPr>
          <w:rFonts w:ascii="仿宋" w:hAnsi="仿宋" w:eastAsia="仿宋" w:cs="Arial"/>
          <w:color w:val="4D4D4D"/>
          <w:sz w:val="22"/>
          <w:szCs w:val="22"/>
        </w:rPr>
      </w:pPr>
    </w:p>
    <w:p>
      <w:pPr>
        <w:pStyle w:val="28"/>
        <w:keepNext w:val="0"/>
        <w:keepLines w:val="0"/>
        <w:pageBreakBefore w:val="0"/>
        <w:widowControl w:val="0"/>
        <w:shd w:val="clear" w:color="auto" w:fill="FFFFFF"/>
        <w:wordWrap/>
        <w:bidi w:val="0"/>
        <w:spacing w:before="0" w:beforeAutospacing="0" w:after="0" w:afterAutospacing="0" w:line="500" w:lineRule="exact"/>
        <w:jc w:val="both"/>
        <w:rPr>
          <w:rFonts w:ascii="仿宋" w:hAnsi="仿宋" w:eastAsia="仿宋" w:cs="Arial"/>
          <w:color w:val="4D4D4D"/>
          <w:sz w:val="22"/>
          <w:szCs w:val="22"/>
        </w:rPr>
      </w:pPr>
    </w:p>
    <w:p>
      <w:pPr>
        <w:pStyle w:val="28"/>
        <w:keepNext w:val="0"/>
        <w:keepLines w:val="0"/>
        <w:pageBreakBefore w:val="0"/>
        <w:widowControl w:val="0"/>
        <w:shd w:val="clear" w:color="auto" w:fill="FFFFFF"/>
        <w:wordWrap/>
        <w:bidi w:val="0"/>
        <w:spacing w:before="0" w:beforeAutospacing="0" w:after="0" w:afterAutospacing="0" w:line="500" w:lineRule="exact"/>
        <w:jc w:val="both"/>
        <w:rPr>
          <w:rFonts w:ascii="仿宋" w:hAnsi="仿宋" w:eastAsia="仿宋" w:cs="Arial"/>
          <w:color w:val="4D4D4D"/>
          <w:sz w:val="22"/>
          <w:szCs w:val="22"/>
        </w:rPr>
      </w:pPr>
    </w:p>
    <w:p>
      <w:pPr>
        <w:pStyle w:val="28"/>
        <w:keepNext w:val="0"/>
        <w:keepLines w:val="0"/>
        <w:pageBreakBefore w:val="0"/>
        <w:widowControl w:val="0"/>
        <w:shd w:val="clear" w:color="auto" w:fill="FFFFFF"/>
        <w:wordWrap/>
        <w:bidi w:val="0"/>
        <w:spacing w:before="0" w:beforeAutospacing="0" w:after="0" w:afterAutospacing="0" w:line="500" w:lineRule="exact"/>
        <w:jc w:val="both"/>
        <w:rPr>
          <w:rFonts w:ascii="仿宋" w:hAnsi="仿宋" w:eastAsia="仿宋" w:cs="Arial"/>
          <w:color w:val="4D4D4D"/>
          <w:sz w:val="22"/>
          <w:szCs w:val="22"/>
        </w:rPr>
      </w:pPr>
    </w:p>
    <w:p>
      <w:pPr>
        <w:pStyle w:val="28"/>
        <w:keepNext w:val="0"/>
        <w:keepLines w:val="0"/>
        <w:pageBreakBefore w:val="0"/>
        <w:widowControl w:val="0"/>
        <w:shd w:val="clear" w:color="auto" w:fill="FFFFFF"/>
        <w:wordWrap/>
        <w:bidi w:val="0"/>
        <w:spacing w:before="0" w:beforeAutospacing="0" w:after="0" w:afterAutospacing="0" w:line="500" w:lineRule="exact"/>
        <w:jc w:val="both"/>
        <w:rPr>
          <w:rFonts w:ascii="仿宋" w:hAnsi="仿宋" w:eastAsia="仿宋" w:cs="Arial"/>
          <w:color w:val="4D4D4D"/>
          <w:sz w:val="22"/>
          <w:szCs w:val="22"/>
        </w:rPr>
      </w:pPr>
      <w:r>
        <w:rPr>
          <w:rFonts w:ascii="仿宋" w:hAnsi="仿宋" w:eastAsia="仿宋" w:cs="Arial"/>
          <w:color w:val="4D4D4D"/>
          <w:sz w:val="22"/>
          <w:szCs w:val="22"/>
        </w:rPr>
        <w:br w:type="page"/>
      </w:r>
    </w:p>
    <w:p>
      <w:pPr>
        <w:pStyle w:val="28"/>
        <w:keepNext w:val="0"/>
        <w:keepLines w:val="0"/>
        <w:pageBreakBefore w:val="0"/>
        <w:widowControl w:val="0"/>
        <w:shd w:val="clear" w:color="auto" w:fill="FFFFFF"/>
        <w:wordWrap/>
        <w:bidi w:val="0"/>
        <w:spacing w:before="0" w:beforeAutospacing="0" w:after="0" w:afterAutospacing="0" w:line="500" w:lineRule="exact"/>
        <w:jc w:val="both"/>
        <w:rPr>
          <w:rFonts w:ascii="仿宋" w:hAnsi="仿宋" w:eastAsia="仿宋" w:cs="Arial"/>
          <w:color w:val="4D4D4D"/>
          <w:sz w:val="22"/>
          <w:szCs w:val="22"/>
        </w:rPr>
      </w:pPr>
    </w:p>
    <w:p>
      <w:pPr>
        <w:pStyle w:val="28"/>
        <w:keepNext w:val="0"/>
        <w:keepLines w:val="0"/>
        <w:pageBreakBefore w:val="0"/>
        <w:widowControl w:val="0"/>
        <w:shd w:val="clear" w:color="auto" w:fill="FFFFFF"/>
        <w:wordWrap/>
        <w:bidi w:val="0"/>
        <w:spacing w:before="0" w:beforeAutospacing="0" w:after="0" w:afterAutospacing="0" w:line="500" w:lineRule="exact"/>
        <w:jc w:val="both"/>
        <w:rPr>
          <w:rFonts w:ascii="仿宋" w:hAnsi="仿宋" w:eastAsia="仿宋" w:cs="Arial"/>
          <w:color w:val="4D4D4D"/>
          <w:sz w:val="22"/>
          <w:szCs w:val="22"/>
        </w:rPr>
      </w:pPr>
    </w:p>
    <w:p>
      <w:pPr>
        <w:pStyle w:val="28"/>
        <w:keepNext w:val="0"/>
        <w:keepLines w:val="0"/>
        <w:pageBreakBefore w:val="0"/>
        <w:widowControl w:val="0"/>
        <w:shd w:val="clear" w:color="auto" w:fill="FFFFFF"/>
        <w:wordWrap/>
        <w:bidi w:val="0"/>
        <w:spacing w:before="0" w:beforeAutospacing="0" w:after="0" w:afterAutospacing="0" w:line="500" w:lineRule="exact"/>
        <w:jc w:val="both"/>
        <w:rPr>
          <w:rFonts w:ascii="仿宋" w:hAnsi="仿宋" w:eastAsia="仿宋" w:cs="Arial"/>
          <w:color w:val="4D4D4D"/>
          <w:sz w:val="22"/>
          <w:szCs w:val="22"/>
        </w:rPr>
      </w:pPr>
    </w:p>
    <w:p>
      <w:pPr>
        <w:pStyle w:val="28"/>
        <w:keepNext w:val="0"/>
        <w:keepLines w:val="0"/>
        <w:pageBreakBefore w:val="0"/>
        <w:widowControl w:val="0"/>
        <w:shd w:val="clear" w:color="auto" w:fill="FFFFFF"/>
        <w:wordWrap/>
        <w:bidi w:val="0"/>
        <w:spacing w:before="0" w:beforeAutospacing="0" w:after="0" w:afterAutospacing="0" w:line="500" w:lineRule="exact"/>
        <w:jc w:val="both"/>
        <w:rPr>
          <w:rFonts w:ascii="仿宋" w:hAnsi="仿宋" w:eastAsia="仿宋" w:cs="Arial"/>
          <w:color w:val="4D4D4D"/>
          <w:sz w:val="22"/>
          <w:szCs w:val="22"/>
        </w:rPr>
      </w:pPr>
    </w:p>
    <w:p>
      <w:pPr>
        <w:pStyle w:val="28"/>
        <w:keepNext w:val="0"/>
        <w:keepLines w:val="0"/>
        <w:pageBreakBefore w:val="0"/>
        <w:widowControl w:val="0"/>
        <w:shd w:val="clear" w:color="auto" w:fill="FFFFFF"/>
        <w:wordWrap/>
        <w:bidi w:val="0"/>
        <w:spacing w:before="0" w:beforeAutospacing="0" w:after="0" w:afterAutospacing="0" w:line="500" w:lineRule="exact"/>
        <w:jc w:val="both"/>
        <w:rPr>
          <w:rFonts w:ascii="仿宋" w:hAnsi="仿宋" w:eastAsia="仿宋" w:cs="Arial"/>
          <w:color w:val="4D4D4D"/>
          <w:sz w:val="22"/>
          <w:szCs w:val="22"/>
        </w:rPr>
      </w:pPr>
    </w:p>
    <w:p>
      <w:pPr>
        <w:pStyle w:val="28"/>
        <w:keepNext w:val="0"/>
        <w:keepLines w:val="0"/>
        <w:pageBreakBefore w:val="0"/>
        <w:widowControl w:val="0"/>
        <w:shd w:val="clear" w:color="auto" w:fill="FFFFFF"/>
        <w:wordWrap/>
        <w:bidi w:val="0"/>
        <w:spacing w:before="0" w:beforeAutospacing="0" w:after="0" w:afterAutospacing="0" w:line="500" w:lineRule="exact"/>
        <w:jc w:val="both"/>
        <w:rPr>
          <w:rFonts w:ascii="仿宋" w:hAnsi="仿宋" w:eastAsia="仿宋" w:cs="Arial"/>
          <w:color w:val="4D4D4D"/>
          <w:sz w:val="22"/>
          <w:szCs w:val="22"/>
        </w:rPr>
      </w:pPr>
    </w:p>
    <w:p>
      <w:pPr>
        <w:pStyle w:val="28"/>
        <w:keepNext w:val="0"/>
        <w:keepLines w:val="0"/>
        <w:pageBreakBefore w:val="0"/>
        <w:widowControl w:val="0"/>
        <w:shd w:val="clear" w:color="auto" w:fill="FFFFFF"/>
        <w:wordWrap/>
        <w:bidi w:val="0"/>
        <w:spacing w:before="0" w:beforeAutospacing="0" w:after="0" w:afterAutospacing="0" w:line="500" w:lineRule="exact"/>
        <w:jc w:val="center"/>
        <w:rPr>
          <w:rFonts w:ascii="方正小标宋简体" w:hAnsi="方正小标宋简体" w:eastAsia="方正小标宋简体" w:cs="方正小标宋简体"/>
          <w:color w:val="000000"/>
          <w:sz w:val="40"/>
          <w:szCs w:val="40"/>
          <w:shd w:val="clear" w:color="auto" w:fill="FFFFFF"/>
        </w:rPr>
      </w:pPr>
      <w:r>
        <w:rPr>
          <w:sz w:val="28"/>
        </w:rPr>
        <mc:AlternateContent>
          <mc:Choice Requires="wps">
            <w:drawing>
              <wp:anchor distT="0" distB="0" distL="114300" distR="114300" simplePos="0" relativeHeight="251739136" behindDoc="0" locked="0" layoutInCell="1" allowOverlap="1">
                <wp:simplePos x="0" y="0"/>
                <wp:positionH relativeFrom="column">
                  <wp:posOffset>-269875</wp:posOffset>
                </wp:positionH>
                <wp:positionV relativeFrom="paragraph">
                  <wp:posOffset>4467860</wp:posOffset>
                </wp:positionV>
                <wp:extent cx="1227455" cy="751205"/>
                <wp:effectExtent l="0" t="0" r="10795" b="10795"/>
                <wp:wrapNone/>
                <wp:docPr id="81" name="文本框 81"/>
                <wp:cNvGraphicFramePr/>
                <a:graphic xmlns:a="http://schemas.openxmlformats.org/drawingml/2006/main">
                  <a:graphicData uri="http://schemas.microsoft.com/office/word/2010/wordprocessingShape">
                    <wps:wsp>
                      <wps:cNvSpPr txBox="1"/>
                      <wps:spPr>
                        <a:xfrm>
                          <a:off x="0" y="0"/>
                          <a:ext cx="1227455" cy="751205"/>
                        </a:xfrm>
                        <a:prstGeom prst="rect">
                          <a:avLst/>
                        </a:prstGeom>
                        <a:solidFill>
                          <a:srgbClr val="FFFFFF"/>
                        </a:solidFill>
                        <a:ln>
                          <a:noFill/>
                        </a:ln>
                      </wps:spPr>
                      <wps:txbx>
                        <w:txbxContent>
                          <w:p/>
                        </w:txbxContent>
                      </wps:txbx>
                      <wps:bodyPr upright="1"/>
                    </wps:wsp>
                  </a:graphicData>
                </a:graphic>
              </wp:anchor>
            </w:drawing>
          </mc:Choice>
          <mc:Fallback>
            <w:pict>
              <v:shape id="_x0000_s1026" o:spid="_x0000_s1026" o:spt="202" type="#_x0000_t202" style="position:absolute;left:0pt;margin-left:-21.25pt;margin-top:351.8pt;height:59.15pt;width:96.65pt;z-index:251739136;mso-width-relative:page;mso-height-relative:page;" fillcolor="#FFFFFF" filled="t" stroked="f" coordsize="21600,21600" o:gfxdata="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ckrIHZAAAACwEAAA8AAAAAAAAAAQAgAAAAIgAAAGRycy9kb3ducmV2&#10;LnhtbFBLAQIUABQAAAAIAIdO4kCGK8f1wgEAAHkDAAAOAAAAAAAAAAEAIAAAACgBAABkcnMvZTJv&#10;RG9jLnhtbFBLBQYAAAAABgAGAFkBAABcBQAAAAA=&#10;">
                <v:fill on="t" focussize="0,0"/>
                <v:stroke on="f"/>
                <v:imagedata o:title=""/>
                <o:lock v:ext="edit" aspectratio="f"/>
                <v:textbox>
                  <w:txbxContent>
                    <w:p/>
                  </w:txbxContent>
                </v:textbox>
              </v:shape>
            </w:pict>
          </mc:Fallback>
        </mc:AlternateContent>
      </w:r>
      <w:r>
        <w:rPr>
          <w:rFonts w:ascii="仿宋" w:hAnsi="仿宋" w:eastAsia="仿宋" w:cs="Arial"/>
          <w:color w:val="4D4D4D"/>
          <w:sz w:val="22"/>
          <w:szCs w:val="22"/>
        </w:rPr>
        <mc:AlternateContent>
          <mc:Choice Requires="wps">
            <w:drawing>
              <wp:anchor distT="0" distB="0" distL="114300" distR="114300" simplePos="0" relativeHeight="251720704" behindDoc="0" locked="0" layoutInCell="1" allowOverlap="1">
                <wp:simplePos x="0" y="0"/>
                <wp:positionH relativeFrom="column">
                  <wp:posOffset>-290830</wp:posOffset>
                </wp:positionH>
                <wp:positionV relativeFrom="paragraph">
                  <wp:posOffset>6149975</wp:posOffset>
                </wp:positionV>
                <wp:extent cx="1285240" cy="768985"/>
                <wp:effectExtent l="4445" t="4445" r="5715" b="7620"/>
                <wp:wrapNone/>
                <wp:docPr id="83" name="文本框 83"/>
                <wp:cNvGraphicFramePr/>
                <a:graphic xmlns:a="http://schemas.openxmlformats.org/drawingml/2006/main">
                  <a:graphicData uri="http://schemas.microsoft.com/office/word/2010/wordprocessingShape">
                    <wps:wsp>
                      <wps:cNvSpPr txBox="1"/>
                      <wps:spPr>
                        <a:xfrm>
                          <a:off x="0" y="0"/>
                          <a:ext cx="1285240" cy="768985"/>
                        </a:xfrm>
                        <a:prstGeom prst="rect">
                          <a:avLst/>
                        </a:prstGeom>
                        <a:solidFill>
                          <a:srgbClr val="FFFFFF"/>
                        </a:solidFill>
                        <a:ln w="9525" cap="flat" cmpd="sng">
                          <a:solidFill>
                            <a:srgbClr val="FFFFFF"/>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202" type="#_x0000_t202" style="position:absolute;left:0pt;margin-left:-22.9pt;margin-top:484.25pt;height:60.55pt;width:101.2pt;z-index:251720704;mso-width-relative:page;mso-height-relative:page;" fillcolor="#FFFFFF" filled="t" stroked="t" coordsize="21600,21600" o:gfxdata="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Nvk6e2gAAAAwBAAAPAAAAAAAAAAEAIAAAACIA&#10;AABkcnMvZG93bnJldi54bWxQSwECFAAUAAAACACHTuJAOhbd0wcCAAA4BAAADgAAAAAAAAABACAA&#10;AAApAQAAZHJzL2Uyb0RvYy54bWxQSwUGAAAAAAYABgBZAQAAogUAAAAA&#10;">
                <v:fill on="t" focussize="0,0"/>
                <v:stroke color="#FFFFFF" joinstyle="miter"/>
                <v:imagedata o:title=""/>
                <o:lock v:ext="edit" aspectratio="f"/>
                <v:textbox>
                  <w:txbxContent>
                    <w:p/>
                  </w:txbxContent>
                </v:textbox>
              </v:shape>
            </w:pict>
          </mc:Fallback>
        </mc:AlternateContent>
      </w:r>
      <w:r>
        <w:rPr>
          <w:rFonts w:ascii="仿宋" w:hAnsi="仿宋" w:eastAsia="仿宋" w:cs="Arial"/>
          <w:color w:val="4D4D4D"/>
          <w:sz w:val="22"/>
          <w:szCs w:val="22"/>
        </w:rPr>
        <w:br w:type="page"/>
      </w:r>
      <w:r>
        <w:rPr>
          <w:rFonts w:hint="eastAsia" w:ascii="方正小标宋简体" w:hAnsi="方正小标宋简体" w:eastAsia="方正小标宋简体" w:cs="方正小标宋简体"/>
          <w:color w:val="000000"/>
          <w:sz w:val="40"/>
          <w:szCs w:val="40"/>
          <w:shd w:val="clear" w:color="auto" w:fill="FFFFFF"/>
        </w:rPr>
        <w:t>目  录</w:t>
      </w:r>
    </w:p>
    <w:p>
      <w:pPr>
        <w:pStyle w:val="28"/>
        <w:keepNext w:val="0"/>
        <w:keepLines w:val="0"/>
        <w:pageBreakBefore w:val="0"/>
        <w:widowControl w:val="0"/>
        <w:shd w:val="clear" w:color="auto" w:fill="FFFFFF"/>
        <w:wordWrap/>
        <w:bidi w:val="0"/>
        <w:spacing w:before="0" w:beforeAutospacing="0" w:after="0" w:afterAutospacing="0" w:line="500" w:lineRule="exact"/>
        <w:ind w:right="1204"/>
        <w:jc w:val="center"/>
        <w:rPr>
          <w:rFonts w:ascii="仿宋" w:hAnsi="仿宋" w:eastAsia="仿宋" w:cs="Arial"/>
          <w:b/>
          <w:bCs/>
          <w:color w:val="4D4D4D"/>
          <w:sz w:val="24"/>
          <w:szCs w:val="24"/>
        </w:rPr>
      </w:pPr>
    </w:p>
    <w:p>
      <w:pPr>
        <w:keepNext w:val="0"/>
        <w:keepLines w:val="0"/>
        <w:pageBreakBefore w:val="0"/>
        <w:widowControl w:val="0"/>
        <w:wordWrap/>
        <w:bidi w:val="0"/>
        <w:spacing w:line="500" w:lineRule="exact"/>
        <w:ind w:left="602"/>
        <w:rPr>
          <w:rFonts w:hint="eastAsia" w:ascii="仿宋_GB2312" w:hAnsi="仿宋" w:eastAsia="仿宋_GB2312" w:cs="仿宋"/>
          <w:sz w:val="28"/>
          <w:szCs w:val="28"/>
          <w:shd w:val="clear" w:color="auto" w:fill="FFFFFF"/>
        </w:rPr>
      </w:pPr>
      <w:r>
        <w:rPr>
          <w:rFonts w:hint="eastAsia" w:ascii="仿宋_GB2312" w:hAnsi="仿宋" w:eastAsia="仿宋_GB2312" w:cs="仿宋"/>
          <w:sz w:val="28"/>
          <w:szCs w:val="28"/>
          <w:shd w:val="clear" w:color="auto" w:fill="FFFFFF"/>
        </w:rPr>
        <w:t>第一章  总则</w:t>
      </w:r>
    </w:p>
    <w:p>
      <w:pPr>
        <w:keepNext w:val="0"/>
        <w:keepLines w:val="0"/>
        <w:pageBreakBefore w:val="0"/>
        <w:widowControl w:val="0"/>
        <w:wordWrap/>
        <w:bidi w:val="0"/>
        <w:spacing w:line="500" w:lineRule="exact"/>
        <w:ind w:left="602"/>
        <w:rPr>
          <w:rFonts w:hint="eastAsia" w:ascii="仿宋_GB2312" w:hAnsi="仿宋" w:eastAsia="仿宋_GB2312" w:cs="仿宋"/>
          <w:sz w:val="28"/>
          <w:szCs w:val="28"/>
          <w:shd w:val="clear" w:color="auto" w:fill="FFFFFF"/>
        </w:rPr>
      </w:pPr>
      <w:r>
        <w:rPr>
          <w:rFonts w:hint="eastAsia" w:ascii="仿宋_GB2312" w:hAnsi="仿宋" w:eastAsia="仿宋_GB2312" w:cs="仿宋"/>
          <w:sz w:val="28"/>
          <w:szCs w:val="28"/>
          <w:shd w:val="clear" w:color="auto" w:fill="FFFFFF"/>
        </w:rPr>
        <w:t>第二章  案件委托</w:t>
      </w:r>
    </w:p>
    <w:p>
      <w:pPr>
        <w:keepNext w:val="0"/>
        <w:keepLines w:val="0"/>
        <w:pageBreakBefore w:val="0"/>
        <w:widowControl w:val="0"/>
        <w:wordWrap/>
        <w:bidi w:val="0"/>
        <w:spacing w:line="500" w:lineRule="exact"/>
        <w:ind w:left="602"/>
        <w:rPr>
          <w:rFonts w:hint="eastAsia" w:ascii="仿宋_GB2312" w:hAnsi="仿宋" w:eastAsia="仿宋_GB2312" w:cs="仿宋"/>
          <w:sz w:val="28"/>
          <w:szCs w:val="28"/>
          <w:shd w:val="clear" w:color="auto" w:fill="FFFFFF"/>
        </w:rPr>
      </w:pPr>
      <w:r>
        <w:rPr>
          <w:rFonts w:hint="eastAsia" w:ascii="仿宋_GB2312" w:hAnsi="仿宋" w:eastAsia="仿宋_GB2312" w:cs="仿宋"/>
          <w:sz w:val="28"/>
          <w:szCs w:val="28"/>
          <w:shd w:val="clear" w:color="auto" w:fill="FFFFFF"/>
        </w:rPr>
        <w:t>第三章  代理协商、调解和诉讼</w:t>
      </w:r>
    </w:p>
    <w:p>
      <w:pPr>
        <w:keepNext w:val="0"/>
        <w:keepLines w:val="0"/>
        <w:pageBreakBefore w:val="0"/>
        <w:widowControl w:val="0"/>
        <w:wordWrap/>
        <w:bidi w:val="0"/>
        <w:spacing w:line="500" w:lineRule="exact"/>
        <w:ind w:left="640"/>
        <w:rPr>
          <w:rFonts w:hint="eastAsia" w:ascii="仿宋_GB2312" w:hAnsi="仿宋" w:eastAsia="仿宋_GB2312" w:cs="仿宋"/>
          <w:sz w:val="28"/>
          <w:szCs w:val="28"/>
          <w:shd w:val="clear" w:color="auto" w:fill="FFFFFF"/>
        </w:rPr>
      </w:pPr>
      <w:r>
        <w:rPr>
          <w:rFonts w:hint="eastAsia" w:ascii="仿宋_GB2312" w:hAnsi="仿宋" w:eastAsia="仿宋_GB2312" w:cs="仿宋"/>
          <w:sz w:val="28"/>
          <w:szCs w:val="28"/>
          <w:shd w:val="clear" w:color="auto" w:fill="FFFFFF"/>
        </w:rPr>
        <w:t>第四章  其他</w:t>
      </w:r>
    </w:p>
    <w:p>
      <w:pPr>
        <w:pStyle w:val="28"/>
        <w:keepNext w:val="0"/>
        <w:keepLines w:val="0"/>
        <w:pageBreakBefore w:val="0"/>
        <w:widowControl w:val="0"/>
        <w:shd w:val="clear" w:color="auto" w:fill="FFFFFF"/>
        <w:wordWrap/>
        <w:bidi w:val="0"/>
        <w:spacing w:before="0" w:beforeAutospacing="0" w:after="0" w:afterAutospacing="0" w:line="500" w:lineRule="exact"/>
        <w:jc w:val="center"/>
        <w:rPr>
          <w:rFonts w:hint="eastAsia" w:ascii="方正小标宋简体" w:eastAsia="方正小标宋简体"/>
          <w:sz w:val="40"/>
          <w:szCs w:val="40"/>
          <w:shd w:val="clear" w:color="auto" w:fill="FFFFFF"/>
        </w:rPr>
      </w:pPr>
      <w:r>
        <w:rPr>
          <w:rFonts w:ascii="仿宋" w:hAnsi="仿宋" w:eastAsia="仿宋" w:cs="Arial"/>
          <w:color w:val="4D4D4D"/>
          <w:sz w:val="22"/>
          <w:szCs w:val="22"/>
        </w:rPr>
        <w:br w:type="page"/>
      </w:r>
      <w:r>
        <w:rPr>
          <w:rFonts w:hint="eastAsia" w:ascii="方正小标宋简体" w:eastAsia="方正小标宋简体"/>
          <w:sz w:val="40"/>
          <w:szCs w:val="40"/>
          <w:shd w:val="clear" w:color="auto" w:fill="FFFFFF"/>
        </w:rPr>
        <w:t>律师</w:t>
      </w:r>
      <w:r>
        <w:rPr>
          <w:rFonts w:hint="eastAsia" w:ascii="方正小标宋简体" w:eastAsia="方正小标宋简体"/>
          <w:sz w:val="40"/>
          <w:szCs w:val="40"/>
          <w:shd w:val="clear" w:color="auto" w:fill="FFFFFF"/>
          <w:lang w:val="en-US" w:eastAsia="zh-CN"/>
        </w:rPr>
        <w:t>代</w:t>
      </w:r>
      <w:r>
        <w:rPr>
          <w:rFonts w:hint="eastAsia" w:ascii="方正小标宋简体" w:eastAsia="方正小标宋简体"/>
          <w:sz w:val="40"/>
          <w:szCs w:val="40"/>
          <w:shd w:val="clear" w:color="auto" w:fill="FFFFFF"/>
        </w:rPr>
        <w:t>理</w:t>
      </w:r>
      <w:r>
        <w:rPr>
          <w:rFonts w:hint="eastAsia" w:ascii="方正小标宋简体" w:eastAsia="方正小标宋简体"/>
          <w:sz w:val="40"/>
          <w:szCs w:val="40"/>
          <w:shd w:val="clear" w:color="auto" w:fill="FFFFFF"/>
          <w:lang w:eastAsia="zh-CN"/>
        </w:rPr>
        <w:t>患方</w:t>
      </w:r>
      <w:r>
        <w:rPr>
          <w:rFonts w:hint="eastAsia" w:ascii="方正小标宋简体" w:eastAsia="方正小标宋简体"/>
          <w:sz w:val="40"/>
          <w:szCs w:val="40"/>
          <w:shd w:val="clear" w:color="auto" w:fill="FFFFFF"/>
        </w:rPr>
        <w:t>医疗损害责任纠纷案件业务</w:t>
      </w:r>
    </w:p>
    <w:p>
      <w:pPr>
        <w:keepNext w:val="0"/>
        <w:keepLines w:val="0"/>
        <w:pageBreakBefore w:val="0"/>
        <w:widowControl w:val="0"/>
        <w:wordWrap/>
        <w:bidi w:val="0"/>
        <w:spacing w:line="500" w:lineRule="exact"/>
        <w:jc w:val="center"/>
        <w:rPr>
          <w:rFonts w:ascii="方正小标宋简体" w:hAnsi="方正小标宋简体" w:eastAsia="方正小标宋简体" w:cs="方正小标宋简体"/>
          <w:color w:val="000000"/>
          <w:sz w:val="40"/>
          <w:szCs w:val="40"/>
          <w:shd w:val="clear" w:color="auto" w:fill="FFFFFF"/>
        </w:rPr>
      </w:pPr>
      <w:r>
        <w:rPr>
          <w:rFonts w:hint="eastAsia" w:ascii="方正小标宋简体" w:hAnsi="方正小标宋简体" w:eastAsia="方正小标宋简体" w:cs="方正小标宋简体"/>
          <w:color w:val="000000"/>
          <w:sz w:val="40"/>
          <w:szCs w:val="40"/>
          <w:shd w:val="clear" w:color="auto" w:fill="FFFFFF"/>
        </w:rPr>
        <w:t>操作指引</w:t>
      </w:r>
    </w:p>
    <w:p>
      <w:pPr>
        <w:pStyle w:val="28"/>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400" w:lineRule="exact"/>
        <w:ind w:firstLine="442" w:firstLineChars="200"/>
        <w:jc w:val="both"/>
        <w:textAlignment w:val="auto"/>
        <w:rPr>
          <w:rFonts w:ascii="仿宋" w:hAnsi="仿宋" w:eastAsia="仿宋" w:cs="Arial"/>
          <w:b/>
          <w:bCs/>
          <w:sz w:val="24"/>
          <w:szCs w:val="24"/>
        </w:rPr>
      </w:pPr>
    </w:p>
    <w:p>
      <w:pPr>
        <w:keepNext w:val="0"/>
        <w:keepLines w:val="0"/>
        <w:pageBreakBefore w:val="0"/>
        <w:widowControl w:val="0"/>
        <w:wordWrap/>
        <w:bidi w:val="0"/>
        <w:spacing w:line="500" w:lineRule="exact"/>
        <w:jc w:val="center"/>
        <w:rPr>
          <w:rFonts w:ascii="黑体" w:hAnsi="黑体" w:eastAsia="黑体" w:cs="黑体"/>
          <w:sz w:val="28"/>
          <w:szCs w:val="28"/>
          <w:shd w:val="clear" w:color="auto" w:fill="FFFFFF"/>
        </w:rPr>
      </w:pPr>
      <w:r>
        <w:rPr>
          <w:rFonts w:hint="eastAsia" w:ascii="黑体" w:hAnsi="黑体" w:eastAsia="黑体" w:cs="黑体"/>
          <w:sz w:val="28"/>
          <w:szCs w:val="28"/>
          <w:shd w:val="clear" w:color="auto" w:fill="FFFFFF"/>
        </w:rPr>
        <w:t>第一章  总 则</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b/>
          <w:sz w:val="28"/>
          <w:szCs w:val="28"/>
        </w:rPr>
        <w:t>第一条</w:t>
      </w:r>
      <w:r>
        <w:rPr>
          <w:rFonts w:hint="eastAsia" w:ascii="仿宋_GB2312" w:hAnsi="Calibri" w:eastAsia="仿宋_GB2312" w:cs="Calibri"/>
          <w:sz w:val="28"/>
          <w:szCs w:val="28"/>
        </w:rPr>
        <w:t xml:space="preserve">  </w:t>
      </w:r>
      <w:r>
        <w:rPr>
          <w:rFonts w:hint="eastAsia" w:ascii="仿宋_GB2312" w:hAnsi="仿宋" w:eastAsia="仿宋_GB2312" w:cs="Arial"/>
          <w:sz w:val="28"/>
          <w:szCs w:val="28"/>
        </w:rPr>
        <w:t>为指导律师规范办理医疗损害责任纠纷案件，确保办案质量，根据《中华人民共和国民事诉讼法》、《中华人民共和国民法典》、《医疗纠纷预防和处理条例》、《最高人民法院关于审理医疗损害责任纠纷案件适用法律若干问题的解释》、《最高人民法院关于审理人身损害赔偿案件适用法律若干问题的解释》、《湖南省高级人民法院关于诉前委托鉴定工作的实施办法》（试行）及相关医疗卫生管理法律、法规等，制订本操作指引。</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sz w:val="28"/>
          <w:szCs w:val="28"/>
          <w:shd w:val="clear" w:color="auto" w:fill="FFFFFF"/>
        </w:rPr>
      </w:pPr>
      <w:r>
        <w:rPr>
          <w:rFonts w:hint="eastAsia" w:ascii="仿宋_GB2312" w:hAnsi="仿宋" w:eastAsia="仿宋_GB2312" w:cs="Arial"/>
          <w:b/>
          <w:sz w:val="28"/>
          <w:szCs w:val="28"/>
        </w:rPr>
        <w:t>第二条</w:t>
      </w:r>
      <w:r>
        <w:rPr>
          <w:rFonts w:hint="eastAsia" w:ascii="仿宋_GB2312" w:hAnsi="Calibri" w:eastAsia="仿宋_GB2312" w:cs="Calibri"/>
          <w:sz w:val="28"/>
          <w:szCs w:val="28"/>
        </w:rPr>
        <w:t xml:space="preserve">  </w:t>
      </w:r>
      <w:r>
        <w:rPr>
          <w:rFonts w:hint="eastAsia" w:ascii="仿宋_GB2312" w:hAnsi="仿宋" w:eastAsia="仿宋_GB2312" w:cs="Arial"/>
          <w:sz w:val="28"/>
          <w:szCs w:val="28"/>
        </w:rPr>
        <w:t>本操作指引所指的医疗纠纷</w:t>
      </w:r>
      <w:r>
        <w:rPr>
          <w:rFonts w:hint="eastAsia" w:ascii="仿宋_GB2312" w:hAnsi="仿宋" w:eastAsia="仿宋_GB2312"/>
          <w:sz w:val="28"/>
          <w:szCs w:val="28"/>
          <w:shd w:val="clear" w:color="auto" w:fill="FFFFFF"/>
        </w:rPr>
        <w:t>是指医患双方因诊疗活动引发的争议。</w:t>
      </w:r>
    </w:p>
    <w:p>
      <w:pPr>
        <w:pStyle w:val="14"/>
        <w:keepNext w:val="0"/>
        <w:keepLines w:val="0"/>
        <w:pageBreakBefore w:val="0"/>
        <w:widowControl w:val="0"/>
        <w:shd w:val="clear" w:color="auto" w:fill="FFFFFF"/>
        <w:wordWrap/>
        <w:bidi w:val="0"/>
        <w:spacing w:beforeAutospacing="0" w:after="0" w:afterAutospacing="0" w:line="500" w:lineRule="exact"/>
        <w:ind w:firstLine="522" w:firstLineChars="200"/>
        <w:jc w:val="both"/>
        <w:rPr>
          <w:rFonts w:hint="eastAsia" w:ascii="仿宋_GB2312" w:hAnsi="仿宋" w:eastAsia="仿宋_GB2312" w:cs="Arial"/>
          <w:sz w:val="28"/>
          <w:szCs w:val="28"/>
        </w:rPr>
      </w:pPr>
      <w:r>
        <w:rPr>
          <w:rFonts w:hint="eastAsia" w:ascii="仿宋_GB2312" w:hAnsi="仿宋" w:eastAsia="仿宋_GB2312" w:cs="Arial"/>
          <w:sz w:val="28"/>
          <w:szCs w:val="28"/>
        </w:rPr>
        <w:t>本指引所指的医疗损害责任纠纷案件，是指患者以在诊疗活动中受到人身损害或者财产损失为由请求医疗机构，医疗产品的生产者、销售者、药品上市许可持有人或者血液提供机构承担侵权责任的案件。包括医疗美容侵权案件。</w:t>
      </w:r>
    </w:p>
    <w:p>
      <w:pPr>
        <w:pStyle w:val="14"/>
        <w:keepNext w:val="0"/>
        <w:keepLines w:val="0"/>
        <w:pageBreakBefore w:val="0"/>
        <w:widowControl w:val="0"/>
        <w:shd w:val="clear" w:color="auto" w:fill="FFFFFF"/>
        <w:wordWrap/>
        <w:bidi w:val="0"/>
        <w:spacing w:beforeAutospacing="0" w:after="0" w:afterAutospacing="0" w:line="500" w:lineRule="exact"/>
        <w:ind w:firstLine="200"/>
        <w:jc w:val="both"/>
        <w:rPr>
          <w:rFonts w:hint="eastAsia" w:ascii="仿宋_GB2312" w:hAnsi="仿宋" w:eastAsia="仿宋_GB2312" w:cs="Arial"/>
          <w:sz w:val="28"/>
          <w:szCs w:val="28"/>
        </w:rPr>
      </w:pPr>
      <w:r>
        <w:rPr>
          <w:rFonts w:hint="eastAsia" w:ascii="仿宋_GB2312" w:hAnsi="仿宋" w:eastAsia="仿宋_GB2312" w:cs="Arial"/>
          <w:sz w:val="28"/>
          <w:szCs w:val="28"/>
        </w:rPr>
        <w:t>不包括当事人提起的医疗服务合同纠纷案件。</w:t>
      </w:r>
    </w:p>
    <w:p>
      <w:pPr>
        <w:pStyle w:val="14"/>
        <w:keepNext w:val="0"/>
        <w:keepLines w:val="0"/>
        <w:pageBreakBefore w:val="0"/>
        <w:widowControl w:val="0"/>
        <w:shd w:val="clear" w:color="auto" w:fill="FFFFFF"/>
        <w:kinsoku/>
        <w:wordWrap/>
        <w:overflowPunct/>
        <w:topLinePunct w:val="0"/>
        <w:autoSpaceDE/>
        <w:autoSpaceDN/>
        <w:bidi w:val="0"/>
        <w:adjustRightInd/>
        <w:snapToGrid/>
        <w:spacing w:beforeAutospacing="0" w:after="0" w:afterAutospacing="0" w:line="400" w:lineRule="exact"/>
        <w:ind w:firstLine="198"/>
        <w:jc w:val="both"/>
        <w:textAlignment w:val="auto"/>
        <w:rPr>
          <w:rFonts w:hint="eastAsia" w:ascii="仿宋_GB2312" w:hAnsi="仿宋" w:eastAsia="仿宋_GB2312" w:cs="Arial"/>
          <w:sz w:val="28"/>
          <w:szCs w:val="28"/>
        </w:rPr>
      </w:pPr>
    </w:p>
    <w:p>
      <w:pPr>
        <w:keepNext w:val="0"/>
        <w:keepLines w:val="0"/>
        <w:pageBreakBefore w:val="0"/>
        <w:widowControl w:val="0"/>
        <w:wordWrap/>
        <w:bidi w:val="0"/>
        <w:spacing w:after="0" w:line="500" w:lineRule="exact"/>
        <w:jc w:val="center"/>
        <w:rPr>
          <w:rFonts w:hint="eastAsia" w:ascii="黑体" w:hAnsi="黑体" w:eastAsia="黑体" w:cs="黑体"/>
          <w:sz w:val="28"/>
          <w:szCs w:val="28"/>
          <w:shd w:val="clear" w:color="auto" w:fill="FFFFFF"/>
        </w:rPr>
      </w:pPr>
      <w:r>
        <w:rPr>
          <w:rFonts w:hint="eastAsia" w:ascii="黑体" w:hAnsi="黑体" w:eastAsia="黑体" w:cs="黑体"/>
          <w:sz w:val="28"/>
          <w:szCs w:val="28"/>
          <w:shd w:val="clear" w:color="auto" w:fill="FFFFFF"/>
        </w:rPr>
        <w:br w:type="page"/>
      </w:r>
      <w:r>
        <w:rPr>
          <w:rFonts w:hint="eastAsia" w:ascii="黑体" w:hAnsi="黑体" w:eastAsia="黑体" w:cs="黑体"/>
          <w:sz w:val="28"/>
          <w:szCs w:val="28"/>
          <w:shd w:val="clear" w:color="auto" w:fill="FFFFFF"/>
        </w:rPr>
        <w:t>第二章  案件委托</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b/>
          <w:sz w:val="28"/>
          <w:szCs w:val="28"/>
        </w:rPr>
        <w:t>第三条</w:t>
      </w:r>
      <w:r>
        <w:rPr>
          <w:rFonts w:hint="eastAsia" w:ascii="仿宋_GB2312" w:hAnsi="仿宋" w:eastAsia="仿宋_GB2312" w:cs="Calibri"/>
          <w:sz w:val="28"/>
          <w:szCs w:val="28"/>
        </w:rPr>
        <w:t xml:space="preserve">  </w:t>
      </w:r>
      <w:r>
        <w:rPr>
          <w:rFonts w:hint="eastAsia" w:ascii="仿宋_GB2312" w:hAnsi="仿宋" w:eastAsia="仿宋_GB2312" w:cs="Arial"/>
          <w:sz w:val="28"/>
          <w:szCs w:val="28"/>
        </w:rPr>
        <w:t>律师接受当事人委托前，应审查该案是否具备受理条件，具体审核要点如下：</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sz w:val="28"/>
          <w:szCs w:val="28"/>
        </w:rPr>
        <w:t>（一）是否存在医疗服务合同关系；</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sz w:val="28"/>
          <w:szCs w:val="28"/>
        </w:rPr>
        <w:t>（二）是否有明确、可量化的人身损害或财产损失结果；</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sz w:val="28"/>
          <w:szCs w:val="28"/>
        </w:rPr>
        <w:t>（三）在医疗活动中是否存在违法、违规行为；</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Tahoma"/>
          <w:sz w:val="28"/>
          <w:szCs w:val="28"/>
        </w:rPr>
        <w:t>（四）医疗产品是否存在缺陷可能；</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Arial"/>
          <w:sz w:val="28"/>
          <w:szCs w:val="28"/>
        </w:rPr>
      </w:pPr>
      <w:r>
        <w:rPr>
          <w:rFonts w:hint="eastAsia" w:ascii="仿宋_GB2312" w:hAnsi="仿宋" w:eastAsia="仿宋_GB2312" w:cs="Arial"/>
          <w:sz w:val="28"/>
          <w:szCs w:val="28"/>
        </w:rPr>
        <w:t>（五）违法、违规行为以及产品缺陷和患者损害后果之间是否具备初步因果关系。</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Arial"/>
          <w:sz w:val="28"/>
          <w:szCs w:val="28"/>
        </w:rPr>
      </w:pPr>
      <w:r>
        <w:rPr>
          <w:rFonts w:hint="eastAsia" w:ascii="仿宋_GB2312" w:hAnsi="仿宋" w:eastAsia="仿宋_GB2312" w:cs="Arial"/>
          <w:sz w:val="28"/>
          <w:szCs w:val="28"/>
        </w:rPr>
        <w:t>（六）是否已经过了诉讼时效、有无诉讼时效中断中止情形；</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sz w:val="28"/>
          <w:szCs w:val="28"/>
        </w:rPr>
        <w:t>（七）委托人是否具备委托资格。</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b/>
          <w:sz w:val="28"/>
          <w:szCs w:val="28"/>
        </w:rPr>
        <w:t>第四条</w:t>
      </w:r>
      <w:r>
        <w:rPr>
          <w:rFonts w:hint="eastAsia" w:ascii="仿宋_GB2312" w:hAnsi="仿宋" w:eastAsia="仿宋_GB2312" w:cs="Calibri"/>
          <w:b/>
          <w:sz w:val="28"/>
          <w:szCs w:val="28"/>
        </w:rPr>
        <w:t xml:space="preserve"> </w:t>
      </w:r>
      <w:r>
        <w:rPr>
          <w:rFonts w:hint="eastAsia" w:ascii="仿宋_GB2312" w:hAnsi="仿宋" w:eastAsia="仿宋_GB2312" w:cs="Calibri"/>
          <w:sz w:val="28"/>
          <w:szCs w:val="28"/>
        </w:rPr>
        <w:t xml:space="preserve"> </w:t>
      </w:r>
      <w:r>
        <w:rPr>
          <w:rFonts w:hint="eastAsia" w:ascii="仿宋_GB2312" w:hAnsi="仿宋" w:eastAsia="仿宋_GB2312" w:cs="Arial"/>
          <w:sz w:val="28"/>
          <w:szCs w:val="28"/>
        </w:rPr>
        <w:t>审核是否具备医疗服务合同关系通常根据患者就诊的挂号凭证、病历、医疗费发票，医疗费清单、或者与就诊相关的其他资料。</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b/>
          <w:sz w:val="28"/>
          <w:szCs w:val="28"/>
        </w:rPr>
        <w:t>第五条</w:t>
      </w:r>
      <w:r>
        <w:rPr>
          <w:rFonts w:hint="eastAsia" w:ascii="仿宋_GB2312" w:hAnsi="仿宋" w:eastAsia="仿宋_GB2312" w:cs="Arial"/>
          <w:sz w:val="28"/>
          <w:szCs w:val="28"/>
        </w:rPr>
        <w:t xml:space="preserve">  指导当事人收集及提交</w:t>
      </w:r>
      <w:r>
        <w:rPr>
          <w:rFonts w:hint="eastAsia" w:ascii="仿宋_GB2312" w:hAnsi="仿宋" w:eastAsia="仿宋_GB2312" w:cs="Tahoma"/>
          <w:sz w:val="28"/>
          <w:szCs w:val="28"/>
        </w:rPr>
        <w:t>医疗损害责任纠纷案件</w:t>
      </w:r>
      <w:r>
        <w:rPr>
          <w:rFonts w:hint="eastAsia" w:ascii="仿宋_GB2312" w:hAnsi="仿宋" w:eastAsia="仿宋_GB2312" w:cs="Arial"/>
          <w:sz w:val="28"/>
          <w:szCs w:val="28"/>
        </w:rPr>
        <w:t>证据，证据范围包括但不限于当事人对就诊经过陈述、就诊资料（包括门急诊病历、住院病历、各种检验检查申请单及报告单、医药费清单、输液单、处方、各种影像学检查胶片、</w:t>
      </w:r>
      <w:r>
        <w:rPr>
          <w:rFonts w:hint="eastAsia" w:ascii="仿宋_GB2312" w:hAnsi="仿宋" w:eastAsia="仿宋_GB2312"/>
          <w:sz w:val="28"/>
          <w:szCs w:val="28"/>
        </w:rPr>
        <w:t>病理切片玻片及腊块、视频监控资料、行政处罚决定书</w:t>
      </w:r>
      <w:r>
        <w:rPr>
          <w:rFonts w:hint="eastAsia" w:ascii="仿宋_GB2312" w:hAnsi="仿宋" w:eastAsia="仿宋_GB2312" w:cs="Arial"/>
          <w:sz w:val="28"/>
          <w:szCs w:val="28"/>
        </w:rPr>
        <w:t>等）、纠纷有关的现场实物（药品、医疗器械、消毒药剂、血液及血制品等）、损失依据（医疗费用发票、护工支出费用凭证等）、身份及亲属关系证明等。</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Calibri"/>
          <w:sz w:val="28"/>
          <w:szCs w:val="28"/>
        </w:rPr>
      </w:pPr>
      <w:r>
        <w:rPr>
          <w:rFonts w:hint="eastAsia" w:ascii="仿宋_GB2312" w:hAnsi="仿宋" w:eastAsia="仿宋_GB2312" w:cs="Arial"/>
          <w:b/>
          <w:sz w:val="28"/>
          <w:szCs w:val="28"/>
        </w:rPr>
        <w:t>第六条</w:t>
      </w:r>
      <w:r>
        <w:rPr>
          <w:rFonts w:hint="eastAsia" w:ascii="仿宋_GB2312" w:hAnsi="仿宋" w:eastAsia="仿宋_GB2312" w:cs="Calibri"/>
          <w:sz w:val="28"/>
          <w:szCs w:val="28"/>
        </w:rPr>
        <w:t xml:space="preserve">  </w:t>
      </w:r>
      <w:r>
        <w:rPr>
          <w:rFonts w:hint="eastAsia" w:ascii="仿宋_GB2312" w:hAnsi="仿宋" w:eastAsia="仿宋_GB2312" w:cs="Tahoma"/>
          <w:sz w:val="28"/>
          <w:szCs w:val="28"/>
        </w:rPr>
        <w:t>指导或代理当事人及时复印、封存相关病历资料（患方可以复印、封存全部病历资料），及时调取或封存与诊疗行为相关的视频资料等。</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sz w:val="28"/>
          <w:szCs w:val="28"/>
        </w:rPr>
        <w:t>如案件疑似输液、输血、医疗器械、消毒药剂等引起不良后果的，可以指导或代理当事人对现场实物进行封存。必要时，及时要求送检。</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Tahoma"/>
          <w:sz w:val="28"/>
          <w:szCs w:val="28"/>
        </w:rPr>
        <w:t>对于患者死亡案件，医患双方当事人不能确定死因或者对死因有异议的，应建议尸检（尸检应在患者死亡后４8小时内进行尸检；具备尸体冻存条件的，可以延长至７日），尸检应当经死者近亲属同意并签字。律师应分析尸检的必要性以及告知当事人尸检的程序及法律价值。</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rPr>
          <w:rFonts w:hint="eastAsia" w:ascii="仿宋_GB2312" w:hAnsi="仿宋" w:eastAsia="仿宋_GB2312" w:cs="Tahoma"/>
          <w:sz w:val="28"/>
          <w:szCs w:val="28"/>
        </w:rPr>
      </w:pPr>
      <w:r>
        <w:rPr>
          <w:rFonts w:hint="eastAsia" w:ascii="仿宋_GB2312" w:hAnsi="仿宋" w:eastAsia="仿宋_GB2312" w:cs="Arial"/>
          <w:b/>
          <w:sz w:val="28"/>
          <w:szCs w:val="28"/>
        </w:rPr>
        <w:t>第七条</w:t>
      </w:r>
      <w:r>
        <w:rPr>
          <w:rFonts w:hint="eastAsia" w:ascii="仿宋_GB2312" w:hAnsi="仿宋" w:eastAsia="仿宋_GB2312" w:cs="Calibri"/>
          <w:sz w:val="28"/>
          <w:szCs w:val="28"/>
        </w:rPr>
        <w:t xml:space="preserve">  </w:t>
      </w:r>
      <w:r>
        <w:rPr>
          <w:rFonts w:hint="eastAsia" w:ascii="仿宋_GB2312" w:hAnsi="仿宋" w:eastAsia="仿宋_GB2312" w:cs="Arial"/>
          <w:sz w:val="28"/>
          <w:szCs w:val="28"/>
        </w:rPr>
        <w:t>签订聘请律师合同时应当包括以下内容：</w:t>
      </w:r>
    </w:p>
    <w:p>
      <w:pPr>
        <w:pStyle w:val="28"/>
        <w:keepNext w:val="0"/>
        <w:keepLines w:val="0"/>
        <w:pageBreakBefore w:val="0"/>
        <w:widowControl w:val="0"/>
        <w:numPr>
          <w:ilvl w:val="0"/>
          <w:numId w:val="0"/>
        </w:numPr>
        <w:shd w:val="clear" w:color="auto" w:fill="FFFFFF"/>
        <w:wordWrap/>
        <w:bidi w:val="0"/>
        <w:spacing w:before="0" w:beforeAutospacing="0" w:after="0" w:afterAutospacing="0" w:line="500" w:lineRule="exact"/>
        <w:ind w:firstLine="522" w:firstLineChars="200"/>
        <w:rPr>
          <w:rFonts w:hint="eastAsia" w:ascii="仿宋_GB2312" w:hAnsi="仿宋" w:eastAsia="仿宋_GB2312" w:cs="Arial"/>
          <w:sz w:val="28"/>
          <w:szCs w:val="28"/>
        </w:rPr>
      </w:pPr>
      <w:r>
        <w:rPr>
          <w:rFonts w:hint="eastAsia" w:ascii="仿宋_GB2312" w:hAnsi="仿宋" w:eastAsia="仿宋_GB2312" w:cs="Arial"/>
          <w:sz w:val="28"/>
          <w:szCs w:val="28"/>
          <w:lang w:eastAsia="zh-CN"/>
        </w:rPr>
        <w:t>（</w:t>
      </w:r>
      <w:r>
        <w:rPr>
          <w:rFonts w:hint="eastAsia" w:ascii="仿宋_GB2312" w:hAnsi="仿宋" w:eastAsia="仿宋_GB2312" w:cs="Arial"/>
          <w:sz w:val="28"/>
          <w:szCs w:val="28"/>
          <w:lang w:val="en-US" w:eastAsia="zh-CN"/>
        </w:rPr>
        <w:t>一</w:t>
      </w:r>
      <w:r>
        <w:rPr>
          <w:rFonts w:hint="eastAsia" w:ascii="仿宋_GB2312" w:hAnsi="仿宋" w:eastAsia="仿宋_GB2312" w:cs="Arial"/>
          <w:sz w:val="28"/>
          <w:szCs w:val="28"/>
          <w:lang w:eastAsia="zh-CN"/>
        </w:rPr>
        <w:t>）</w:t>
      </w:r>
      <w:r>
        <w:rPr>
          <w:rFonts w:hint="eastAsia" w:ascii="仿宋_GB2312" w:hAnsi="仿宋" w:eastAsia="仿宋_GB2312" w:cs="Arial"/>
          <w:sz w:val="28"/>
          <w:szCs w:val="28"/>
        </w:rPr>
        <w:t>风险告知：</w:t>
      </w:r>
    </w:p>
    <w:p>
      <w:pPr>
        <w:pStyle w:val="28"/>
        <w:keepNext w:val="0"/>
        <w:keepLines w:val="0"/>
        <w:pageBreakBefore w:val="0"/>
        <w:widowControl w:val="0"/>
        <w:shd w:val="clear" w:color="auto" w:fill="FFFFFF"/>
        <w:wordWrap/>
        <w:bidi w:val="0"/>
        <w:spacing w:before="0" w:beforeAutospacing="0" w:after="0" w:afterAutospacing="0" w:line="500" w:lineRule="exact"/>
        <w:ind w:firstLine="757" w:firstLineChars="290"/>
        <w:rPr>
          <w:rFonts w:hint="eastAsia" w:ascii="仿宋_GB2312" w:hAnsi="仿宋" w:eastAsia="仿宋_GB2312" w:cs="Arial"/>
          <w:sz w:val="28"/>
          <w:szCs w:val="28"/>
        </w:rPr>
      </w:pPr>
      <w:r>
        <w:rPr>
          <w:rFonts w:hint="eastAsia" w:ascii="仿宋_GB2312" w:hAnsi="仿宋" w:eastAsia="仿宋_GB2312" w:cs="Arial"/>
          <w:sz w:val="28"/>
          <w:szCs w:val="28"/>
        </w:rPr>
        <w:t>包括：</w:t>
      </w:r>
    </w:p>
    <w:p>
      <w:pPr>
        <w:pStyle w:val="28"/>
        <w:keepNext w:val="0"/>
        <w:keepLines w:val="0"/>
        <w:pageBreakBefore w:val="0"/>
        <w:widowControl w:val="0"/>
        <w:shd w:val="clear" w:color="auto" w:fill="FFFFFF"/>
        <w:wordWrap/>
        <w:bidi w:val="0"/>
        <w:spacing w:before="0" w:beforeAutospacing="0" w:after="0" w:afterAutospacing="0" w:line="500" w:lineRule="exact"/>
        <w:ind w:firstLine="509" w:firstLineChars="195"/>
        <w:rPr>
          <w:rFonts w:hint="eastAsia" w:ascii="仿宋_GB2312" w:hAnsi="仿宋" w:eastAsia="仿宋_GB2312" w:cs="Arial"/>
          <w:sz w:val="28"/>
          <w:szCs w:val="28"/>
        </w:rPr>
      </w:pPr>
      <w:r>
        <w:rPr>
          <w:rFonts w:hint="eastAsia" w:ascii="仿宋_GB2312" w:hAnsi="仿宋" w:eastAsia="仿宋_GB2312" w:cs="Arial"/>
          <w:sz w:val="28"/>
          <w:szCs w:val="28"/>
        </w:rPr>
        <w:t>（1）对案件结果不做百分之百胜诉的承诺；</w:t>
      </w:r>
    </w:p>
    <w:p>
      <w:pPr>
        <w:pStyle w:val="28"/>
        <w:keepNext w:val="0"/>
        <w:keepLines w:val="0"/>
        <w:pageBreakBefore w:val="0"/>
        <w:widowControl w:val="0"/>
        <w:shd w:val="clear" w:color="auto" w:fill="FFFFFF"/>
        <w:wordWrap/>
        <w:bidi w:val="0"/>
        <w:spacing w:before="0" w:beforeAutospacing="0" w:after="0" w:afterAutospacing="0" w:line="500" w:lineRule="exact"/>
        <w:ind w:firstLine="509" w:firstLineChars="195"/>
        <w:rPr>
          <w:rFonts w:hint="eastAsia" w:ascii="仿宋_GB2312" w:hAnsi="仿宋" w:eastAsia="仿宋_GB2312" w:cs="Arial"/>
          <w:sz w:val="28"/>
          <w:szCs w:val="28"/>
        </w:rPr>
      </w:pPr>
      <w:r>
        <w:rPr>
          <w:rFonts w:hint="eastAsia" w:ascii="仿宋_GB2312" w:hAnsi="仿宋" w:eastAsia="仿宋_GB2312" w:cs="Arial"/>
          <w:sz w:val="28"/>
          <w:szCs w:val="28"/>
        </w:rPr>
        <w:t>（2）案件败诉可能承担的费用损失（律师费、鉴定费、诉讼费）；</w:t>
      </w:r>
    </w:p>
    <w:p>
      <w:pPr>
        <w:pStyle w:val="28"/>
        <w:keepNext w:val="0"/>
        <w:keepLines w:val="0"/>
        <w:pageBreakBefore w:val="0"/>
        <w:widowControl w:val="0"/>
        <w:shd w:val="clear" w:color="auto" w:fill="FFFFFF"/>
        <w:wordWrap/>
        <w:bidi w:val="0"/>
        <w:spacing w:before="0" w:beforeAutospacing="0" w:after="0" w:afterAutospacing="0" w:line="500" w:lineRule="exact"/>
        <w:ind w:firstLine="509" w:firstLineChars="195"/>
        <w:rPr>
          <w:rFonts w:hint="eastAsia" w:ascii="仿宋_GB2312" w:hAnsi="仿宋" w:eastAsia="仿宋_GB2312" w:cs="Arial"/>
          <w:sz w:val="28"/>
          <w:szCs w:val="28"/>
        </w:rPr>
      </w:pPr>
      <w:r>
        <w:rPr>
          <w:rFonts w:hint="eastAsia" w:ascii="仿宋_GB2312" w:hAnsi="仿宋" w:eastAsia="仿宋_GB2312" w:cs="Arial"/>
          <w:sz w:val="28"/>
          <w:szCs w:val="28"/>
        </w:rPr>
        <w:t>（3）时间周期长，短时间内难以结案；</w:t>
      </w:r>
    </w:p>
    <w:p>
      <w:pPr>
        <w:pStyle w:val="28"/>
        <w:keepNext w:val="0"/>
        <w:keepLines w:val="0"/>
        <w:pageBreakBefore w:val="0"/>
        <w:widowControl w:val="0"/>
        <w:shd w:val="clear" w:color="auto" w:fill="FFFFFF"/>
        <w:wordWrap/>
        <w:bidi w:val="0"/>
        <w:spacing w:before="0" w:beforeAutospacing="0" w:after="0" w:afterAutospacing="0" w:line="500" w:lineRule="exact"/>
        <w:ind w:firstLine="509" w:firstLineChars="195"/>
        <w:rPr>
          <w:rFonts w:hint="eastAsia" w:ascii="仿宋_GB2312" w:hAnsi="仿宋" w:eastAsia="仿宋_GB2312" w:cs="Arial"/>
          <w:sz w:val="28"/>
          <w:szCs w:val="28"/>
        </w:rPr>
      </w:pPr>
      <w:r>
        <w:rPr>
          <w:rFonts w:hint="eastAsia" w:ascii="仿宋_GB2312" w:hAnsi="仿宋" w:eastAsia="仿宋_GB2312" w:cs="Arial"/>
          <w:sz w:val="28"/>
          <w:szCs w:val="28"/>
        </w:rPr>
        <w:t>（4）案件高度依赖医疗鉴定，鉴定结论具有不确定性，重新鉴定启动难度大的风险；</w:t>
      </w:r>
    </w:p>
    <w:p>
      <w:pPr>
        <w:pStyle w:val="28"/>
        <w:keepNext w:val="0"/>
        <w:keepLines w:val="0"/>
        <w:pageBreakBefore w:val="0"/>
        <w:widowControl w:val="0"/>
        <w:shd w:val="clear" w:color="auto" w:fill="FFFFFF"/>
        <w:wordWrap/>
        <w:bidi w:val="0"/>
        <w:spacing w:before="0" w:beforeAutospacing="0" w:after="0" w:afterAutospacing="0" w:line="500" w:lineRule="exact"/>
        <w:ind w:firstLine="509" w:firstLineChars="195"/>
        <w:jc w:val="both"/>
        <w:rPr>
          <w:rFonts w:hint="eastAsia" w:ascii="仿宋_GB2312" w:hAnsi="仿宋" w:eastAsia="仿宋_GB2312" w:cs="Tahoma"/>
          <w:sz w:val="28"/>
          <w:szCs w:val="28"/>
        </w:rPr>
      </w:pPr>
      <w:r>
        <w:rPr>
          <w:rFonts w:hint="eastAsia" w:ascii="仿宋_GB2312" w:hAnsi="仿宋" w:eastAsia="仿宋_GB2312" w:cs="Arial"/>
          <w:sz w:val="28"/>
          <w:szCs w:val="28"/>
        </w:rPr>
        <w:t>（5）根据案件实际情况，告知其他可能存在的法律风险。</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sz w:val="28"/>
          <w:szCs w:val="28"/>
        </w:rPr>
        <w:t>（二）律师费收取方式</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sz w:val="28"/>
          <w:szCs w:val="28"/>
        </w:rPr>
        <w:t>律师提供法律咨询或案件代理服务，可以参照</w:t>
      </w:r>
      <w:r>
        <w:rPr>
          <w:rFonts w:hint="eastAsia" w:ascii="Calibri" w:hAnsi="Calibri" w:eastAsia="仿宋_GB2312" w:cs="Calibri"/>
          <w:sz w:val="28"/>
          <w:szCs w:val="28"/>
        </w:rPr>
        <w:t> </w:t>
      </w:r>
      <w:r>
        <w:rPr>
          <w:rFonts w:hint="eastAsia" w:ascii="仿宋_GB2312" w:hAnsi="仿宋" w:eastAsia="仿宋_GB2312" w:cs="Arial"/>
          <w:sz w:val="28"/>
          <w:szCs w:val="28"/>
        </w:rPr>
        <w:t>20</w:t>
      </w:r>
      <w:r>
        <w:rPr>
          <w:rFonts w:hint="eastAsia" w:ascii="仿宋_GB2312" w:hAnsi="仿宋" w:eastAsia="仿宋_GB2312" w:cs="Tahoma"/>
          <w:sz w:val="28"/>
          <w:szCs w:val="28"/>
        </w:rPr>
        <w:t>17</w:t>
      </w:r>
      <w:r>
        <w:rPr>
          <w:rFonts w:hint="eastAsia" w:ascii="仿宋_GB2312" w:hAnsi="仿宋" w:eastAsia="仿宋_GB2312" w:cs="Arial"/>
          <w:sz w:val="28"/>
          <w:szCs w:val="28"/>
        </w:rPr>
        <w:t>年</w:t>
      </w:r>
      <w:r>
        <w:rPr>
          <w:rFonts w:hint="eastAsia" w:ascii="Calibri" w:hAnsi="Calibri" w:eastAsia="仿宋_GB2312" w:cs="Calibri"/>
          <w:sz w:val="28"/>
          <w:szCs w:val="28"/>
        </w:rPr>
        <w:t> </w:t>
      </w:r>
      <w:r>
        <w:rPr>
          <w:rFonts w:hint="eastAsia" w:ascii="仿宋_GB2312" w:hAnsi="仿宋" w:eastAsia="仿宋_GB2312" w:cs="Tahoma"/>
          <w:sz w:val="28"/>
          <w:szCs w:val="28"/>
        </w:rPr>
        <w:t>1月19</w:t>
      </w:r>
      <w:r>
        <w:rPr>
          <w:rFonts w:hint="eastAsia" w:ascii="仿宋_GB2312" w:hAnsi="仿宋" w:eastAsia="仿宋_GB2312" w:cs="Arial"/>
          <w:sz w:val="28"/>
          <w:szCs w:val="28"/>
        </w:rPr>
        <w:t>日施行的《</w:t>
      </w:r>
      <w:r>
        <w:rPr>
          <w:rFonts w:hint="eastAsia" w:ascii="仿宋_GB2312" w:hAnsi="仿宋" w:eastAsia="仿宋_GB2312" w:cs="Tahoma"/>
          <w:sz w:val="28"/>
          <w:szCs w:val="28"/>
        </w:rPr>
        <w:t>湖南省律师服务收费行业指导标准</w:t>
      </w:r>
      <w:r>
        <w:rPr>
          <w:rFonts w:hint="eastAsia" w:ascii="仿宋_GB2312" w:hAnsi="仿宋" w:eastAsia="仿宋_GB2312" w:cs="Arial"/>
          <w:sz w:val="28"/>
          <w:szCs w:val="28"/>
        </w:rPr>
        <w:t>》收取律师费。</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Tahoma"/>
          <w:sz w:val="28"/>
          <w:szCs w:val="28"/>
        </w:rPr>
        <w:t>（三）根据法律规定，医疗机构属于公共场所，律师在发现以下行为时，应当告知当事人可能会触犯相关法律，有被追究相应的法律责任的风险：</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sz w:val="28"/>
          <w:szCs w:val="28"/>
        </w:rPr>
        <w:t>（1）</w:t>
      </w:r>
      <w:r>
        <w:rPr>
          <w:rFonts w:hint="eastAsia" w:ascii="Calibri" w:hAnsi="Calibri" w:eastAsia="仿宋_GB2312" w:cs="Calibri"/>
          <w:sz w:val="28"/>
          <w:szCs w:val="28"/>
        </w:rPr>
        <w:t> </w:t>
      </w:r>
      <w:r>
        <w:rPr>
          <w:rFonts w:hint="eastAsia" w:ascii="仿宋_GB2312" w:hAnsi="仿宋" w:eastAsia="仿宋_GB2312" w:cs="Arial"/>
          <w:sz w:val="28"/>
          <w:szCs w:val="28"/>
        </w:rPr>
        <w:t>在医疗机构焚烧纸钱、摆设灵堂、摆放花圈、私拉横幅、违规停尸、聚众滋事、围堵大门或者重要出入口影响人员正常进出；</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sz w:val="28"/>
          <w:szCs w:val="28"/>
        </w:rPr>
        <w:t>（2）在医疗机构内寻衅滋事；</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sz w:val="28"/>
          <w:szCs w:val="28"/>
        </w:rPr>
        <w:t>（3）冲击或者占据医疗机构办公、诊疗场所；</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sz w:val="28"/>
          <w:szCs w:val="28"/>
        </w:rPr>
        <w:t>（4）非法携带易燃、易爆危险物品或者管制器具进入医疗机构；</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sz w:val="28"/>
          <w:szCs w:val="28"/>
        </w:rPr>
        <w:t>（5）侮辱、威胁、恐吓、故意伤害医务人员或者限制医务人员人身自由，或者威胁其他人员人身安全的行为；</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sz w:val="28"/>
          <w:szCs w:val="28"/>
        </w:rPr>
        <w:t>（6）在医疗机构内故意损毁或者盗窃、抢夺公私财物；</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sz w:val="28"/>
          <w:szCs w:val="28"/>
        </w:rPr>
        <w:t>（7）阻挠将尸体移放太平间或者殡仪馆；</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sz w:val="28"/>
          <w:szCs w:val="28"/>
        </w:rPr>
        <w:t>（8）其他扰乱医疗机构正常秩序的行为。</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Arial"/>
          <w:sz w:val="28"/>
          <w:szCs w:val="28"/>
        </w:rPr>
      </w:pPr>
      <w:r>
        <w:rPr>
          <w:rFonts w:hint="eastAsia" w:ascii="仿宋_GB2312" w:hAnsi="仿宋" w:eastAsia="仿宋_GB2312" w:cs="Arial"/>
          <w:b/>
          <w:sz w:val="28"/>
          <w:szCs w:val="28"/>
        </w:rPr>
        <w:t>第八条</w:t>
      </w:r>
      <w:r>
        <w:rPr>
          <w:rFonts w:hint="eastAsia" w:ascii="仿宋_GB2312" w:hAnsi="仿宋" w:eastAsia="仿宋_GB2312" w:cs="Calibri"/>
          <w:sz w:val="28"/>
          <w:szCs w:val="28"/>
        </w:rPr>
        <w:t xml:space="preserve">  </w:t>
      </w:r>
      <w:r>
        <w:rPr>
          <w:rFonts w:hint="eastAsia" w:ascii="仿宋_GB2312" w:hAnsi="仿宋" w:eastAsia="仿宋_GB2312" w:cs="Arial"/>
          <w:sz w:val="28"/>
          <w:szCs w:val="28"/>
        </w:rPr>
        <w:t>律师在接受当事人委托后，可以从确定案由、审核病历资料、审核医疗机构医务人员资质、审核诊疗行为、是否侵犯患者知情权、隐私权等方面着手进行案件审查，具体见附件《律师审核医疗纠纷案件要点提示》。</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b/>
          <w:sz w:val="28"/>
          <w:szCs w:val="28"/>
        </w:rPr>
        <w:t>第九条</w:t>
      </w:r>
      <w:r>
        <w:rPr>
          <w:rFonts w:hint="eastAsia" w:ascii="仿宋_GB2312" w:hAnsi="仿宋" w:eastAsia="仿宋_GB2312" w:cs="Calibri"/>
          <w:sz w:val="28"/>
          <w:szCs w:val="28"/>
        </w:rPr>
        <w:t xml:space="preserve">  </w:t>
      </w:r>
      <w:r>
        <w:rPr>
          <w:rFonts w:hint="eastAsia" w:ascii="仿宋_GB2312" w:hAnsi="仿宋" w:eastAsia="仿宋_GB2312" w:cs="Arial"/>
          <w:sz w:val="28"/>
          <w:szCs w:val="28"/>
        </w:rPr>
        <w:t>律师经以上全面审核，并征询当事人意见后，依据过错程度、损害后果及之间的因果关系，分析案件主要矛盾，确立代理重点。</w:t>
      </w:r>
    </w:p>
    <w:p>
      <w:pPr>
        <w:keepNext w:val="0"/>
        <w:keepLines w:val="0"/>
        <w:pageBreakBefore w:val="0"/>
        <w:widowControl w:val="0"/>
        <w:wordWrap/>
        <w:bidi w:val="0"/>
        <w:spacing w:after="0" w:line="500" w:lineRule="exact"/>
        <w:ind w:firstLine="200"/>
        <w:jc w:val="center"/>
        <w:rPr>
          <w:rFonts w:hint="eastAsia" w:ascii="黑体" w:hAnsi="黑体" w:eastAsia="黑体" w:cs="Arial"/>
          <w:bCs/>
          <w:sz w:val="28"/>
          <w:szCs w:val="28"/>
        </w:rPr>
      </w:pPr>
    </w:p>
    <w:p>
      <w:pPr>
        <w:keepNext w:val="0"/>
        <w:keepLines w:val="0"/>
        <w:pageBreakBefore w:val="0"/>
        <w:widowControl w:val="0"/>
        <w:wordWrap/>
        <w:bidi w:val="0"/>
        <w:spacing w:after="0" w:line="500" w:lineRule="exact"/>
        <w:ind w:firstLine="200"/>
        <w:jc w:val="center"/>
        <w:rPr>
          <w:rFonts w:hint="eastAsia" w:ascii="黑体" w:hAnsi="黑体" w:eastAsia="黑体" w:cs="Tahoma"/>
          <w:bCs/>
          <w:sz w:val="28"/>
          <w:szCs w:val="28"/>
        </w:rPr>
      </w:pPr>
      <w:r>
        <w:rPr>
          <w:rFonts w:hint="eastAsia" w:ascii="黑体" w:hAnsi="黑体" w:eastAsia="黑体" w:cs="Arial"/>
          <w:bCs/>
          <w:sz w:val="28"/>
          <w:szCs w:val="28"/>
        </w:rPr>
        <w:t>第三章  代理协商、调解和诉讼</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b/>
          <w:sz w:val="28"/>
          <w:szCs w:val="28"/>
        </w:rPr>
        <w:t>第十条</w:t>
      </w:r>
      <w:r>
        <w:rPr>
          <w:rFonts w:hint="eastAsia" w:ascii="仿宋_GB2312" w:hAnsi="Calibri" w:eastAsia="仿宋_GB2312" w:cs="Calibri"/>
          <w:sz w:val="28"/>
          <w:szCs w:val="28"/>
        </w:rPr>
        <w:t xml:space="preserve">  </w:t>
      </w:r>
      <w:r>
        <w:rPr>
          <w:rFonts w:hint="eastAsia" w:ascii="仿宋_GB2312" w:hAnsi="仿宋" w:eastAsia="仿宋_GB2312" w:cs="Arial"/>
          <w:sz w:val="28"/>
          <w:szCs w:val="28"/>
        </w:rPr>
        <w:t>律师在接受案件委托后，可以建议当事人通过人民调解的方式解决纠纷。长沙市内医疗机构可以通过长沙市医疗纠纷调解委员会进行调解。</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Arial"/>
          <w:sz w:val="28"/>
          <w:szCs w:val="28"/>
        </w:rPr>
      </w:pPr>
      <w:r>
        <w:rPr>
          <w:rFonts w:hint="eastAsia" w:ascii="仿宋_GB2312" w:hAnsi="仿宋" w:eastAsia="仿宋_GB2312" w:cs="Arial"/>
          <w:b/>
          <w:sz w:val="28"/>
          <w:szCs w:val="28"/>
        </w:rPr>
        <w:t>第十一条</w:t>
      </w:r>
      <w:r>
        <w:rPr>
          <w:rFonts w:hint="eastAsia" w:ascii="Calibri" w:hAnsi="Calibri" w:eastAsia="仿宋_GB2312" w:cs="Calibri"/>
          <w:sz w:val="28"/>
          <w:szCs w:val="28"/>
        </w:rPr>
        <w:t xml:space="preserve">  </w:t>
      </w:r>
      <w:r>
        <w:rPr>
          <w:rFonts w:hint="eastAsia" w:ascii="仿宋_GB2312" w:hAnsi="仿宋" w:eastAsia="仿宋_GB2312" w:cs="Arial"/>
          <w:sz w:val="28"/>
          <w:szCs w:val="28"/>
        </w:rPr>
        <w:t>《湖南省高级人民法院关于诉前委托鉴定工作的实施办法》（试行）实施后，基层法院设置了诉前调解程序，并将鉴定纳入诉前调解环节，律师应当对当事人说明。</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sz w:val="28"/>
          <w:szCs w:val="28"/>
        </w:rPr>
        <w:t>但对于病历真实性有争议、已和解或调解结案又再诉等案件，一般不宜做诉前鉴定，应正式立案解决争议问题后再鉴定。</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b/>
          <w:sz w:val="28"/>
          <w:szCs w:val="28"/>
        </w:rPr>
        <w:t>第十二条</w:t>
      </w:r>
      <w:r>
        <w:rPr>
          <w:rFonts w:hint="eastAsia" w:ascii="Calibri" w:hAnsi="Calibri" w:eastAsia="仿宋_GB2312" w:cs="Calibri"/>
          <w:sz w:val="28"/>
          <w:szCs w:val="28"/>
        </w:rPr>
        <w:t xml:space="preserve">  </w:t>
      </w:r>
      <w:r>
        <w:rPr>
          <w:rFonts w:hint="eastAsia" w:ascii="仿宋_GB2312" w:hAnsi="仿宋" w:eastAsia="仿宋_GB2312" w:cs="Arial"/>
          <w:sz w:val="28"/>
          <w:szCs w:val="28"/>
        </w:rPr>
        <w:t>起诉及应诉</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sz w:val="28"/>
          <w:szCs w:val="28"/>
        </w:rPr>
        <w:t>（一）案由选择：医疗纠纷案件，患方律师应当根据案件具体情况来确定案由的选择。代理律师应熟悉不同医疗纠纷案件的案由的特点及举证责任要求。</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sz w:val="28"/>
          <w:szCs w:val="28"/>
        </w:rPr>
        <w:t>（二）诉讼请求及相关材料准备同一般人身损害赔偿案件。</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sz w:val="28"/>
          <w:szCs w:val="28"/>
        </w:rPr>
        <w:t>（三）递交诉状时应一并递交需要进行医疗过错及因果关系、损害程度等相关事项的鉴定申请。</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b/>
          <w:sz w:val="28"/>
          <w:szCs w:val="28"/>
        </w:rPr>
        <w:t>第十三条</w:t>
      </w:r>
      <w:r>
        <w:rPr>
          <w:rFonts w:hint="eastAsia" w:ascii="Calibri" w:hAnsi="Calibri" w:eastAsia="仿宋_GB2312" w:cs="Calibri"/>
          <w:sz w:val="28"/>
          <w:szCs w:val="28"/>
        </w:rPr>
        <w:t xml:space="preserve">  </w:t>
      </w:r>
      <w:r>
        <w:rPr>
          <w:rFonts w:hint="eastAsia" w:ascii="仿宋_GB2312" w:hAnsi="仿宋" w:eastAsia="仿宋_GB2312" w:cs="Arial"/>
          <w:sz w:val="28"/>
          <w:szCs w:val="28"/>
        </w:rPr>
        <w:t>举证</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sz w:val="28"/>
          <w:szCs w:val="28"/>
        </w:rPr>
        <w:t>代理律师应当就存在医疗法律关系、存在人身损害及损害结果涉及赔偿范围、数额等进行举证，在是否存在医疗过错及医疗过错与损害后果之间是否存在因果关系及医疗过错参与度方面，根据案件的实际决定是否申请医疗损害鉴定。</w:t>
      </w:r>
      <w:r>
        <w:rPr>
          <w:rFonts w:hint="eastAsia" w:ascii="Calibri" w:hAnsi="Calibri" w:eastAsia="仿宋_GB2312" w:cs="Calibri"/>
          <w:sz w:val="28"/>
          <w:szCs w:val="28"/>
        </w:rPr>
        <w:t> </w:t>
      </w:r>
      <w:r>
        <w:rPr>
          <w:rFonts w:hint="eastAsia" w:ascii="仿宋_GB2312" w:hAnsi="仿宋" w:eastAsia="仿宋_GB2312" w:cs="Arial"/>
          <w:sz w:val="28"/>
          <w:szCs w:val="28"/>
        </w:rPr>
        <w:t>对于医疗产品损害责任，代理律师应当就产品存在缺陷、缺陷产品与损害结果存在因果关系进行举证，必要时申请司法鉴定。</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Tahoma"/>
          <w:sz w:val="28"/>
          <w:szCs w:val="28"/>
        </w:rPr>
        <w:t>能够证明医疗机构有《中华人民共和国民法典》第1222条规定的下列情形之一的，可推定医疗机构有过错：</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sz w:val="28"/>
          <w:szCs w:val="28"/>
        </w:rPr>
        <w:t>（一）违反法律、行政法规、规章以及其他有关诊疗规范的规定；</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sz w:val="28"/>
          <w:szCs w:val="28"/>
        </w:rPr>
        <w:t>（二）隐匿或者拒绝提供与纠纷有关的病历资料；</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sz w:val="28"/>
          <w:szCs w:val="28"/>
        </w:rPr>
        <w:t>（三）遗失、伪造、篡改或者违法销毁病历资料。</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Tahoma"/>
          <w:sz w:val="28"/>
          <w:szCs w:val="28"/>
        </w:rPr>
        <w:t>对于因果关系的举证责任，我国《民法典》并没有明确规定由医方还是患方来承担举证责任，一般均通过申请医疗技术鉴定来解决。</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Tahoma"/>
          <w:sz w:val="28"/>
          <w:szCs w:val="28"/>
        </w:rPr>
        <w:t>但对于医方存在推定过错的法定情形之一的，鉴定申请原则上应由医方提出。</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b/>
          <w:sz w:val="28"/>
          <w:szCs w:val="28"/>
        </w:rPr>
        <w:t>第十四条</w:t>
      </w:r>
      <w:r>
        <w:rPr>
          <w:rFonts w:hint="eastAsia" w:ascii="Calibri" w:hAnsi="Calibri" w:eastAsia="仿宋_GB2312" w:cs="Calibri"/>
          <w:sz w:val="28"/>
          <w:szCs w:val="28"/>
        </w:rPr>
        <w:t xml:space="preserve">  </w:t>
      </w:r>
      <w:r>
        <w:rPr>
          <w:rFonts w:hint="eastAsia" w:ascii="仿宋_GB2312" w:hAnsi="仿宋" w:eastAsia="仿宋_GB2312" w:cs="Arial"/>
          <w:sz w:val="28"/>
          <w:szCs w:val="28"/>
        </w:rPr>
        <w:t>证据交换</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sz w:val="28"/>
          <w:szCs w:val="28"/>
        </w:rPr>
        <w:t>（一）如果病历已经封存，应当核对封存袋封面是否系原始封存状态；</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Calibri" w:eastAsia="仿宋_GB2312" w:cs="Calibri"/>
          <w:sz w:val="28"/>
          <w:szCs w:val="28"/>
        </w:rPr>
        <w:t>（二）</w:t>
      </w:r>
      <w:r>
        <w:rPr>
          <w:rFonts w:hint="eastAsia" w:ascii="仿宋_GB2312" w:hAnsi="仿宋" w:eastAsia="仿宋_GB2312" w:cs="Arial"/>
          <w:sz w:val="28"/>
          <w:szCs w:val="28"/>
        </w:rPr>
        <w:t>拆封病历后，核对已经复印的病史资料与原件是否一致，包括页数以及病历内容等；</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sz w:val="28"/>
          <w:szCs w:val="28"/>
        </w:rPr>
        <w:t>（三）基于病历资料由医方形成并保管，故在双方发生争议后，患方代理律师应当重视病历资料审查和质证，尽量提交书面质证意见。</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sz w:val="28"/>
          <w:szCs w:val="28"/>
        </w:rPr>
        <w:t>第十五条</w:t>
      </w:r>
      <w:r>
        <w:rPr>
          <w:rFonts w:hint="eastAsia" w:ascii="仿宋_GB2312" w:hAnsi="Calibri" w:eastAsia="仿宋_GB2312" w:cs="Calibri"/>
          <w:sz w:val="28"/>
          <w:szCs w:val="28"/>
        </w:rPr>
        <w:t xml:space="preserve"> </w:t>
      </w:r>
      <w:r>
        <w:rPr>
          <w:rFonts w:hint="eastAsia" w:ascii="仿宋_GB2312" w:hAnsi="仿宋" w:eastAsia="仿宋_GB2312" w:cs="Arial"/>
          <w:sz w:val="28"/>
          <w:szCs w:val="28"/>
        </w:rPr>
        <w:t>病历是医疗纠纷案件中的主要证据，但不是唯一证据，律师应当指导或代理当事人在必要时收集其他证据并在证据交换时提供。</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b/>
          <w:sz w:val="28"/>
          <w:szCs w:val="28"/>
        </w:rPr>
        <w:t>第十六条</w:t>
      </w:r>
      <w:r>
        <w:rPr>
          <w:rFonts w:hint="eastAsia" w:ascii="仿宋_GB2312" w:hAnsi="Calibri" w:eastAsia="仿宋_GB2312" w:cs="Calibri"/>
          <w:sz w:val="28"/>
          <w:szCs w:val="28"/>
        </w:rPr>
        <w:t xml:space="preserve">  </w:t>
      </w:r>
      <w:r>
        <w:rPr>
          <w:rFonts w:hint="eastAsia" w:ascii="仿宋_GB2312" w:hAnsi="仿宋" w:eastAsia="仿宋_GB2312" w:cs="Arial"/>
          <w:sz w:val="28"/>
          <w:szCs w:val="28"/>
        </w:rPr>
        <w:t>对于需要证人出庭作证的案件，律师应当指导或代理当事人提出申请、并掌握质证程序和技巧。</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b/>
          <w:sz w:val="28"/>
          <w:szCs w:val="28"/>
        </w:rPr>
        <w:t>第十七条</w:t>
      </w:r>
      <w:r>
        <w:rPr>
          <w:rFonts w:hint="eastAsia" w:ascii="仿宋_GB2312" w:hAnsi="Calibri" w:eastAsia="仿宋_GB2312" w:cs="Calibri"/>
          <w:sz w:val="28"/>
          <w:szCs w:val="28"/>
        </w:rPr>
        <w:t xml:space="preserve">  </w:t>
      </w:r>
      <w:r>
        <w:rPr>
          <w:rFonts w:hint="eastAsia" w:ascii="仿宋_GB2312" w:hAnsi="仿宋" w:eastAsia="仿宋_GB2312" w:cs="Arial"/>
          <w:sz w:val="28"/>
          <w:szCs w:val="28"/>
        </w:rPr>
        <w:t>司法鉴定（见第四章）。</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b/>
          <w:sz w:val="28"/>
          <w:szCs w:val="28"/>
        </w:rPr>
        <w:t>第十八条</w:t>
      </w:r>
      <w:r>
        <w:rPr>
          <w:rFonts w:hint="eastAsia" w:ascii="仿宋_GB2312" w:hAnsi="Calibri" w:eastAsia="仿宋_GB2312" w:cs="Calibri"/>
          <w:sz w:val="28"/>
          <w:szCs w:val="28"/>
        </w:rPr>
        <w:t xml:space="preserve">  </w:t>
      </w:r>
      <w:r>
        <w:rPr>
          <w:rFonts w:hint="eastAsia" w:ascii="仿宋_GB2312" w:hAnsi="仿宋" w:eastAsia="仿宋_GB2312" w:cs="Arial"/>
          <w:sz w:val="28"/>
          <w:szCs w:val="28"/>
        </w:rPr>
        <w:t>法院委托鉴定前，律师需根据案情提请法院重点审查和明确认定相关事项，例如：</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sz w:val="28"/>
          <w:szCs w:val="28"/>
        </w:rPr>
        <w:t>（一）应当确定合法、真实、有效的材料作为鉴定的检材范围；</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sz w:val="28"/>
          <w:szCs w:val="28"/>
        </w:rPr>
        <w:t>（二）是否存在重要证据缺失或系伪造，影响案件事实查明，或影响鉴定客观、公正进行的；</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sz w:val="28"/>
          <w:szCs w:val="28"/>
        </w:rPr>
        <w:t>（三）案件事实具有特殊性，需要法院在委托事项中专门注明的。</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b/>
          <w:sz w:val="28"/>
          <w:szCs w:val="28"/>
        </w:rPr>
        <w:t>第十九条</w:t>
      </w:r>
      <w:r>
        <w:rPr>
          <w:rFonts w:hint="eastAsia" w:ascii="Calibri" w:hAnsi="Calibri" w:eastAsia="仿宋_GB2312" w:cs="Calibri"/>
          <w:sz w:val="28"/>
          <w:szCs w:val="28"/>
        </w:rPr>
        <w:t xml:space="preserve">  </w:t>
      </w:r>
      <w:r>
        <w:rPr>
          <w:rFonts w:hint="eastAsia" w:ascii="仿宋_GB2312" w:hAnsi="仿宋" w:eastAsia="仿宋_GB2312" w:cs="Arial"/>
          <w:sz w:val="28"/>
          <w:szCs w:val="28"/>
        </w:rPr>
        <w:t>不能进行医疗损害鉴定的常见情形：</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sz w:val="28"/>
          <w:szCs w:val="28"/>
        </w:rPr>
        <w:t>（一）不能提供病历资料的；</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sz w:val="28"/>
          <w:szCs w:val="28"/>
        </w:rPr>
        <w:t>（二）病历资料不全，鉴定机构认为无法鉴定的；</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sz w:val="28"/>
          <w:szCs w:val="28"/>
        </w:rPr>
        <w:t>（三）主要病历资料不真实，鉴定机构无法进行鉴定的；</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Arial"/>
          <w:sz w:val="28"/>
          <w:szCs w:val="28"/>
        </w:rPr>
      </w:pPr>
      <w:r>
        <w:rPr>
          <w:rFonts w:hint="eastAsia" w:ascii="仿宋_GB2312" w:hAnsi="仿宋" w:eastAsia="仿宋_GB2312" w:cs="Arial"/>
          <w:sz w:val="28"/>
          <w:szCs w:val="28"/>
        </w:rPr>
        <w:t>（四）无尸检报告，无法通过病历进行临床分析得出死亡原因；无尸检报告，患方不认可病历记录所记录的死亡原因的；</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Arial"/>
          <w:sz w:val="28"/>
          <w:szCs w:val="28"/>
        </w:rPr>
      </w:pPr>
      <w:r>
        <w:rPr>
          <w:rFonts w:hint="eastAsia" w:ascii="仿宋_GB2312" w:hAnsi="仿宋" w:eastAsia="仿宋_GB2312" w:cs="Arial"/>
          <w:sz w:val="28"/>
          <w:szCs w:val="28"/>
        </w:rPr>
        <w:t>（五）法院或司法鉴定机构认为无法鉴定的。</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b/>
          <w:sz w:val="28"/>
          <w:szCs w:val="28"/>
        </w:rPr>
        <w:t>第二十条</w:t>
      </w:r>
      <w:r>
        <w:rPr>
          <w:rFonts w:hint="eastAsia" w:ascii="仿宋_GB2312" w:hAnsi="Calibri" w:eastAsia="仿宋_GB2312" w:cs="Calibri"/>
          <w:sz w:val="28"/>
          <w:szCs w:val="28"/>
        </w:rPr>
        <w:t xml:space="preserve">  </w:t>
      </w:r>
      <w:r>
        <w:rPr>
          <w:rFonts w:hint="eastAsia" w:ascii="仿宋_GB2312" w:hAnsi="仿宋" w:eastAsia="仿宋_GB2312" w:cs="Arial"/>
          <w:sz w:val="28"/>
          <w:szCs w:val="28"/>
        </w:rPr>
        <w:t>质证司法鉴定意见，包括但不限于：</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sz w:val="28"/>
          <w:szCs w:val="28"/>
        </w:rPr>
        <w:t>（一）鉴定书依据的检材（主要是病史资料）是否真实、合法；</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sz w:val="28"/>
          <w:szCs w:val="28"/>
        </w:rPr>
        <w:t>（二）鉴定程序是否合法（如违反回避规定、鉴定专家组成与鉴定所需不符）；</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sz w:val="28"/>
          <w:szCs w:val="28"/>
        </w:rPr>
        <w:t>（三）鉴定认定的诊疗事实是否与病史资料及客观过程相矛盾；</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sz w:val="28"/>
          <w:szCs w:val="28"/>
        </w:rPr>
        <w:t>（四）鉴定分析意见是否违反法律法规，诊疗规范、常规，护理规范、常规等，是否存在自行矛盾，是否违背客观常识等；</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sz w:val="28"/>
          <w:szCs w:val="28"/>
        </w:rPr>
        <w:t>（五）必要时，可以依照民事诉讼法的规定申请鉴定人出庭接受质询；</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Tahoma"/>
          <w:sz w:val="28"/>
          <w:szCs w:val="28"/>
        </w:rPr>
        <w:t>（六）必要时，及时向人民法院提出补充鉴定、重新鉴定、再次鉴定的申请。</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Arial"/>
          <w:sz w:val="28"/>
          <w:szCs w:val="28"/>
        </w:rPr>
      </w:pPr>
      <w:r>
        <w:rPr>
          <w:rFonts w:hint="eastAsia" w:ascii="仿宋_GB2312" w:hAnsi="仿宋" w:eastAsia="仿宋_GB2312" w:cs="Arial"/>
          <w:b/>
          <w:sz w:val="28"/>
          <w:szCs w:val="28"/>
        </w:rPr>
        <w:t>第二十一条</w:t>
      </w:r>
      <w:r>
        <w:rPr>
          <w:rFonts w:hint="eastAsia" w:ascii="仿宋_GB2312" w:hAnsi="Calibri" w:eastAsia="仿宋_GB2312" w:cs="Calibri"/>
          <w:sz w:val="28"/>
          <w:szCs w:val="28"/>
        </w:rPr>
        <w:t xml:space="preserve">  </w:t>
      </w:r>
      <w:r>
        <w:rPr>
          <w:rFonts w:hint="eastAsia" w:ascii="仿宋_GB2312" w:hAnsi="仿宋" w:eastAsia="仿宋_GB2312" w:cs="Arial"/>
          <w:sz w:val="28"/>
          <w:szCs w:val="28"/>
        </w:rPr>
        <w:t>代理律师在法庭辩论中，应当综合案件的客观证据，结合医学科学理论和诊疗规范等，对鉴定报告发表针对性质证意见。</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Arial"/>
          <w:sz w:val="28"/>
          <w:szCs w:val="28"/>
        </w:rPr>
      </w:pPr>
      <w:r>
        <w:rPr>
          <w:rFonts w:hint="eastAsia" w:ascii="仿宋_GB2312" w:hAnsi="仿宋" w:eastAsia="仿宋_GB2312" w:cs="Arial"/>
          <w:b/>
          <w:sz w:val="28"/>
          <w:szCs w:val="28"/>
        </w:rPr>
        <w:t>第二十二条</w:t>
      </w:r>
      <w:r>
        <w:rPr>
          <w:rFonts w:hint="eastAsia" w:ascii="仿宋_GB2312" w:hAnsi="仿宋" w:eastAsia="仿宋_GB2312" w:cs="Arial"/>
          <w:sz w:val="28"/>
          <w:szCs w:val="28"/>
        </w:rPr>
        <w:t xml:space="preserve">  与一般人身损害赔偿案件相同。赔偿项目确定的法律依据为《最高人民法院关于审理人身损害赔偿案件适用法律若干问题的解释》第六条至二十条。</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sz w:val="28"/>
          <w:szCs w:val="28"/>
        </w:rPr>
        <w:t>律师应根据具体赔偿项目不同，提供每一项赔偿的计算依据以及相关证明材料。</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p>
    <w:p>
      <w:pPr>
        <w:keepNext w:val="0"/>
        <w:keepLines w:val="0"/>
        <w:pageBreakBefore w:val="0"/>
        <w:widowControl w:val="0"/>
        <w:wordWrap/>
        <w:bidi w:val="0"/>
        <w:spacing w:after="0" w:line="500" w:lineRule="exact"/>
        <w:jc w:val="center"/>
        <w:rPr>
          <w:rFonts w:hint="eastAsia" w:ascii="黑体" w:hAnsi="黑体" w:eastAsia="黑体" w:cs="Tahoma"/>
          <w:bCs/>
          <w:sz w:val="28"/>
          <w:szCs w:val="28"/>
        </w:rPr>
      </w:pPr>
      <w:r>
        <w:rPr>
          <w:rFonts w:hint="eastAsia" w:ascii="黑体" w:hAnsi="黑体" w:eastAsia="黑体" w:cs="Arial"/>
          <w:bCs/>
          <w:sz w:val="28"/>
          <w:szCs w:val="28"/>
        </w:rPr>
        <w:t>第四章</w:t>
      </w:r>
      <w:r>
        <w:rPr>
          <w:rFonts w:hint="eastAsia" w:ascii="黑体" w:hAnsi="黑体" w:eastAsia="黑体" w:cs="Calibri"/>
          <w:bCs/>
          <w:sz w:val="28"/>
          <w:szCs w:val="28"/>
        </w:rPr>
        <w:t xml:space="preserve">  司法</w:t>
      </w:r>
      <w:r>
        <w:rPr>
          <w:rFonts w:hint="eastAsia" w:ascii="黑体" w:hAnsi="黑体" w:eastAsia="黑体" w:cs="Arial"/>
          <w:bCs/>
          <w:sz w:val="28"/>
          <w:szCs w:val="28"/>
        </w:rPr>
        <w:t>鉴定</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b/>
          <w:sz w:val="28"/>
          <w:szCs w:val="28"/>
        </w:rPr>
        <w:t>第二十三条</w:t>
      </w:r>
      <w:r>
        <w:rPr>
          <w:rFonts w:hint="eastAsia" w:ascii="仿宋_GB2312" w:hAnsi="Calibri" w:eastAsia="仿宋_GB2312" w:cs="Calibri"/>
          <w:sz w:val="28"/>
          <w:szCs w:val="28"/>
        </w:rPr>
        <w:t xml:space="preserve">  </w:t>
      </w:r>
      <w:r>
        <w:rPr>
          <w:rFonts w:hint="eastAsia" w:ascii="仿宋_GB2312" w:hAnsi="仿宋" w:eastAsia="仿宋_GB2312" w:cs="Arial"/>
          <w:sz w:val="28"/>
          <w:szCs w:val="28"/>
        </w:rPr>
        <w:t>医疗纠纷案件可能会涉及到的鉴定种类很多，如文书鉴定、医疗损害鉴定、伤残等级鉴定、后期治疗费鉴定、三期（营养、护理、休息期限）鉴定、护理依赖、医疗依赖等。</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b/>
          <w:sz w:val="28"/>
          <w:szCs w:val="28"/>
        </w:rPr>
        <w:t>第二十四条</w:t>
      </w:r>
      <w:r>
        <w:rPr>
          <w:rFonts w:hint="eastAsia" w:ascii="仿宋_GB2312" w:hAnsi="Calibri" w:eastAsia="仿宋_GB2312" w:cs="Calibri"/>
          <w:sz w:val="28"/>
          <w:szCs w:val="28"/>
        </w:rPr>
        <w:t xml:space="preserve">  </w:t>
      </w:r>
      <w:r>
        <w:rPr>
          <w:rFonts w:hint="eastAsia" w:ascii="仿宋_GB2312" w:hAnsi="仿宋" w:eastAsia="仿宋_GB2312" w:cs="Arial"/>
          <w:sz w:val="28"/>
          <w:szCs w:val="28"/>
        </w:rPr>
        <w:t>鉴定机构以及鉴定人员的选择</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Tahoma"/>
          <w:sz w:val="28"/>
          <w:szCs w:val="28"/>
        </w:rPr>
        <w:t>律师应主动了解当地中级人民法院确定入选的司法鉴定机构，对于有证据可能会影响公正鉴定的机构，要及时提出回避；</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Tahoma"/>
          <w:sz w:val="28"/>
          <w:szCs w:val="28"/>
        </w:rPr>
        <w:t>对于行动不便的患者如患者为植物人的案件，尽量将损害后果的鉴定在当地司法鉴定机构完成。</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b/>
          <w:sz w:val="28"/>
          <w:szCs w:val="28"/>
        </w:rPr>
        <w:t>第二十五条</w:t>
      </w:r>
      <w:r>
        <w:rPr>
          <w:rFonts w:hint="eastAsia" w:ascii="仿宋_GB2312" w:hAnsi="Calibri" w:eastAsia="仿宋_GB2312" w:cs="Calibri"/>
          <w:sz w:val="28"/>
          <w:szCs w:val="28"/>
        </w:rPr>
        <w:t xml:space="preserve">  </w:t>
      </w:r>
      <w:r>
        <w:rPr>
          <w:rFonts w:hint="eastAsia" w:ascii="仿宋_GB2312" w:hAnsi="仿宋" w:eastAsia="仿宋_GB2312" w:cs="Arial"/>
          <w:sz w:val="28"/>
          <w:szCs w:val="28"/>
        </w:rPr>
        <w:t>鉴定受理后的程序（以法医司法鉴定机构组织的医疗损害鉴定为例，医学会组织的医疗事故技术鉴定和医疗损害技术鉴定有其统一规范流程，依其专门规定执行）</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sz w:val="28"/>
          <w:szCs w:val="28"/>
        </w:rPr>
        <w:t>（一）书写鉴定陈述材料</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Calibri" w:eastAsia="仿宋_GB2312" w:cs="Calibri"/>
          <w:sz w:val="28"/>
          <w:szCs w:val="28"/>
        </w:rPr>
        <w:t>1、</w:t>
      </w:r>
      <w:r>
        <w:rPr>
          <w:rFonts w:hint="eastAsia" w:ascii="仿宋_GB2312" w:hAnsi="仿宋" w:eastAsia="仿宋_GB2312" w:cs="Arial"/>
          <w:sz w:val="28"/>
          <w:szCs w:val="28"/>
        </w:rPr>
        <w:t>根据现有的病史资料和客观事实对诊疗过程进行描述；</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Arial"/>
          <w:sz w:val="28"/>
          <w:szCs w:val="28"/>
        </w:rPr>
      </w:pPr>
      <w:r>
        <w:rPr>
          <w:rFonts w:hint="eastAsia" w:ascii="仿宋_GB2312" w:hAnsi="仿宋" w:eastAsia="仿宋_GB2312" w:cs="Arial"/>
          <w:sz w:val="28"/>
          <w:szCs w:val="28"/>
        </w:rPr>
        <w:t>2、根据现有的法律、法规、规章、诊疗常规等规范，结合诊疗事实，对医疗机构存在的过错、过错医疗行为与损害后果之间的因果关系及医院应承担的责任比例进行分析和陈述；</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sz w:val="28"/>
          <w:szCs w:val="28"/>
        </w:rPr>
        <w:t>3、利用裁判文书网，检索类似案例，提供类似案件其他鉴定机构的鉴定意见；</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sz w:val="28"/>
          <w:szCs w:val="28"/>
        </w:rPr>
        <w:t>4、根据陈述意见，整理一份内容简单、概括性强、逻辑清晰的争议要点。</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sz w:val="28"/>
          <w:szCs w:val="28"/>
        </w:rPr>
        <w:t>（二）鉴定人员（鉴定专家）的组成</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sz w:val="28"/>
          <w:szCs w:val="28"/>
        </w:rPr>
        <w:t>1、鉴定专家一般由鉴定机构确定；</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sz w:val="28"/>
          <w:szCs w:val="28"/>
        </w:rPr>
        <w:t>2、对于复杂案件，</w:t>
      </w:r>
      <w:r>
        <w:rPr>
          <w:rFonts w:hint="eastAsia" w:ascii="Calibri" w:hAnsi="Calibri" w:eastAsia="仿宋_GB2312" w:cs="Calibri"/>
          <w:sz w:val="28"/>
          <w:szCs w:val="28"/>
        </w:rPr>
        <w:t> </w:t>
      </w:r>
      <w:r>
        <w:rPr>
          <w:rFonts w:hint="eastAsia" w:ascii="仿宋_GB2312" w:hAnsi="Calibri" w:eastAsia="仿宋_GB2312" w:cs="Calibri"/>
          <w:sz w:val="28"/>
          <w:szCs w:val="28"/>
        </w:rPr>
        <w:t>律师可向鉴定机构提出要求临床专家参与听证，并对临床专家</w:t>
      </w:r>
      <w:r>
        <w:rPr>
          <w:rFonts w:hint="eastAsia" w:ascii="仿宋_GB2312" w:hAnsi="仿宋" w:eastAsia="仿宋_GB2312" w:cs="Arial"/>
          <w:sz w:val="28"/>
          <w:szCs w:val="28"/>
        </w:rPr>
        <w:t>专业类别提出建议；</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sz w:val="28"/>
          <w:szCs w:val="28"/>
        </w:rPr>
        <w:t>3、可能影响公正鉴定的鉴定人员，律师可以提出回避申请。</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sz w:val="28"/>
          <w:szCs w:val="28"/>
        </w:rPr>
        <w:t>（三）鉴定听证会的召开</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sz w:val="28"/>
          <w:szCs w:val="28"/>
        </w:rPr>
        <w:t>1、代理律师依据事实和医疗规范陈述诊疗过程及存在的过错；</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sz w:val="28"/>
          <w:szCs w:val="28"/>
        </w:rPr>
        <w:t>2、鉴定人员与当事人进行提问与回答；</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Arial"/>
          <w:sz w:val="28"/>
          <w:szCs w:val="28"/>
        </w:rPr>
      </w:pPr>
      <w:r>
        <w:rPr>
          <w:rFonts w:hint="eastAsia" w:ascii="仿宋_GB2312" w:hAnsi="仿宋" w:eastAsia="仿宋_GB2312" w:cs="Arial"/>
          <w:sz w:val="28"/>
          <w:szCs w:val="28"/>
        </w:rPr>
        <w:t>3、陈述及回答问题时，律师应当依照事实和医学规范，尊重鉴定人，有理有节，并避免发生冲突；</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Arial"/>
          <w:sz w:val="28"/>
          <w:szCs w:val="28"/>
        </w:rPr>
      </w:pPr>
      <w:r>
        <w:rPr>
          <w:rFonts w:hint="eastAsia" w:ascii="仿宋_GB2312" w:hAnsi="仿宋" w:eastAsia="仿宋_GB2312" w:cs="Arial"/>
          <w:sz w:val="28"/>
          <w:szCs w:val="28"/>
        </w:rPr>
        <w:t>4、鉴定人对患者进行查体、摄像；</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sz w:val="28"/>
          <w:szCs w:val="28"/>
        </w:rPr>
        <w:t>5、对于损害后果评估需要新的功能或者影像学检查的，开具检查单，到指定医疗机构进行检查。</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Tahoma"/>
          <w:b/>
          <w:sz w:val="28"/>
          <w:szCs w:val="28"/>
        </w:rPr>
        <w:t>第二十六条</w:t>
      </w:r>
      <w:r>
        <w:rPr>
          <w:rFonts w:hint="eastAsia" w:ascii="仿宋_GB2312" w:hAnsi="仿宋" w:eastAsia="仿宋_GB2312" w:cs="Tahoma"/>
          <w:sz w:val="28"/>
          <w:szCs w:val="28"/>
        </w:rPr>
        <w:t xml:space="preserve">  病史资料或其他证据有伪造、涂改、添加或其它违反《病历书写基本规范》的，律师可以代理或指导当事人向法院提起司法文检鉴定申请。文检鉴定项目一般包括：签名笔迹鉴定、是否连续书写笔迹鉴定、文书形成时间鉴定等。</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Tahoma"/>
          <w:sz w:val="28"/>
          <w:szCs w:val="28"/>
        </w:rPr>
        <w:t>符合电子病历管理要求的医疗机构，也可以提起电子病历的相关鉴定。</w:t>
      </w:r>
    </w:p>
    <w:p>
      <w:pPr>
        <w:keepNext w:val="0"/>
        <w:keepLines w:val="0"/>
        <w:pageBreakBefore w:val="0"/>
        <w:widowControl w:val="0"/>
        <w:wordWrap/>
        <w:bidi w:val="0"/>
        <w:spacing w:after="0" w:line="500" w:lineRule="exact"/>
        <w:jc w:val="center"/>
        <w:rPr>
          <w:rFonts w:hint="eastAsia" w:ascii="仿宋_GB2312" w:hAnsi="黑体" w:eastAsia="仿宋_GB2312" w:cs="Arial"/>
          <w:b/>
          <w:bCs/>
          <w:sz w:val="28"/>
          <w:szCs w:val="28"/>
        </w:rPr>
      </w:pPr>
    </w:p>
    <w:p>
      <w:pPr>
        <w:keepNext w:val="0"/>
        <w:keepLines w:val="0"/>
        <w:pageBreakBefore w:val="0"/>
        <w:widowControl w:val="0"/>
        <w:wordWrap/>
        <w:bidi w:val="0"/>
        <w:spacing w:after="0" w:line="500" w:lineRule="exact"/>
        <w:jc w:val="center"/>
        <w:rPr>
          <w:rFonts w:hint="eastAsia" w:ascii="黑体" w:hAnsi="黑体" w:eastAsia="黑体" w:cs="Tahoma"/>
          <w:bCs/>
          <w:sz w:val="28"/>
          <w:szCs w:val="28"/>
        </w:rPr>
      </w:pPr>
      <w:r>
        <w:rPr>
          <w:rFonts w:hint="eastAsia" w:ascii="黑体" w:hAnsi="黑体" w:eastAsia="黑体" w:cs="Arial"/>
          <w:bCs/>
          <w:sz w:val="28"/>
          <w:szCs w:val="28"/>
        </w:rPr>
        <w:t>第五章</w:t>
      </w:r>
      <w:r>
        <w:rPr>
          <w:rFonts w:hint="eastAsia" w:ascii="黑体" w:hAnsi="黑体" w:eastAsia="黑体" w:cs="Calibri"/>
          <w:bCs/>
          <w:sz w:val="28"/>
          <w:szCs w:val="28"/>
        </w:rPr>
        <w:t xml:space="preserve">  </w:t>
      </w:r>
      <w:r>
        <w:rPr>
          <w:rFonts w:hint="eastAsia" w:ascii="黑体" w:hAnsi="黑体" w:eastAsia="黑体" w:cs="Arial"/>
          <w:bCs/>
          <w:sz w:val="28"/>
          <w:szCs w:val="28"/>
        </w:rPr>
        <w:t>其他</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b/>
          <w:sz w:val="28"/>
          <w:szCs w:val="28"/>
        </w:rPr>
        <w:t>第二十七条</w:t>
      </w:r>
      <w:r>
        <w:rPr>
          <w:rFonts w:hint="eastAsia" w:ascii="Calibri" w:hAnsi="Calibri" w:eastAsia="仿宋_GB2312" w:cs="Calibri"/>
          <w:sz w:val="28"/>
          <w:szCs w:val="28"/>
        </w:rPr>
        <w:t xml:space="preserve">  </w:t>
      </w:r>
      <w:r>
        <w:rPr>
          <w:rFonts w:hint="eastAsia" w:ascii="仿宋_GB2312" w:hAnsi="仿宋" w:eastAsia="仿宋_GB2312" w:cs="Arial"/>
          <w:sz w:val="28"/>
          <w:szCs w:val="28"/>
        </w:rPr>
        <w:t>实物封存与检验程序</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sz w:val="28"/>
          <w:szCs w:val="28"/>
        </w:rPr>
        <w:t>疑似输液、输血、注射、药物等引起不良后果的，医患双方应当及时共同对“现场实物”进行封存，封存应当粘贴封条，并在骑缝处签名盖章，注明日期；封存的“现场实物”由医疗机构保管，医疗机构应当向患方出具保管证明；需要检验的，应当由双方共同指定具备资质的检验机构进行检验；双方无法共同指定时，由卫生行政部门或法院指定。</w:t>
      </w:r>
    </w:p>
    <w:p>
      <w:pPr>
        <w:pStyle w:val="14"/>
        <w:keepNext w:val="0"/>
        <w:keepLines w:val="0"/>
        <w:pageBreakBefore w:val="0"/>
        <w:widowControl w:val="0"/>
        <w:shd w:val="clear" w:color="auto" w:fill="FFFFFF"/>
        <w:wordWrap/>
        <w:bidi w:val="0"/>
        <w:spacing w:beforeAutospacing="0" w:after="0" w:afterAutospacing="0" w:line="500" w:lineRule="exact"/>
        <w:ind w:firstLine="522" w:firstLineChars="200"/>
        <w:jc w:val="both"/>
        <w:rPr>
          <w:rFonts w:hint="eastAsia" w:ascii="仿宋_GB2312" w:hAnsi="仿宋" w:eastAsia="仿宋_GB2312" w:cs="Tahoma"/>
          <w:sz w:val="28"/>
          <w:szCs w:val="28"/>
          <w:shd w:val="clear" w:color="auto" w:fill="FFFFFF"/>
        </w:rPr>
      </w:pPr>
      <w:r>
        <w:rPr>
          <w:rFonts w:hint="eastAsia" w:ascii="仿宋_GB2312" w:hAnsi="仿宋" w:eastAsia="仿宋_GB2312" w:cs="Tahoma"/>
          <w:b/>
          <w:sz w:val="28"/>
          <w:szCs w:val="28"/>
          <w:shd w:val="clear" w:color="auto" w:fill="FFFFFF"/>
        </w:rPr>
        <w:t>第二十八条</w:t>
      </w:r>
      <w:r>
        <w:rPr>
          <w:rFonts w:hint="eastAsia" w:ascii="仿宋_GB2312" w:hAnsi="仿宋" w:eastAsia="仿宋_GB2312" w:cs="Tahoma"/>
          <w:sz w:val="28"/>
          <w:szCs w:val="28"/>
          <w:shd w:val="clear" w:color="auto" w:fill="FFFFFF"/>
        </w:rPr>
        <w:t xml:space="preserve">  医疗事故行政处理程序</w:t>
      </w:r>
    </w:p>
    <w:p>
      <w:pPr>
        <w:pStyle w:val="14"/>
        <w:keepNext w:val="0"/>
        <w:keepLines w:val="0"/>
        <w:pageBreakBefore w:val="0"/>
        <w:widowControl w:val="0"/>
        <w:shd w:val="clear" w:color="auto" w:fill="FFFFFF"/>
        <w:wordWrap/>
        <w:bidi w:val="0"/>
        <w:spacing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Tahoma"/>
          <w:sz w:val="28"/>
          <w:szCs w:val="28"/>
          <w:shd w:val="clear" w:color="auto" w:fill="FFFFFF"/>
        </w:rPr>
        <w:t>当事人拟要求卫生行政部门按医疗事故对医疗机构及医务人员进行行政处理的，按《医疗事故处理条例》有关规定执行。</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sz w:val="28"/>
          <w:szCs w:val="28"/>
          <w:shd w:val="clear" w:color="auto" w:fill="FFFFFF"/>
        </w:rPr>
      </w:pPr>
      <w:r>
        <w:rPr>
          <w:rFonts w:hint="eastAsia" w:ascii="仿宋_GB2312" w:hAnsi="仿宋" w:eastAsia="仿宋_GB2312"/>
          <w:sz w:val="28"/>
          <w:szCs w:val="28"/>
          <w:shd w:val="clear" w:color="auto" w:fill="FFFFFF"/>
        </w:rPr>
        <w:t>制定本操作指引的目的是为律师办理医疗纠纷案件提供借鉴和经验，并非强制性或规范性规定，仅供律师在实际办案过程中参考。</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sz w:val="28"/>
          <w:szCs w:val="28"/>
          <w:shd w:val="clear" w:color="auto" w:fill="FFFFFF"/>
        </w:rPr>
      </w:pP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sz w:val="28"/>
          <w:szCs w:val="28"/>
          <w:shd w:val="clear" w:color="auto" w:fill="FFFFFF"/>
        </w:rPr>
      </w:pP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sz w:val="28"/>
          <w:szCs w:val="28"/>
          <w:shd w:val="clear" w:color="auto" w:fill="FFFFFF"/>
        </w:rPr>
      </w:pP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sz w:val="28"/>
          <w:szCs w:val="28"/>
          <w:shd w:val="clear" w:color="auto" w:fill="FFFFFF"/>
        </w:rPr>
      </w:pP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sz w:val="28"/>
          <w:szCs w:val="28"/>
          <w:shd w:val="clear" w:color="auto" w:fill="FFFFFF"/>
        </w:rPr>
      </w:pPr>
    </w:p>
    <w:p>
      <w:pPr>
        <w:keepNext w:val="0"/>
        <w:keepLines w:val="0"/>
        <w:pageBreakBefore w:val="0"/>
        <w:widowControl w:val="0"/>
        <w:wordWrap/>
        <w:bidi w:val="0"/>
        <w:spacing w:after="0" w:line="240" w:lineRule="auto"/>
        <w:jc w:val="center"/>
        <w:rPr>
          <w:rFonts w:hint="eastAsia" w:ascii="方正小标宋简体" w:hAnsi="宋体" w:eastAsia="方正小标宋简体" w:cs="宋体"/>
          <w:kern w:val="2"/>
          <w:sz w:val="40"/>
          <w:szCs w:val="40"/>
          <w:shd w:val="clear" w:color="auto" w:fill="FFFFFF"/>
          <w:lang w:val="en-US" w:eastAsia="zh-CN" w:bidi="ar-SA"/>
        </w:rPr>
      </w:pPr>
      <w:r>
        <w:rPr>
          <w:rFonts w:ascii="仿宋_GB2312" w:hAnsi="仿宋" w:eastAsia="仿宋_GB2312"/>
          <w:sz w:val="28"/>
          <w:szCs w:val="28"/>
          <w:shd w:val="clear" w:color="auto" w:fill="FFFFFF"/>
        </w:rPr>
        <w:br w:type="page"/>
      </w:r>
      <w:r>
        <w:rPr>
          <w:rFonts w:hint="eastAsia" w:ascii="方正小标宋简体" w:hAnsi="宋体" w:eastAsia="方正小标宋简体" w:cs="宋体"/>
          <w:kern w:val="2"/>
          <w:sz w:val="40"/>
          <w:szCs w:val="40"/>
          <w:shd w:val="clear" w:color="auto" w:fill="FFFFFF"/>
          <w:lang w:val="en-US" w:eastAsia="zh-CN" w:bidi="ar-SA"/>
        </w:rPr>
        <w:t>附件：《律师审核医疗纠纷案件要点提示》</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b/>
          <w:bCs/>
          <w:sz w:val="28"/>
          <w:szCs w:val="28"/>
        </w:rPr>
      </w:pP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Arial"/>
          <w:b/>
          <w:bCs/>
          <w:sz w:val="28"/>
          <w:szCs w:val="28"/>
        </w:rPr>
      </w:pPr>
      <w:r>
        <w:rPr>
          <w:rFonts w:hint="eastAsia" w:ascii="仿宋_GB2312" w:hAnsi="仿宋" w:eastAsia="仿宋_GB2312" w:cs="Tahoma"/>
          <w:b/>
          <w:bCs/>
          <w:sz w:val="28"/>
          <w:szCs w:val="28"/>
        </w:rPr>
        <w:t>（一）</w:t>
      </w:r>
      <w:r>
        <w:rPr>
          <w:rFonts w:hint="eastAsia" w:ascii="仿宋_GB2312" w:hAnsi="仿宋" w:eastAsia="仿宋_GB2312" w:cs="Arial"/>
          <w:b/>
          <w:bCs/>
          <w:sz w:val="28"/>
          <w:szCs w:val="28"/>
        </w:rPr>
        <w:t>确定案由</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Tahoma"/>
          <w:sz w:val="28"/>
          <w:szCs w:val="28"/>
        </w:rPr>
        <w:t xml:space="preserve"> 根据案件特点或者相关法律文书材料，确定案件案由。常规医疗纠纷案件一般可分为医疗服务合同纠纷、医疗损害责任纠纷两个三级案由；医疗损害责任纠纷又分医疗产品责任纠纷、侵害患者知情同意责任纠纷两个四级案由。具体选择哪级案由，选择何种案由根据案件具体案情确定。</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Arial"/>
          <w:b/>
          <w:bCs/>
          <w:sz w:val="28"/>
          <w:szCs w:val="28"/>
        </w:rPr>
      </w:pPr>
      <w:r>
        <w:rPr>
          <w:rFonts w:hint="eastAsia" w:ascii="仿宋_GB2312" w:hAnsi="仿宋" w:eastAsia="仿宋_GB2312" w:cs="Tahoma"/>
          <w:b/>
          <w:bCs/>
          <w:sz w:val="28"/>
          <w:szCs w:val="28"/>
        </w:rPr>
        <w:t>（二）</w:t>
      </w:r>
      <w:r>
        <w:rPr>
          <w:rFonts w:hint="eastAsia" w:ascii="仿宋_GB2312" w:hAnsi="仿宋" w:eastAsia="仿宋_GB2312" w:cs="Arial"/>
          <w:b/>
          <w:bCs/>
          <w:sz w:val="28"/>
          <w:szCs w:val="28"/>
        </w:rPr>
        <w:t>病历资料审核要点</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Arial"/>
          <w:sz w:val="28"/>
          <w:szCs w:val="28"/>
        </w:rPr>
      </w:pPr>
      <w:r>
        <w:rPr>
          <w:rFonts w:hint="eastAsia" w:ascii="仿宋_GB2312" w:hAnsi="仿宋" w:eastAsia="仿宋_GB2312" w:cs="Arial"/>
          <w:sz w:val="28"/>
          <w:szCs w:val="28"/>
        </w:rPr>
        <w:t>1、病历不完整，存在隐匿或违法销毁可能的；</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Arial"/>
          <w:sz w:val="28"/>
          <w:szCs w:val="28"/>
        </w:rPr>
      </w:pPr>
      <w:r>
        <w:rPr>
          <w:rFonts w:hint="eastAsia" w:ascii="仿宋_GB2312" w:hAnsi="仿宋" w:eastAsia="仿宋_GB2312" w:cs="Arial"/>
          <w:sz w:val="28"/>
          <w:szCs w:val="28"/>
        </w:rPr>
        <w:t>2、病历存在伪造、篡改可能的；</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Arial"/>
          <w:sz w:val="28"/>
          <w:szCs w:val="28"/>
        </w:rPr>
      </w:pPr>
      <w:r>
        <w:rPr>
          <w:rFonts w:hint="eastAsia" w:ascii="仿宋_GB2312" w:hAnsi="仿宋" w:eastAsia="仿宋_GB2312" w:cs="Arial"/>
          <w:sz w:val="28"/>
          <w:szCs w:val="28"/>
        </w:rPr>
        <w:t>3、重要病历记载与事实不符的，或记载内容相互矛盾的；</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Arial"/>
          <w:sz w:val="28"/>
          <w:szCs w:val="28"/>
        </w:rPr>
      </w:pPr>
      <w:r>
        <w:rPr>
          <w:rFonts w:hint="eastAsia" w:ascii="仿宋_GB2312" w:hAnsi="仿宋" w:eastAsia="仿宋_GB2312" w:cs="Arial"/>
          <w:sz w:val="28"/>
          <w:szCs w:val="28"/>
        </w:rPr>
        <w:t>4、告知内容没有书面记录的；</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Arial"/>
          <w:sz w:val="28"/>
          <w:szCs w:val="28"/>
        </w:rPr>
      </w:pPr>
      <w:r>
        <w:rPr>
          <w:rFonts w:hint="eastAsia" w:ascii="仿宋_GB2312" w:hAnsi="仿宋" w:eastAsia="仿宋_GB2312" w:cs="Arial"/>
          <w:sz w:val="28"/>
          <w:szCs w:val="28"/>
        </w:rPr>
        <w:t>5、术前讨论记录、手术记录、麻醉记录等记录的术者、手术名称等不一致的；</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Arial"/>
          <w:sz w:val="28"/>
          <w:szCs w:val="28"/>
        </w:rPr>
      </w:pPr>
      <w:r>
        <w:rPr>
          <w:rFonts w:hint="eastAsia" w:ascii="仿宋_GB2312" w:hAnsi="仿宋" w:eastAsia="仿宋_GB2312" w:cs="Arial"/>
          <w:sz w:val="28"/>
          <w:szCs w:val="28"/>
        </w:rPr>
        <w:t>6、影像资料记载的姓名、摄像时间与患者实际情况不一致的；</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Arial"/>
          <w:sz w:val="28"/>
          <w:szCs w:val="28"/>
        </w:rPr>
      </w:pPr>
      <w:r>
        <w:rPr>
          <w:rFonts w:hint="eastAsia" w:ascii="仿宋_GB2312" w:hAnsi="仿宋" w:eastAsia="仿宋_GB2312" w:cs="Arial"/>
          <w:sz w:val="28"/>
          <w:szCs w:val="28"/>
        </w:rPr>
        <w:t>7、病理送检申请单、检验报告互相矛盾的。</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Arial"/>
          <w:b/>
          <w:bCs/>
          <w:sz w:val="28"/>
          <w:szCs w:val="28"/>
        </w:rPr>
      </w:pPr>
      <w:r>
        <w:rPr>
          <w:rFonts w:hint="eastAsia" w:ascii="仿宋_GB2312" w:hAnsi="仿宋" w:eastAsia="仿宋_GB2312" w:cs="Arial"/>
          <w:b/>
          <w:bCs/>
          <w:sz w:val="28"/>
          <w:szCs w:val="28"/>
        </w:rPr>
        <w:t>（三）医疗机构、医务人员资质审核要点</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Arial"/>
          <w:sz w:val="28"/>
          <w:szCs w:val="28"/>
        </w:rPr>
      </w:pPr>
      <w:r>
        <w:rPr>
          <w:rFonts w:hint="eastAsia" w:ascii="仿宋_GB2312" w:hAnsi="仿宋" w:eastAsia="仿宋_GB2312" w:cs="Arial"/>
          <w:sz w:val="28"/>
          <w:szCs w:val="28"/>
        </w:rPr>
        <w:t>1、</w:t>
      </w:r>
      <w:r>
        <w:rPr>
          <w:rFonts w:hint="eastAsia" w:ascii="Calibri" w:hAnsi="Calibri" w:eastAsia="仿宋_GB2312" w:cs="Calibri"/>
          <w:sz w:val="28"/>
          <w:szCs w:val="28"/>
        </w:rPr>
        <w:t> </w:t>
      </w:r>
      <w:r>
        <w:rPr>
          <w:rFonts w:hint="eastAsia" w:ascii="仿宋_GB2312" w:hAnsi="仿宋" w:eastAsia="仿宋_GB2312" w:cs="Arial"/>
          <w:sz w:val="28"/>
          <w:szCs w:val="28"/>
        </w:rPr>
        <w:t>医疗机构不具备《医疗机构执业许可证》或超范围执业的；</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Arial"/>
          <w:sz w:val="28"/>
          <w:szCs w:val="28"/>
        </w:rPr>
      </w:pPr>
      <w:r>
        <w:rPr>
          <w:rFonts w:hint="eastAsia" w:ascii="仿宋_GB2312" w:hAnsi="仿宋" w:eastAsia="仿宋_GB2312" w:cs="Arial"/>
          <w:sz w:val="28"/>
          <w:szCs w:val="28"/>
        </w:rPr>
        <w:t>2、</w:t>
      </w:r>
      <w:r>
        <w:rPr>
          <w:rFonts w:hint="eastAsia" w:ascii="Calibri" w:hAnsi="Calibri" w:eastAsia="仿宋_GB2312" w:cs="Calibri"/>
          <w:sz w:val="28"/>
          <w:szCs w:val="28"/>
        </w:rPr>
        <w:t> </w:t>
      </w:r>
      <w:r>
        <w:rPr>
          <w:rFonts w:hint="eastAsia" w:ascii="仿宋_GB2312" w:hAnsi="仿宋" w:eastAsia="仿宋_GB2312" w:cs="Arial"/>
          <w:sz w:val="28"/>
          <w:szCs w:val="28"/>
        </w:rPr>
        <w:t>医务人员不具备相关资质或超注册范围执业的；</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imes New Roman"/>
          <w:sz w:val="28"/>
          <w:szCs w:val="28"/>
        </w:rPr>
      </w:pPr>
      <w:r>
        <w:rPr>
          <w:rFonts w:hint="eastAsia" w:ascii="仿宋_GB2312" w:hAnsi="仿宋" w:eastAsia="仿宋_GB2312" w:cs="Arial"/>
          <w:sz w:val="28"/>
          <w:szCs w:val="28"/>
        </w:rPr>
        <w:t>3、未办理多点执业备案，</w:t>
      </w:r>
      <w:r>
        <w:rPr>
          <w:rFonts w:hint="eastAsia" w:ascii="仿宋_GB2312" w:hAnsi="仿宋" w:eastAsia="仿宋_GB2312" w:cs="Times New Roman"/>
          <w:sz w:val="28"/>
          <w:szCs w:val="28"/>
        </w:rPr>
        <w:t>在同一执业地点多个执业机构执业，的；</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imes New Roman"/>
          <w:sz w:val="28"/>
          <w:szCs w:val="28"/>
        </w:rPr>
      </w:pPr>
      <w:r>
        <w:rPr>
          <w:rFonts w:hint="eastAsia" w:ascii="仿宋_GB2312" w:hAnsi="仿宋" w:eastAsia="仿宋_GB2312" w:cs="Times New Roman"/>
          <w:sz w:val="28"/>
          <w:szCs w:val="28"/>
        </w:rPr>
        <w:t>4、医院或医生越级开展手术的；</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imes New Roman"/>
          <w:sz w:val="28"/>
          <w:szCs w:val="28"/>
        </w:rPr>
      </w:pPr>
      <w:r>
        <w:rPr>
          <w:rFonts w:hint="eastAsia" w:ascii="仿宋_GB2312" w:hAnsi="仿宋" w:eastAsia="仿宋_GB2312" w:cs="Times New Roman"/>
          <w:sz w:val="28"/>
          <w:szCs w:val="28"/>
        </w:rPr>
        <w:t>5、实习生、虽已通过医师资格考试但尚未注册人员、试用但未变更执业地点或执业机构人员等在无带教老师带教指导情况下，单独开具处方、医嘱、单独值班处置的；</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imes New Roman"/>
          <w:sz w:val="28"/>
          <w:szCs w:val="28"/>
        </w:rPr>
      </w:pPr>
      <w:r>
        <w:rPr>
          <w:rFonts w:hint="eastAsia" w:ascii="仿宋_GB2312" w:hAnsi="仿宋" w:eastAsia="仿宋_GB2312" w:cs="Times New Roman"/>
          <w:sz w:val="28"/>
          <w:szCs w:val="28"/>
        </w:rPr>
        <w:t>6、规培生、进修生不具备相应资质单独值班的。</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Arial"/>
          <w:b/>
          <w:bCs/>
          <w:sz w:val="28"/>
          <w:szCs w:val="28"/>
        </w:rPr>
      </w:pPr>
      <w:r>
        <w:rPr>
          <w:rFonts w:hint="eastAsia" w:ascii="仿宋_GB2312" w:hAnsi="仿宋" w:eastAsia="仿宋_GB2312" w:cs="Times New Roman"/>
          <w:b/>
          <w:bCs/>
          <w:sz w:val="28"/>
          <w:szCs w:val="28"/>
        </w:rPr>
        <w:t>（四）</w:t>
      </w:r>
      <w:r>
        <w:rPr>
          <w:rFonts w:hint="eastAsia" w:ascii="仿宋_GB2312" w:hAnsi="仿宋" w:eastAsia="仿宋_GB2312" w:cs="Arial"/>
          <w:b/>
          <w:bCs/>
          <w:sz w:val="28"/>
          <w:szCs w:val="28"/>
        </w:rPr>
        <w:t>诊疗行为审核要点</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Arial"/>
          <w:sz w:val="28"/>
          <w:szCs w:val="28"/>
        </w:rPr>
      </w:pPr>
      <w:r>
        <w:rPr>
          <w:rFonts w:hint="eastAsia" w:ascii="仿宋_GB2312" w:hAnsi="仿宋" w:eastAsia="仿宋_GB2312" w:cs="Arial"/>
          <w:sz w:val="28"/>
          <w:szCs w:val="28"/>
        </w:rPr>
        <w:t>1、未详细询问病史及必要检查即做出诊断的；</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Arial"/>
          <w:sz w:val="28"/>
          <w:szCs w:val="28"/>
        </w:rPr>
      </w:pPr>
      <w:r>
        <w:rPr>
          <w:rFonts w:hint="eastAsia" w:ascii="仿宋_GB2312" w:hAnsi="仿宋" w:eastAsia="仿宋_GB2312" w:cs="Arial"/>
          <w:sz w:val="28"/>
          <w:szCs w:val="28"/>
        </w:rPr>
        <w:t>2、未对检验提示的异常情况作病因鉴别检查即做出诊断的；</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Arial"/>
          <w:sz w:val="28"/>
          <w:szCs w:val="28"/>
        </w:rPr>
      </w:pPr>
      <w:r>
        <w:rPr>
          <w:rFonts w:hint="eastAsia" w:ascii="仿宋_GB2312" w:hAnsi="仿宋" w:eastAsia="仿宋_GB2312" w:cs="Arial"/>
          <w:sz w:val="28"/>
          <w:szCs w:val="28"/>
        </w:rPr>
        <w:t>3、患者病情需要留院观察未予留院观察的；</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Arial"/>
          <w:sz w:val="28"/>
          <w:szCs w:val="28"/>
        </w:rPr>
      </w:pPr>
      <w:r>
        <w:rPr>
          <w:rFonts w:hint="eastAsia" w:ascii="仿宋_GB2312" w:hAnsi="仿宋" w:eastAsia="仿宋_GB2312" w:cs="Arial"/>
          <w:sz w:val="28"/>
          <w:szCs w:val="28"/>
        </w:rPr>
        <w:t>4、对病情复杂或危重患者未按规定请示上级医生或未及时安排院内院外会诊的，或会诊未及时，或者未执行会诊意见的；</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Arial"/>
          <w:sz w:val="28"/>
          <w:szCs w:val="28"/>
        </w:rPr>
      </w:pPr>
      <w:r>
        <w:rPr>
          <w:rFonts w:hint="eastAsia" w:ascii="仿宋_GB2312" w:hAnsi="仿宋" w:eastAsia="仿宋_GB2312" w:cs="Arial"/>
          <w:sz w:val="28"/>
          <w:szCs w:val="28"/>
        </w:rPr>
        <w:t>5、</w:t>
      </w:r>
      <w:r>
        <w:rPr>
          <w:rFonts w:hint="eastAsia" w:ascii="Calibri" w:hAnsi="Calibri" w:eastAsia="仿宋_GB2312" w:cs="Calibri"/>
          <w:sz w:val="28"/>
          <w:szCs w:val="28"/>
        </w:rPr>
        <w:t> </w:t>
      </w:r>
      <w:r>
        <w:rPr>
          <w:rFonts w:hint="eastAsia" w:ascii="仿宋_GB2312" w:hAnsi="仿宋" w:eastAsia="仿宋_GB2312" w:cs="Arial"/>
          <w:sz w:val="28"/>
          <w:szCs w:val="28"/>
        </w:rPr>
        <w:t>护理人员没有按照护理规范、常规要求进行护理观察或巡视的；</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Arial"/>
          <w:sz w:val="28"/>
          <w:szCs w:val="28"/>
        </w:rPr>
      </w:pPr>
      <w:r>
        <w:rPr>
          <w:rFonts w:hint="eastAsia" w:ascii="仿宋_GB2312" w:hAnsi="仿宋" w:eastAsia="仿宋_GB2312" w:cs="Arial"/>
          <w:sz w:val="28"/>
          <w:szCs w:val="28"/>
        </w:rPr>
        <w:t>6、</w:t>
      </w:r>
      <w:r>
        <w:rPr>
          <w:rFonts w:hint="eastAsia" w:ascii="Calibri" w:hAnsi="Calibri" w:eastAsia="仿宋_GB2312" w:cs="Calibri"/>
          <w:sz w:val="28"/>
          <w:szCs w:val="28"/>
        </w:rPr>
        <w:t> </w:t>
      </w:r>
      <w:r>
        <w:rPr>
          <w:rFonts w:hint="eastAsia" w:ascii="仿宋_GB2312" w:hAnsi="仿宋" w:eastAsia="仿宋_GB2312" w:cs="Arial"/>
          <w:sz w:val="28"/>
          <w:szCs w:val="28"/>
        </w:rPr>
        <w:t>用药不当：如违反《中华人民共和国药典》，药品使用说明书或临床用药原则；滥用抗生素；违规使用麻醉药品、精神药品等；</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Arial"/>
          <w:sz w:val="28"/>
          <w:szCs w:val="28"/>
        </w:rPr>
      </w:pPr>
      <w:r>
        <w:rPr>
          <w:rFonts w:hint="eastAsia" w:ascii="仿宋_GB2312" w:hAnsi="仿宋" w:eastAsia="仿宋_GB2312" w:cs="Arial"/>
          <w:sz w:val="28"/>
          <w:szCs w:val="28"/>
        </w:rPr>
        <w:t>7、麻醉不当：如麻醉前对病情评估不足影响手术效果的；麻醉前、麻醉期间用药不当的；麻醉方式选择不当的；麻醉复苏期病情观察、处置、护理不当的；</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Arial"/>
          <w:sz w:val="28"/>
          <w:szCs w:val="28"/>
        </w:rPr>
      </w:pPr>
      <w:r>
        <w:rPr>
          <w:rFonts w:hint="eastAsia" w:ascii="仿宋_GB2312" w:hAnsi="仿宋" w:eastAsia="仿宋_GB2312" w:cs="Arial"/>
          <w:sz w:val="28"/>
          <w:szCs w:val="28"/>
        </w:rPr>
        <w:t>8、</w:t>
      </w:r>
      <w:r>
        <w:rPr>
          <w:rFonts w:hint="eastAsia" w:ascii="Calibri" w:hAnsi="Calibri" w:eastAsia="仿宋_GB2312" w:cs="Calibri"/>
          <w:sz w:val="28"/>
          <w:szCs w:val="28"/>
        </w:rPr>
        <w:t> </w:t>
      </w:r>
      <w:r>
        <w:rPr>
          <w:rFonts w:hint="eastAsia" w:ascii="仿宋_GB2312" w:hAnsi="仿宋" w:eastAsia="仿宋_GB2312" w:cs="Arial"/>
          <w:sz w:val="28"/>
          <w:szCs w:val="28"/>
        </w:rPr>
        <w:t>手术不当：如手术指征、禁忌症、手术方式、手术时机掌握不当，手术违反相应手术操作规程，并发症的防范与处置不当、围术期风险评估不足、风险预案和处置措施不到位等；</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Arial"/>
          <w:sz w:val="28"/>
          <w:szCs w:val="28"/>
        </w:rPr>
      </w:pPr>
      <w:r>
        <w:rPr>
          <w:rFonts w:hint="eastAsia" w:ascii="仿宋_GB2312" w:hAnsi="仿宋" w:eastAsia="仿宋_GB2312" w:cs="Arial"/>
          <w:sz w:val="28"/>
          <w:szCs w:val="28"/>
        </w:rPr>
        <w:t>9、术后病情观察、治疗、护理不当；</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Arial"/>
          <w:sz w:val="28"/>
          <w:szCs w:val="28"/>
        </w:rPr>
      </w:pPr>
      <w:r>
        <w:rPr>
          <w:rFonts w:hint="eastAsia" w:ascii="仿宋_GB2312" w:hAnsi="仿宋" w:eastAsia="仿宋_GB2312" w:cs="Arial"/>
          <w:sz w:val="28"/>
          <w:szCs w:val="28"/>
        </w:rPr>
        <w:t>10、使用实验性药物或诊疗方法，没有依法充分说明风险、履行告知义务的；</w:t>
      </w:r>
    </w:p>
    <w:p>
      <w:pPr>
        <w:pStyle w:val="28"/>
        <w:keepNext w:val="0"/>
        <w:keepLines w:val="0"/>
        <w:pageBreakBefore w:val="0"/>
        <w:widowControl w:val="0"/>
        <w:shd w:val="clear" w:color="auto" w:fill="FFFFFF"/>
        <w:wordWrap/>
        <w:bidi w:val="0"/>
        <w:spacing w:before="0" w:beforeAutospacing="0" w:after="0" w:afterAutospacing="0" w:line="500" w:lineRule="exact"/>
        <w:ind w:firstLine="522" w:firstLineChars="200"/>
        <w:jc w:val="both"/>
        <w:rPr>
          <w:rFonts w:hint="eastAsia" w:ascii="仿宋_GB2312" w:hAnsi="仿宋" w:eastAsia="仿宋_GB2312" w:cs="Tahoma"/>
          <w:sz w:val="28"/>
          <w:szCs w:val="28"/>
        </w:rPr>
      </w:pPr>
      <w:r>
        <w:rPr>
          <w:rFonts w:hint="eastAsia" w:ascii="仿宋_GB2312" w:hAnsi="仿宋" w:eastAsia="仿宋_GB2312" w:cs="Arial"/>
          <w:sz w:val="28"/>
          <w:szCs w:val="28"/>
        </w:rPr>
        <w:t>11、病危患者的急救不符合急救原则的。</w:t>
      </w:r>
    </w:p>
    <w:p>
      <w:pPr>
        <w:pStyle w:val="28"/>
        <w:keepNext w:val="0"/>
        <w:keepLines w:val="0"/>
        <w:pageBreakBefore w:val="0"/>
        <w:widowControl w:val="0"/>
        <w:shd w:val="clear" w:color="auto" w:fill="FFFFFF"/>
        <w:wordWrap/>
        <w:bidi w:val="0"/>
        <w:spacing w:before="0" w:beforeAutospacing="0" w:after="0" w:afterAutospacing="0" w:line="500" w:lineRule="exact"/>
        <w:ind w:firstLine="200"/>
        <w:jc w:val="both"/>
        <w:rPr>
          <w:rFonts w:hint="eastAsia" w:ascii="仿宋_GB2312" w:hAnsi="仿宋" w:eastAsia="仿宋_GB2312" w:cs="Tahoma"/>
          <w:b/>
          <w:bCs/>
          <w:sz w:val="28"/>
          <w:szCs w:val="28"/>
        </w:rPr>
      </w:pPr>
      <w:r>
        <w:rPr>
          <w:rFonts w:hint="eastAsia" w:ascii="仿宋_GB2312" w:hAnsi="仿宋" w:eastAsia="仿宋_GB2312" w:cs="Arial"/>
          <w:b/>
          <w:bCs/>
          <w:sz w:val="28"/>
          <w:szCs w:val="28"/>
        </w:rPr>
        <w:t>（五）审查是否有侵犯患者隐私权、名誉权、知情同意权并导致患者损害的行为；</w:t>
      </w:r>
    </w:p>
    <w:p>
      <w:pPr>
        <w:pStyle w:val="28"/>
        <w:keepNext w:val="0"/>
        <w:keepLines w:val="0"/>
        <w:pageBreakBefore w:val="0"/>
        <w:widowControl w:val="0"/>
        <w:shd w:val="clear" w:color="auto" w:fill="FFFFFF"/>
        <w:wordWrap/>
        <w:bidi w:val="0"/>
        <w:spacing w:before="0" w:beforeAutospacing="0" w:after="0" w:afterAutospacing="0" w:line="500" w:lineRule="exact"/>
        <w:ind w:firstLine="200"/>
        <w:jc w:val="both"/>
        <w:rPr>
          <w:rFonts w:hint="eastAsia" w:ascii="仿宋_GB2312" w:hAnsi="仿宋" w:eastAsia="仿宋_GB2312" w:cs="Tahoma"/>
          <w:sz w:val="28"/>
          <w:szCs w:val="28"/>
        </w:rPr>
      </w:pPr>
      <w:r>
        <w:rPr>
          <w:rFonts w:hint="eastAsia" w:ascii="仿宋_GB2312" w:hAnsi="仿宋" w:eastAsia="仿宋_GB2312" w:cs="Arial"/>
          <w:b/>
          <w:bCs/>
          <w:sz w:val="28"/>
          <w:szCs w:val="28"/>
        </w:rPr>
        <w:t>（六）审查是否存在医疗管理上的缺陷</w:t>
      </w:r>
      <w:r>
        <w:rPr>
          <w:rFonts w:hint="eastAsia" w:ascii="仿宋_GB2312" w:hAnsi="仿宋" w:eastAsia="仿宋_GB2312" w:cs="Arial"/>
          <w:sz w:val="28"/>
          <w:szCs w:val="28"/>
        </w:rPr>
        <w:t>：例如各科室协调障碍导致延误诊治等；</w:t>
      </w:r>
    </w:p>
    <w:p>
      <w:pPr>
        <w:pStyle w:val="28"/>
        <w:keepNext w:val="0"/>
        <w:keepLines w:val="0"/>
        <w:pageBreakBefore w:val="0"/>
        <w:widowControl w:val="0"/>
        <w:shd w:val="clear" w:color="auto" w:fill="FFFFFF"/>
        <w:wordWrap/>
        <w:bidi w:val="0"/>
        <w:spacing w:before="0" w:beforeAutospacing="0" w:after="0" w:afterAutospacing="0" w:line="500" w:lineRule="exact"/>
        <w:ind w:firstLine="200"/>
        <w:jc w:val="both"/>
        <w:rPr>
          <w:rFonts w:hint="eastAsia" w:ascii="仿宋_GB2312" w:hAnsi="仿宋" w:eastAsia="仿宋_GB2312" w:cs="Tahoma"/>
          <w:b/>
          <w:bCs/>
          <w:sz w:val="28"/>
          <w:szCs w:val="28"/>
        </w:rPr>
      </w:pPr>
      <w:r>
        <w:rPr>
          <w:rFonts w:hint="eastAsia" w:ascii="仿宋_GB2312" w:hAnsi="仿宋" w:eastAsia="仿宋_GB2312" w:cs="Arial"/>
          <w:b/>
          <w:bCs/>
          <w:sz w:val="28"/>
          <w:szCs w:val="28"/>
        </w:rPr>
        <w:t>（七）审查医疗机构使用的药品、医疗器械、血液及血制品等是否具备合法来源，是否可能存在产品缺陷；</w:t>
      </w:r>
    </w:p>
    <w:p>
      <w:pPr>
        <w:pStyle w:val="28"/>
        <w:keepNext w:val="0"/>
        <w:keepLines w:val="0"/>
        <w:pageBreakBefore w:val="0"/>
        <w:widowControl w:val="0"/>
        <w:shd w:val="clear" w:color="auto" w:fill="FFFFFF"/>
        <w:wordWrap/>
        <w:bidi w:val="0"/>
        <w:spacing w:before="0" w:beforeAutospacing="0" w:after="0" w:afterAutospacing="0" w:line="500" w:lineRule="exact"/>
        <w:ind w:firstLine="200"/>
        <w:jc w:val="both"/>
        <w:rPr>
          <w:rFonts w:hint="eastAsia" w:ascii="仿宋_GB2312" w:hAnsi="仿宋" w:eastAsia="仿宋_GB2312" w:cs="Arial"/>
          <w:b/>
          <w:bCs/>
          <w:sz w:val="28"/>
          <w:szCs w:val="28"/>
        </w:rPr>
      </w:pPr>
      <w:r>
        <w:rPr>
          <w:rFonts w:hint="eastAsia" w:ascii="仿宋_GB2312" w:hAnsi="仿宋" w:eastAsia="仿宋_GB2312" w:cs="Arial"/>
          <w:b/>
          <w:bCs/>
          <w:sz w:val="28"/>
          <w:szCs w:val="28"/>
        </w:rPr>
        <w:t>（八）审查是否存在过度检查或过度医疗。</w:t>
      </w:r>
    </w:p>
    <w:p>
      <w:pPr>
        <w:pStyle w:val="28"/>
        <w:keepNext w:val="0"/>
        <w:keepLines w:val="0"/>
        <w:pageBreakBefore w:val="0"/>
        <w:widowControl w:val="0"/>
        <w:shd w:val="clear" w:color="auto" w:fill="FFFFFF"/>
        <w:wordWrap/>
        <w:bidi w:val="0"/>
        <w:spacing w:before="0" w:beforeAutospacing="0" w:after="0" w:afterAutospacing="0" w:line="500" w:lineRule="exact"/>
        <w:ind w:firstLine="200"/>
        <w:jc w:val="both"/>
        <w:rPr>
          <w:rFonts w:hint="eastAsia" w:ascii="仿宋_GB2312" w:eastAsia="仿宋_GB2312"/>
          <w:sz w:val="28"/>
          <w:szCs w:val="28"/>
        </w:rPr>
      </w:pPr>
      <w:r>
        <w:rPr>
          <w:rFonts w:hint="eastAsia" w:ascii="仿宋_GB2312" w:hAnsi="仿宋" w:eastAsia="仿宋_GB2312" w:cs="Arial"/>
          <w:b/>
          <w:bCs/>
          <w:sz w:val="28"/>
          <w:szCs w:val="28"/>
        </w:rPr>
        <w:t>（九）审查是否存在可以免除或减轻医疗机构责任的事由</w:t>
      </w:r>
      <w:r>
        <w:rPr>
          <w:rFonts w:hint="eastAsia"/>
          <w:b/>
          <w:bCs/>
          <w:sz w:val="22"/>
          <w:szCs w:val="22"/>
        </w:rPr>
        <w:t>：</w:t>
      </w:r>
      <w:r>
        <w:rPr>
          <w:rFonts w:hint="eastAsia"/>
          <w:b/>
          <w:bCs/>
          <w:sz w:val="22"/>
          <w:szCs w:val="22"/>
        </w:rPr>
        <w:br w:type="textWrapping"/>
      </w:r>
      <w:r>
        <w:rPr>
          <w:rFonts w:hint="eastAsia"/>
          <w:sz w:val="22"/>
          <w:szCs w:val="22"/>
        </w:rPr>
        <w:t xml:space="preserve">  </w:t>
      </w:r>
      <w:r>
        <w:rPr>
          <w:rFonts w:hint="eastAsia" w:ascii="仿宋_GB2312" w:eastAsia="仿宋_GB2312"/>
          <w:sz w:val="28"/>
          <w:szCs w:val="28"/>
        </w:rPr>
        <w:t xml:space="preserve">  1、紧急情况下为抢救垂危患者生命而采取紧急医学措施造成不良后果的；</w:t>
      </w:r>
      <w:r>
        <w:rPr>
          <w:rFonts w:hint="eastAsia" w:ascii="仿宋_GB2312" w:eastAsia="仿宋_GB2312"/>
          <w:sz w:val="28"/>
          <w:szCs w:val="28"/>
        </w:rPr>
        <w:br w:type="textWrapping"/>
      </w:r>
      <w:r>
        <w:rPr>
          <w:rFonts w:hint="eastAsia" w:ascii="仿宋_GB2312" w:eastAsia="仿宋_GB2312"/>
          <w:sz w:val="28"/>
          <w:szCs w:val="28"/>
        </w:rPr>
        <w:t xml:space="preserve">    2、因患者病情异常或者体质异常而发生医疗意外的；</w:t>
      </w:r>
      <w:r>
        <w:rPr>
          <w:rFonts w:hint="eastAsia" w:ascii="仿宋_GB2312" w:eastAsia="仿宋_GB2312"/>
          <w:sz w:val="28"/>
          <w:szCs w:val="28"/>
        </w:rPr>
        <w:br w:type="textWrapping"/>
      </w:r>
      <w:r>
        <w:rPr>
          <w:rFonts w:hint="eastAsia" w:ascii="仿宋_GB2312" w:eastAsia="仿宋_GB2312"/>
          <w:sz w:val="28"/>
          <w:szCs w:val="28"/>
        </w:rPr>
        <w:t xml:space="preserve">    3、现有医学科学技术水平，无法预料或不能防范的；</w:t>
      </w:r>
      <w:r>
        <w:rPr>
          <w:rFonts w:hint="eastAsia" w:ascii="仿宋_GB2312" w:eastAsia="仿宋_GB2312"/>
          <w:sz w:val="28"/>
          <w:szCs w:val="28"/>
        </w:rPr>
        <w:br w:type="textWrapping"/>
      </w:r>
      <w:r>
        <w:rPr>
          <w:rFonts w:hint="eastAsia" w:ascii="仿宋_GB2312" w:eastAsia="仿宋_GB2312"/>
          <w:sz w:val="28"/>
          <w:szCs w:val="28"/>
        </w:rPr>
        <w:t xml:space="preserve">    4、无过错输血导致感染的；</w:t>
      </w:r>
      <w:r>
        <w:rPr>
          <w:rFonts w:hint="eastAsia" w:ascii="仿宋_GB2312" w:eastAsia="仿宋_GB2312"/>
          <w:sz w:val="28"/>
          <w:szCs w:val="28"/>
        </w:rPr>
        <w:br w:type="textWrapping"/>
      </w:r>
      <w:r>
        <w:rPr>
          <w:rFonts w:hint="eastAsia" w:ascii="仿宋_GB2312" w:eastAsia="仿宋_GB2312"/>
          <w:sz w:val="28"/>
          <w:szCs w:val="28"/>
        </w:rPr>
        <w:t xml:space="preserve">    5、因不可抗力造成不良后果的；</w:t>
      </w:r>
      <w:r>
        <w:rPr>
          <w:rFonts w:hint="eastAsia" w:ascii="仿宋_GB2312" w:eastAsia="仿宋_GB2312"/>
          <w:sz w:val="28"/>
          <w:szCs w:val="28"/>
        </w:rPr>
        <w:br w:type="textWrapping"/>
      </w:r>
      <w:r>
        <w:rPr>
          <w:rFonts w:hint="eastAsia" w:ascii="仿宋_GB2312" w:eastAsia="仿宋_GB2312"/>
          <w:sz w:val="28"/>
          <w:szCs w:val="28"/>
        </w:rPr>
        <w:t xml:space="preserve">    6、患者病情复杂，少见，罕见，目前临床实践中难以及时判断和诊疗的。</w:t>
      </w:r>
    </w:p>
    <w:p>
      <w:pPr>
        <w:keepNext w:val="0"/>
        <w:keepLines w:val="0"/>
        <w:pageBreakBefore w:val="0"/>
        <w:widowControl w:val="0"/>
        <w:wordWrap/>
        <w:bidi w:val="0"/>
        <w:spacing w:after="0" w:line="500" w:lineRule="exact"/>
        <w:ind w:firstLine="200"/>
        <w:jc w:val="both"/>
        <w:rPr>
          <w:rFonts w:hint="eastAsia" w:ascii="仿宋_GB2312" w:hAnsi="仿宋" w:eastAsia="仿宋_GB2312" w:cs="Arial"/>
          <w:sz w:val="28"/>
          <w:szCs w:val="28"/>
        </w:rPr>
      </w:pPr>
      <w:r>
        <w:rPr>
          <w:rFonts w:hint="eastAsia" w:ascii="仿宋_GB2312" w:hAnsi="仿宋" w:eastAsia="仿宋_GB2312" w:cs="Tahoma"/>
          <w:sz w:val="28"/>
          <w:szCs w:val="28"/>
        </w:rPr>
        <w:t xml:space="preserve">    </w:t>
      </w:r>
      <w:r>
        <w:rPr>
          <w:rFonts w:hint="eastAsia" w:ascii="仿宋_GB2312" w:hAnsi="仿宋" w:eastAsia="仿宋_GB2312" w:cs="Tahoma"/>
          <w:b/>
          <w:bCs/>
          <w:sz w:val="28"/>
          <w:szCs w:val="28"/>
        </w:rPr>
        <w:t>（十）审查是否存在因患者及其亲属不配合诊断、治疗、护理等行为，可免除或减轻医疗机构责任的事由：</w:t>
      </w:r>
      <w:r>
        <w:rPr>
          <w:rFonts w:hint="eastAsia" w:ascii="仿宋_GB2312" w:hAnsi="仿宋" w:eastAsia="仿宋_GB2312" w:cs="Tahoma"/>
          <w:b/>
          <w:bCs/>
          <w:sz w:val="28"/>
          <w:szCs w:val="28"/>
        </w:rPr>
        <w:br w:type="textWrapping"/>
      </w:r>
      <w:r>
        <w:rPr>
          <w:rFonts w:hint="eastAsia" w:ascii="仿宋_GB2312" w:hAnsi="仿宋" w:eastAsia="仿宋_GB2312" w:cs="Tahoma"/>
          <w:sz w:val="28"/>
          <w:szCs w:val="28"/>
        </w:rPr>
        <w:t xml:space="preserve">   </w:t>
      </w:r>
      <w:r>
        <w:rPr>
          <w:rFonts w:hint="eastAsia" w:ascii="仿宋_GB2312" w:hAnsi="仿宋" w:eastAsia="仿宋_GB2312" w:cs="Arial"/>
          <w:sz w:val="28"/>
          <w:szCs w:val="28"/>
        </w:rPr>
        <w:t xml:space="preserve"> 1、拒绝使用适当治疗或抢救药物的；</w:t>
      </w:r>
      <w:r>
        <w:rPr>
          <w:rFonts w:hint="eastAsia" w:ascii="仿宋_GB2312" w:hAnsi="仿宋" w:eastAsia="仿宋_GB2312" w:cs="Arial"/>
          <w:sz w:val="28"/>
          <w:szCs w:val="28"/>
        </w:rPr>
        <w:br w:type="textWrapping"/>
      </w:r>
      <w:r>
        <w:rPr>
          <w:rFonts w:hint="eastAsia" w:ascii="仿宋_GB2312" w:hAnsi="仿宋" w:eastAsia="仿宋_GB2312" w:cs="Arial"/>
          <w:sz w:val="28"/>
          <w:szCs w:val="28"/>
        </w:rPr>
        <w:t xml:space="preserve">    2、拒绝进行有关常规及特殊项目检查的；</w:t>
      </w:r>
      <w:r>
        <w:rPr>
          <w:rFonts w:hint="eastAsia" w:ascii="仿宋_GB2312" w:hAnsi="仿宋" w:eastAsia="仿宋_GB2312" w:cs="Arial"/>
          <w:sz w:val="28"/>
          <w:szCs w:val="28"/>
        </w:rPr>
        <w:br w:type="textWrapping"/>
      </w:r>
      <w:r>
        <w:rPr>
          <w:rFonts w:hint="eastAsia" w:ascii="仿宋_GB2312" w:hAnsi="仿宋" w:eastAsia="仿宋_GB2312" w:cs="Arial"/>
          <w:sz w:val="28"/>
          <w:szCs w:val="28"/>
        </w:rPr>
        <w:t xml:space="preserve">    3、拒绝在手术同意书或其他必须书面同意文书上签字的；</w:t>
      </w:r>
      <w:r>
        <w:rPr>
          <w:rFonts w:hint="eastAsia" w:ascii="仿宋_GB2312" w:hAnsi="仿宋" w:eastAsia="仿宋_GB2312" w:cs="Arial"/>
          <w:sz w:val="28"/>
          <w:szCs w:val="28"/>
        </w:rPr>
        <w:br w:type="textWrapping"/>
      </w:r>
      <w:r>
        <w:rPr>
          <w:rFonts w:hint="eastAsia" w:ascii="仿宋_GB2312" w:hAnsi="仿宋" w:eastAsia="仿宋_GB2312" w:cs="Arial"/>
          <w:sz w:val="28"/>
          <w:szCs w:val="28"/>
        </w:rPr>
        <w:t xml:space="preserve">    4、拒绝留院观察建议的；</w:t>
      </w:r>
      <w:r>
        <w:rPr>
          <w:rFonts w:hint="eastAsia" w:ascii="仿宋_GB2312" w:hAnsi="仿宋" w:eastAsia="仿宋_GB2312" w:cs="Arial"/>
          <w:sz w:val="28"/>
          <w:szCs w:val="28"/>
        </w:rPr>
        <w:br w:type="textWrapping"/>
      </w:r>
      <w:r>
        <w:rPr>
          <w:rFonts w:hint="eastAsia" w:ascii="仿宋_GB2312" w:hAnsi="仿宋" w:eastAsia="仿宋_GB2312" w:cs="Arial"/>
          <w:sz w:val="28"/>
          <w:szCs w:val="28"/>
        </w:rPr>
        <w:t xml:space="preserve">    5、拒绝转院检查或治疗建议的；</w:t>
      </w:r>
      <w:r>
        <w:rPr>
          <w:rFonts w:hint="eastAsia" w:ascii="仿宋_GB2312" w:hAnsi="仿宋" w:eastAsia="仿宋_GB2312" w:cs="Arial"/>
          <w:sz w:val="28"/>
          <w:szCs w:val="28"/>
        </w:rPr>
        <w:br w:type="textWrapping"/>
      </w:r>
      <w:r>
        <w:rPr>
          <w:rFonts w:hint="eastAsia" w:ascii="仿宋_GB2312" w:hAnsi="仿宋" w:eastAsia="仿宋_GB2312" w:cs="Arial"/>
          <w:sz w:val="28"/>
          <w:szCs w:val="28"/>
        </w:rPr>
        <w:t xml:space="preserve">    6、非紧急情况下拒绝支付医疗有关费用的；</w:t>
      </w:r>
      <w:r>
        <w:rPr>
          <w:rFonts w:hint="eastAsia" w:ascii="仿宋_GB2312" w:hAnsi="仿宋" w:eastAsia="仿宋_GB2312" w:cs="Arial"/>
          <w:sz w:val="28"/>
          <w:szCs w:val="28"/>
        </w:rPr>
        <w:br w:type="textWrapping"/>
      </w:r>
      <w:r>
        <w:rPr>
          <w:rFonts w:hint="eastAsia" w:ascii="仿宋_GB2312" w:hAnsi="仿宋" w:eastAsia="仿宋_GB2312" w:cs="Arial"/>
          <w:sz w:val="28"/>
          <w:szCs w:val="28"/>
        </w:rPr>
        <w:t xml:space="preserve">    7、拒绝提供或不如实提供既往病史、家族史、药物过敏情况的。</w:t>
      </w:r>
    </w:p>
    <w:p>
      <w:pPr>
        <w:keepNext w:val="0"/>
        <w:keepLines w:val="0"/>
        <w:pageBreakBefore w:val="0"/>
        <w:widowControl w:val="0"/>
        <w:wordWrap/>
        <w:bidi w:val="0"/>
        <w:spacing w:line="500" w:lineRule="exact"/>
        <w:ind w:firstLine="442" w:firstLineChars="200"/>
        <w:rPr>
          <w:rFonts w:ascii="仿宋" w:hAnsi="仿宋" w:eastAsia="仿宋"/>
          <w:sz w:val="24"/>
          <w:szCs w:val="24"/>
        </w:rPr>
      </w:pPr>
    </w:p>
    <w:p>
      <w:pPr>
        <w:keepNext w:val="0"/>
        <w:keepLines w:val="0"/>
        <w:pageBreakBefore w:val="0"/>
        <w:widowControl w:val="0"/>
        <w:wordWrap/>
        <w:bidi w:val="0"/>
        <w:spacing w:after="0" w:line="500" w:lineRule="exact"/>
        <w:jc w:val="center"/>
        <w:rPr>
          <w:rFonts w:hint="eastAsia" w:ascii="方正小标宋简体" w:hAnsi="方正小标宋简体" w:eastAsia="方正小标宋简体" w:cs="方正小标宋简体"/>
          <w:color w:val="000000"/>
          <w:kern w:val="2"/>
          <w:sz w:val="40"/>
          <w:szCs w:val="40"/>
        </w:rPr>
      </w:pPr>
    </w:p>
    <w:p>
      <w:pPr>
        <w:keepNext w:val="0"/>
        <w:keepLines w:val="0"/>
        <w:pageBreakBefore w:val="0"/>
        <w:widowControl w:val="0"/>
        <w:wordWrap/>
        <w:bidi w:val="0"/>
        <w:spacing w:after="0" w:line="500" w:lineRule="exact"/>
        <w:jc w:val="center"/>
        <w:rPr>
          <w:rFonts w:hint="eastAsia" w:ascii="方正小标宋简体" w:hAnsi="方正小标宋简体" w:eastAsia="方正小标宋简体" w:cs="方正小标宋简体"/>
          <w:color w:val="000000"/>
          <w:kern w:val="2"/>
          <w:sz w:val="40"/>
          <w:szCs w:val="40"/>
        </w:rPr>
      </w:pPr>
    </w:p>
    <w:p>
      <w:pPr>
        <w:keepNext w:val="0"/>
        <w:keepLines w:val="0"/>
        <w:pageBreakBefore w:val="0"/>
        <w:widowControl w:val="0"/>
        <w:wordWrap/>
        <w:bidi w:val="0"/>
        <w:spacing w:after="0" w:line="500" w:lineRule="exact"/>
        <w:jc w:val="center"/>
        <w:rPr>
          <w:rFonts w:hint="eastAsia" w:ascii="方正小标宋简体" w:hAnsi="方正小标宋简体" w:eastAsia="方正小标宋简体" w:cs="方正小标宋简体"/>
          <w:color w:val="000000"/>
          <w:kern w:val="2"/>
          <w:sz w:val="40"/>
          <w:szCs w:val="40"/>
        </w:rPr>
      </w:pPr>
    </w:p>
    <w:p>
      <w:pPr>
        <w:keepNext w:val="0"/>
        <w:keepLines w:val="0"/>
        <w:pageBreakBefore w:val="0"/>
        <w:widowControl w:val="0"/>
        <w:wordWrap/>
        <w:bidi w:val="0"/>
        <w:spacing w:after="0" w:line="500" w:lineRule="exact"/>
        <w:jc w:val="center"/>
        <w:rPr>
          <w:rFonts w:hint="eastAsia" w:ascii="方正小标宋简体" w:hAnsi="方正小标宋简体" w:eastAsia="方正小标宋简体" w:cs="方正小标宋简体"/>
          <w:color w:val="000000"/>
          <w:kern w:val="2"/>
          <w:sz w:val="40"/>
          <w:szCs w:val="40"/>
        </w:rPr>
      </w:pPr>
    </w:p>
    <w:p>
      <w:pPr>
        <w:keepNext w:val="0"/>
        <w:keepLines w:val="0"/>
        <w:pageBreakBefore w:val="0"/>
        <w:widowControl w:val="0"/>
        <w:wordWrap/>
        <w:bidi w:val="0"/>
        <w:spacing w:after="0" w:line="500" w:lineRule="exact"/>
        <w:jc w:val="center"/>
        <w:rPr>
          <w:rFonts w:hint="eastAsia" w:ascii="方正小标宋简体" w:hAnsi="方正小标宋简体" w:eastAsia="方正小标宋简体" w:cs="方正小标宋简体"/>
          <w:color w:val="000000"/>
          <w:kern w:val="2"/>
          <w:sz w:val="40"/>
          <w:szCs w:val="40"/>
        </w:rPr>
      </w:pPr>
    </w:p>
    <w:p>
      <w:pPr>
        <w:keepNext w:val="0"/>
        <w:keepLines w:val="0"/>
        <w:pageBreakBefore w:val="0"/>
        <w:widowControl w:val="0"/>
        <w:wordWrap/>
        <w:bidi w:val="0"/>
        <w:spacing w:after="0" w:line="500" w:lineRule="exact"/>
        <w:jc w:val="center"/>
        <w:rPr>
          <w:rFonts w:hint="eastAsia" w:ascii="方正小标宋简体" w:hAnsi="方正小标宋简体" w:eastAsia="方正小标宋简体" w:cs="方正小标宋简体"/>
          <w:color w:val="000000"/>
          <w:kern w:val="2"/>
          <w:sz w:val="40"/>
          <w:szCs w:val="40"/>
        </w:rPr>
      </w:pPr>
    </w:p>
    <w:p>
      <w:pPr>
        <w:keepNext w:val="0"/>
        <w:keepLines w:val="0"/>
        <w:pageBreakBefore w:val="0"/>
        <w:widowControl w:val="0"/>
        <w:wordWrap/>
        <w:bidi w:val="0"/>
        <w:spacing w:after="0" w:line="500" w:lineRule="exact"/>
        <w:jc w:val="center"/>
        <w:rPr>
          <w:rFonts w:hint="eastAsia" w:ascii="方正小标宋简体" w:hAnsi="方正小标宋简体" w:eastAsia="方正小标宋简体" w:cs="方正小标宋简体"/>
          <w:color w:val="000000"/>
          <w:kern w:val="2"/>
          <w:sz w:val="40"/>
          <w:szCs w:val="40"/>
        </w:rPr>
      </w:pPr>
    </w:p>
    <w:p>
      <w:pPr>
        <w:keepNext w:val="0"/>
        <w:keepLines w:val="0"/>
        <w:pageBreakBefore w:val="0"/>
        <w:widowControl w:val="0"/>
        <w:wordWrap/>
        <w:bidi w:val="0"/>
        <w:spacing w:after="0" w:line="500" w:lineRule="exact"/>
        <w:jc w:val="center"/>
        <w:rPr>
          <w:rFonts w:ascii="方正小标宋简体" w:hAnsi="方正小标宋简体" w:eastAsia="方正小标宋简体" w:cs="方正小标宋简体"/>
          <w:color w:val="000000"/>
          <w:kern w:val="2"/>
          <w:sz w:val="40"/>
          <w:szCs w:val="40"/>
        </w:rPr>
      </w:pPr>
      <w:r>
        <w:rPr>
          <w:sz w:val="28"/>
        </w:rPr>
        <mc:AlternateContent>
          <mc:Choice Requires="wps">
            <w:drawing>
              <wp:anchor distT="0" distB="0" distL="114300" distR="114300" simplePos="0" relativeHeight="251752448" behindDoc="0" locked="0" layoutInCell="1" allowOverlap="1">
                <wp:simplePos x="0" y="0"/>
                <wp:positionH relativeFrom="column">
                  <wp:posOffset>2617470</wp:posOffset>
                </wp:positionH>
                <wp:positionV relativeFrom="paragraph">
                  <wp:posOffset>4535170</wp:posOffset>
                </wp:positionV>
                <wp:extent cx="2286000" cy="12192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2286000" cy="1219200"/>
                        </a:xfrm>
                        <a:prstGeom prst="rect">
                          <a:avLst/>
                        </a:prstGeom>
                        <a:solidFill>
                          <a:srgbClr val="FFFFFF"/>
                        </a:solidFill>
                        <a:ln>
                          <a:noFill/>
                        </a:ln>
                      </wps:spPr>
                      <wps:txbx>
                        <w:txbxContent>
                          <w:p/>
                        </w:txbxContent>
                      </wps:txbx>
                      <wps:bodyPr upright="1"/>
                    </wps:wsp>
                  </a:graphicData>
                </a:graphic>
              </wp:anchor>
            </w:drawing>
          </mc:Choice>
          <mc:Fallback>
            <w:pict>
              <v:shape id="_x0000_s1026" o:spid="_x0000_s1026" o:spt="202" type="#_x0000_t202" style="position:absolute;left:0pt;margin-left:206.1pt;margin-top:357.1pt;height:96pt;width:180pt;z-index:251752448;mso-width-relative:page;mso-height-relative:page;" fillcolor="#FFFFFF" filled="t" stroked="f" coordsize="21600,21600" o:gfxdata="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981QQNcAAAALAQAADwAAAAAAAAABACAAAAAiAAAAZHJzL2Rvd25yZXYueG1s&#10;UEsBAhQAFAAAAAgAh07iQEpa0JLAAQAAegMAAA4AAAAAAAAAAQAgAAAAJgEAAGRycy9lMm9Eb2Mu&#10;eG1sUEsFBgAAAAAGAAYAWQEAAFgFAAAAAA==&#10;">
                <v:fill on="t" focussize="0,0"/>
                <v:stroke on="f"/>
                <v:imagedata o:title=""/>
                <o:lock v:ext="edit" aspectratio="f"/>
                <v:textbox>
                  <w:txbxContent>
                    <w:p/>
                  </w:txbxContent>
                </v:textbox>
              </v:shape>
            </w:pict>
          </mc:Fallback>
        </mc:AlternateContent>
      </w:r>
      <w:r>
        <w:rPr>
          <w:sz w:val="28"/>
        </w:rPr>
        <mc:AlternateContent>
          <mc:Choice Requires="wps">
            <w:drawing>
              <wp:anchor distT="0" distB="0" distL="114300" distR="114300" simplePos="0" relativeHeight="251740160" behindDoc="0" locked="0" layoutInCell="1" allowOverlap="1">
                <wp:simplePos x="0" y="0"/>
                <wp:positionH relativeFrom="column">
                  <wp:posOffset>-269875</wp:posOffset>
                </wp:positionH>
                <wp:positionV relativeFrom="paragraph">
                  <wp:posOffset>5102860</wp:posOffset>
                </wp:positionV>
                <wp:extent cx="1227455" cy="751205"/>
                <wp:effectExtent l="0" t="0" r="10795" b="10795"/>
                <wp:wrapNone/>
                <wp:docPr id="60" name="文本框 60"/>
                <wp:cNvGraphicFramePr/>
                <a:graphic xmlns:a="http://schemas.openxmlformats.org/drawingml/2006/main">
                  <a:graphicData uri="http://schemas.microsoft.com/office/word/2010/wordprocessingShape">
                    <wps:wsp>
                      <wps:cNvSpPr txBox="1"/>
                      <wps:spPr>
                        <a:xfrm>
                          <a:off x="0" y="0"/>
                          <a:ext cx="1227455" cy="751205"/>
                        </a:xfrm>
                        <a:prstGeom prst="rect">
                          <a:avLst/>
                        </a:prstGeom>
                        <a:solidFill>
                          <a:srgbClr val="FFFFFF"/>
                        </a:solidFill>
                        <a:ln>
                          <a:noFill/>
                        </a:ln>
                      </wps:spPr>
                      <wps:txbx>
                        <w:txbxContent>
                          <w:p/>
                        </w:txbxContent>
                      </wps:txbx>
                      <wps:bodyPr upright="1"/>
                    </wps:wsp>
                  </a:graphicData>
                </a:graphic>
              </wp:anchor>
            </w:drawing>
          </mc:Choice>
          <mc:Fallback>
            <w:pict>
              <v:shape id="_x0000_s1026" o:spid="_x0000_s1026" o:spt="202" type="#_x0000_t202" style="position:absolute;left:0pt;margin-left:-21.25pt;margin-top:401.8pt;height:59.15pt;width:96.65pt;z-index:251740160;mso-width-relative:page;mso-height-relative:page;" fillcolor="#FFFFFF" filled="t" stroked="f" coordsize="21600,21600" o:gfxdata="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rzLKFtkAAAALAQAADwAAAAAAAAABACAAAAAiAAAAZHJzL2Rvd25yZXYu&#10;eG1sUEsBAhQAFAAAAAgAh07iQH9us6DBAQAAeQMAAA4AAAAAAAAAAQAgAAAAKAEAAGRycy9lMm9E&#10;b2MueG1sUEsFBgAAAAAGAAYAWQEAAFsFAAAAAA==&#10;">
                <v:fill on="t" focussize="0,0"/>
                <v:stroke on="f"/>
                <v:imagedata o:title=""/>
                <o:lock v:ext="edit" aspectratio="f"/>
                <v:textbox>
                  <w:txbxContent>
                    <w:p/>
                  </w:txbxContent>
                </v:textbox>
              </v:shape>
            </w:pict>
          </mc:Fallback>
        </mc:AlternateContent>
      </w:r>
      <w:r>
        <w:rPr>
          <w:rFonts w:ascii="方正小标宋简体" w:hAnsi="方正小标宋简体" w:eastAsia="方正小标宋简体" w:cs="方正小标宋简体"/>
          <w:color w:val="000000"/>
          <w:kern w:val="2"/>
          <w:sz w:val="40"/>
          <w:szCs w:val="40"/>
        </w:rPr>
        <w:br w:type="page"/>
      </w:r>
    </w:p>
    <w:p>
      <w:pPr>
        <w:keepNext w:val="0"/>
        <w:keepLines w:val="0"/>
        <w:pageBreakBefore w:val="0"/>
        <w:widowControl w:val="0"/>
        <w:wordWrap/>
        <w:bidi w:val="0"/>
        <w:spacing w:after="0" w:line="500" w:lineRule="exact"/>
        <w:jc w:val="center"/>
        <w:rPr>
          <w:rFonts w:hint="eastAsia" w:ascii="方正小标宋简体" w:hAnsi="方正小标宋简体" w:eastAsia="方正小标宋简体" w:cs="方正小标宋简体"/>
          <w:color w:val="000000"/>
          <w:kern w:val="2"/>
          <w:sz w:val="40"/>
          <w:szCs w:val="40"/>
        </w:rPr>
      </w:pPr>
      <w:r>
        <w:rPr>
          <w:rFonts w:hint="eastAsia" w:ascii="方正小标宋简体" w:hAnsi="方正小标宋简体" w:eastAsia="方正小标宋简体" w:cs="方正小标宋简体"/>
          <w:color w:val="000000"/>
          <w:kern w:val="2"/>
          <w:sz w:val="40"/>
          <w:szCs w:val="40"/>
        </w:rPr>
        <mc:AlternateContent>
          <mc:Choice Requires="wps">
            <w:drawing>
              <wp:anchor distT="0" distB="0" distL="114300" distR="114300" simplePos="0" relativeHeight="251717632" behindDoc="0" locked="0" layoutInCell="1" allowOverlap="1">
                <wp:simplePos x="0" y="0"/>
                <wp:positionH relativeFrom="column">
                  <wp:posOffset>-435610</wp:posOffset>
                </wp:positionH>
                <wp:positionV relativeFrom="paragraph">
                  <wp:posOffset>8286115</wp:posOffset>
                </wp:positionV>
                <wp:extent cx="1460500" cy="1013460"/>
                <wp:effectExtent l="4445" t="4445" r="20955" b="10795"/>
                <wp:wrapNone/>
                <wp:docPr id="69" name="文本框 69"/>
                <wp:cNvGraphicFramePr/>
                <a:graphic xmlns:a="http://schemas.openxmlformats.org/drawingml/2006/main">
                  <a:graphicData uri="http://schemas.microsoft.com/office/word/2010/wordprocessingShape">
                    <wps:wsp>
                      <wps:cNvSpPr txBox="1"/>
                      <wps:spPr>
                        <a:xfrm>
                          <a:off x="0" y="0"/>
                          <a:ext cx="1460500" cy="1013460"/>
                        </a:xfrm>
                        <a:prstGeom prst="rect">
                          <a:avLst/>
                        </a:prstGeom>
                        <a:solidFill>
                          <a:srgbClr val="FFFFFF"/>
                        </a:solidFill>
                        <a:ln w="9525" cap="flat" cmpd="sng">
                          <a:solidFill>
                            <a:srgbClr val="FFFFFF"/>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202" type="#_x0000_t202" style="position:absolute;left:0pt;margin-left:-34.3pt;margin-top:652.45pt;height:79.8pt;width:115pt;z-index:251717632;mso-width-relative:page;mso-height-relative:page;" fillcolor="#FFFFFF" filled="t" stroked="t" coordsize="21600,21600" o:gfxdata="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cce5jbAAAADQEAAA8AAAAAAAAAAQAgAAAAIgAA&#10;AGRycy9kb3ducmV2LnhtbFBLAQIUABQAAAAIAIdO4kCPspdVBQIAADkEAAAOAAAAAAAAAAEAIAAA&#10;ACoBAABkcnMvZTJvRG9jLnhtbFBLBQYAAAAABgAGAFkBAAChBQAAAAA=&#10;">
                <v:fill on="t" focussize="0,0"/>
                <v:stroke color="#FFFFFF" joinstyle="miter"/>
                <v:imagedata o:title=""/>
                <o:lock v:ext="edit" aspectratio="f"/>
                <v:textbox>
                  <w:txbxContent>
                    <w:p/>
                  </w:txbxContent>
                </v:textbox>
              </v:shape>
            </w:pict>
          </mc:Fallback>
        </mc:AlternateContent>
      </w:r>
    </w:p>
    <w:p>
      <w:pPr>
        <w:keepNext w:val="0"/>
        <w:keepLines w:val="0"/>
        <w:pageBreakBefore w:val="0"/>
        <w:widowControl w:val="0"/>
        <w:wordWrap/>
        <w:bidi w:val="0"/>
        <w:spacing w:after="0" w:line="500" w:lineRule="exact"/>
        <w:jc w:val="center"/>
        <w:rPr>
          <w:rFonts w:hint="eastAsia" w:ascii="方正小标宋简体" w:hAnsi="方正小标宋简体" w:eastAsia="方正小标宋简体" w:cs="方正小标宋简体"/>
          <w:color w:val="000000"/>
          <w:kern w:val="2"/>
          <w:sz w:val="48"/>
          <w:szCs w:val="48"/>
        </w:rPr>
      </w:pPr>
    </w:p>
    <w:p>
      <w:pPr>
        <w:keepNext w:val="0"/>
        <w:keepLines w:val="0"/>
        <w:pageBreakBefore w:val="0"/>
        <w:widowControl w:val="0"/>
        <w:wordWrap/>
        <w:bidi w:val="0"/>
        <w:spacing w:after="0" w:line="500" w:lineRule="exact"/>
        <w:jc w:val="center"/>
        <w:rPr>
          <w:rFonts w:hint="eastAsia" w:ascii="方正小标宋简体" w:hAnsi="方正小标宋简体" w:eastAsia="方正小标宋简体" w:cs="方正小标宋简体"/>
          <w:color w:val="000000"/>
          <w:kern w:val="2"/>
          <w:sz w:val="48"/>
          <w:szCs w:val="48"/>
        </w:rPr>
      </w:pPr>
    </w:p>
    <w:p>
      <w:pPr>
        <w:keepNext w:val="0"/>
        <w:keepLines w:val="0"/>
        <w:pageBreakBefore w:val="0"/>
        <w:widowControl w:val="0"/>
        <w:wordWrap/>
        <w:bidi w:val="0"/>
        <w:spacing w:after="0" w:line="500" w:lineRule="exact"/>
        <w:jc w:val="center"/>
        <w:rPr>
          <w:rFonts w:hint="eastAsia" w:ascii="方正小标宋简体" w:hAnsi="方正小标宋简体" w:eastAsia="方正小标宋简体" w:cs="方正小标宋简体"/>
          <w:color w:val="000000"/>
          <w:kern w:val="2"/>
          <w:sz w:val="48"/>
          <w:szCs w:val="48"/>
        </w:rPr>
      </w:pPr>
    </w:p>
    <w:p>
      <w:pPr>
        <w:keepNext w:val="0"/>
        <w:keepLines w:val="0"/>
        <w:pageBreakBefore w:val="0"/>
        <w:widowControl w:val="0"/>
        <w:wordWrap/>
        <w:bidi w:val="0"/>
        <w:spacing w:after="0" w:line="500" w:lineRule="exact"/>
        <w:jc w:val="center"/>
        <w:rPr>
          <w:rFonts w:hint="eastAsia" w:ascii="方正小标宋简体" w:hAnsi="方正小标宋简体" w:eastAsia="方正小标宋简体" w:cs="方正小标宋简体"/>
          <w:color w:val="000000"/>
          <w:kern w:val="2"/>
          <w:sz w:val="48"/>
          <w:szCs w:val="48"/>
        </w:rPr>
      </w:pPr>
    </w:p>
    <w:p>
      <w:pPr>
        <w:keepNext w:val="0"/>
        <w:keepLines w:val="0"/>
        <w:pageBreakBefore w:val="0"/>
        <w:widowControl w:val="0"/>
        <w:wordWrap/>
        <w:bidi w:val="0"/>
        <w:spacing w:after="0" w:line="240" w:lineRule="auto"/>
        <w:jc w:val="center"/>
        <w:rPr>
          <w:rFonts w:hint="eastAsia" w:ascii="方正小标宋简体" w:hAnsi="方正小标宋简体" w:eastAsia="方正小标宋简体" w:cs="方正小标宋简体"/>
          <w:color w:val="000000"/>
          <w:kern w:val="2"/>
          <w:sz w:val="48"/>
          <w:szCs w:val="48"/>
        </w:rPr>
      </w:pPr>
      <w:r>
        <w:rPr>
          <w:rFonts w:hint="eastAsia" w:ascii="方正小标宋简体" w:hAnsi="方正小标宋简体" w:eastAsia="方正小标宋简体" w:cs="方正小标宋简体"/>
          <w:color w:val="000000"/>
          <w:kern w:val="2"/>
          <w:sz w:val="48"/>
          <w:szCs w:val="48"/>
        </w:rPr>
        <w:t>律师代理环境民事公益诉讼</w:t>
      </w:r>
    </w:p>
    <w:p>
      <w:pPr>
        <w:keepNext w:val="0"/>
        <w:keepLines w:val="0"/>
        <w:pageBreakBefore w:val="0"/>
        <w:widowControl w:val="0"/>
        <w:wordWrap/>
        <w:bidi w:val="0"/>
        <w:spacing w:after="0" w:line="240" w:lineRule="auto"/>
        <w:jc w:val="center"/>
        <w:rPr>
          <w:rFonts w:hint="eastAsia" w:ascii="方正小标宋简体" w:hAnsi="方正小标宋简体" w:eastAsia="方正小标宋简体" w:cs="方正小标宋简体"/>
          <w:color w:val="000000"/>
          <w:kern w:val="2"/>
          <w:sz w:val="48"/>
          <w:szCs w:val="48"/>
        </w:rPr>
      </w:pPr>
      <w:r>
        <w:rPr>
          <w:rFonts w:hint="eastAsia" w:ascii="方正小标宋简体" w:hAnsi="方正小标宋简体" w:eastAsia="方正小标宋简体" w:cs="方正小标宋简体"/>
          <w:color w:val="000000"/>
          <w:kern w:val="2"/>
          <w:sz w:val="48"/>
          <w:szCs w:val="48"/>
        </w:rPr>
        <w:t>业务操作指引</w:t>
      </w:r>
    </w:p>
    <w:p>
      <w:pPr>
        <w:keepNext w:val="0"/>
        <w:keepLines w:val="0"/>
        <w:pageBreakBefore w:val="0"/>
        <w:widowControl w:val="0"/>
        <w:wordWrap/>
        <w:bidi w:val="0"/>
        <w:spacing w:after="0" w:line="240" w:lineRule="auto"/>
        <w:jc w:val="center"/>
        <w:rPr>
          <w:rFonts w:ascii="方正小标宋简体" w:hAnsi="方正小标宋简体" w:eastAsia="方正小标宋简体" w:cs="方正小标宋简体"/>
          <w:b/>
          <w:bCs/>
          <w:color w:val="000000"/>
          <w:sz w:val="48"/>
          <w:szCs w:val="48"/>
        </w:rPr>
      </w:pPr>
      <w:r>
        <w:rPr>
          <w:rFonts w:hint="eastAsia" w:ascii="方正小标宋简体" w:hAnsi="方正小标宋简体" w:eastAsia="方正小标宋简体" w:cs="方正小标宋简体"/>
          <w:color w:val="000000"/>
          <w:kern w:val="2"/>
          <w:sz w:val="48"/>
          <w:szCs w:val="48"/>
        </w:rPr>
        <w:br w:type="page"/>
      </w:r>
    </w:p>
    <w:p>
      <w:pPr>
        <w:keepNext w:val="0"/>
        <w:keepLines w:val="0"/>
        <w:pageBreakBefore w:val="0"/>
        <w:widowControl w:val="0"/>
        <w:wordWrap/>
        <w:bidi w:val="0"/>
        <w:spacing w:before="227" w:beforeLines="50" w:after="227" w:afterLines="50" w:line="500" w:lineRule="exact"/>
        <w:jc w:val="both"/>
        <w:rPr>
          <w:rFonts w:ascii="仿宋_GB2312" w:hAnsi="宋体" w:eastAsia="仿宋_GB2312"/>
          <w:b/>
          <w:bCs/>
          <w:color w:val="000000"/>
          <w:sz w:val="28"/>
          <w:szCs w:val="28"/>
        </w:rPr>
      </w:pPr>
    </w:p>
    <w:p>
      <w:pPr>
        <w:pStyle w:val="14"/>
        <w:keepNext w:val="0"/>
        <w:keepLines w:val="0"/>
        <w:pageBreakBefore w:val="0"/>
        <w:widowControl w:val="0"/>
        <w:wordWrap/>
        <w:bidi w:val="0"/>
        <w:spacing w:beforeAutospacing="0" w:after="0" w:afterAutospacing="0" w:line="500" w:lineRule="exact"/>
        <w:jc w:val="center"/>
        <w:outlineLvl w:val="0"/>
        <w:rPr>
          <w:rFonts w:ascii="仿宋_GB2312" w:hAnsi="宋体" w:eastAsia="仿宋_GB2312"/>
          <w:b/>
          <w:bCs/>
          <w:color w:val="000000"/>
          <w:sz w:val="28"/>
          <w:szCs w:val="28"/>
        </w:rPr>
      </w:pPr>
      <w:bookmarkStart w:id="328" w:name="_Toc20487"/>
      <w:r>
        <w:rPr>
          <w:sz w:val="28"/>
        </w:rPr>
        <mc:AlternateContent>
          <mc:Choice Requires="wps">
            <w:drawing>
              <wp:anchor distT="0" distB="0" distL="114300" distR="114300" simplePos="0" relativeHeight="251753472" behindDoc="0" locked="0" layoutInCell="1" allowOverlap="1">
                <wp:simplePos x="0" y="0"/>
                <wp:positionH relativeFrom="column">
                  <wp:posOffset>2617470</wp:posOffset>
                </wp:positionH>
                <wp:positionV relativeFrom="paragraph">
                  <wp:posOffset>4937760</wp:posOffset>
                </wp:positionV>
                <wp:extent cx="2286000" cy="12192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2286000" cy="1219200"/>
                        </a:xfrm>
                        <a:prstGeom prst="rect">
                          <a:avLst/>
                        </a:prstGeom>
                        <a:solidFill>
                          <a:srgbClr val="FFFFFF"/>
                        </a:solidFill>
                        <a:ln>
                          <a:noFill/>
                        </a:ln>
                      </wps:spPr>
                      <wps:txbx>
                        <w:txbxContent>
                          <w:p/>
                        </w:txbxContent>
                      </wps:txbx>
                      <wps:bodyPr upright="1"/>
                    </wps:wsp>
                  </a:graphicData>
                </a:graphic>
              </wp:anchor>
            </w:drawing>
          </mc:Choice>
          <mc:Fallback>
            <w:pict>
              <v:shape id="_x0000_s1026" o:spid="_x0000_s1026" o:spt="202" type="#_x0000_t202" style="position:absolute;left:0pt;margin-left:206.1pt;margin-top:388.8pt;height:96pt;width:180pt;z-index:251753472;mso-width-relative:page;mso-height-relative:page;" fillcolor="#FFFFFF" filled="t" stroked="f" coordsize="21600,21600" o:gfxdata="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3cZnzYAAAACwEAAA8AAAAAAAAAAQAgAAAAIgAAAGRycy9kb3ducmV2Lnht&#10;bFBLAQIUABQAAAAIAIdO4kBYJmrQwAEAAHoDAAAOAAAAAAAAAAEAIAAAACcBAABkcnMvZTJvRG9j&#10;LnhtbFBLBQYAAAAABgAGAFkBAABZBQAAAAA=&#10;">
                <v:fill on="t" focussize="0,0"/>
                <v:stroke on="f"/>
                <v:imagedata o:title=""/>
                <o:lock v:ext="edit" aspectratio="f"/>
                <v:textbox>
                  <w:txbxContent>
                    <w:p/>
                  </w:txbxContent>
                </v:textbox>
              </v:shape>
            </w:pict>
          </mc:Fallback>
        </mc:AlternateContent>
      </w:r>
      <w:r>
        <w:rPr>
          <w:sz w:val="28"/>
        </w:rPr>
        <mc:AlternateContent>
          <mc:Choice Requires="wps">
            <w:drawing>
              <wp:anchor distT="0" distB="0" distL="114300" distR="114300" simplePos="0" relativeHeight="251741184" behindDoc="0" locked="0" layoutInCell="1" allowOverlap="1">
                <wp:simplePos x="0" y="0"/>
                <wp:positionH relativeFrom="column">
                  <wp:posOffset>-269875</wp:posOffset>
                </wp:positionH>
                <wp:positionV relativeFrom="paragraph">
                  <wp:posOffset>5505450</wp:posOffset>
                </wp:positionV>
                <wp:extent cx="1227455" cy="751205"/>
                <wp:effectExtent l="0" t="0" r="10795" b="10795"/>
                <wp:wrapNone/>
                <wp:docPr id="70" name="文本框 70"/>
                <wp:cNvGraphicFramePr/>
                <a:graphic xmlns:a="http://schemas.openxmlformats.org/drawingml/2006/main">
                  <a:graphicData uri="http://schemas.microsoft.com/office/word/2010/wordprocessingShape">
                    <wps:wsp>
                      <wps:cNvSpPr txBox="1"/>
                      <wps:spPr>
                        <a:xfrm>
                          <a:off x="0" y="0"/>
                          <a:ext cx="1227455" cy="751205"/>
                        </a:xfrm>
                        <a:prstGeom prst="rect">
                          <a:avLst/>
                        </a:prstGeom>
                        <a:solidFill>
                          <a:srgbClr val="FFFFFF"/>
                        </a:solidFill>
                        <a:ln>
                          <a:noFill/>
                        </a:ln>
                      </wps:spPr>
                      <wps:txbx>
                        <w:txbxContent>
                          <w:p/>
                        </w:txbxContent>
                      </wps:txbx>
                      <wps:bodyPr upright="1"/>
                    </wps:wsp>
                  </a:graphicData>
                </a:graphic>
              </wp:anchor>
            </w:drawing>
          </mc:Choice>
          <mc:Fallback>
            <w:pict>
              <v:shape id="_x0000_s1026" o:spid="_x0000_s1026" o:spt="202" type="#_x0000_t202" style="position:absolute;left:0pt;margin-left:-21.25pt;margin-top:433.5pt;height:59.15pt;width:96.65pt;z-index:251741184;mso-width-relative:page;mso-height-relative:page;" fillcolor="#FFFFFF" filled="t" stroked="f" coordsize="21600,21600" o:gfxdata="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1djF32QAAAAsBAAAPAAAAAAAAAAEAIAAAACIAAABkcnMvZG93bnJldi54&#10;bWxQSwECFAAUAAAACACHTuJAeISHv8ABAAB5AwAADgAAAAAAAAABACAAAAAoAQAAZHJzL2Uyb0Rv&#10;Yy54bWxQSwUGAAAAAAYABgBZAQAAWgUAAAAA&#10;">
                <v:fill on="t" focussize="0,0"/>
                <v:stroke on="f"/>
                <v:imagedata o:title=""/>
                <o:lock v:ext="edit" aspectratio="f"/>
                <v:textbox>
                  <w:txbxContent>
                    <w:p/>
                  </w:txbxContent>
                </v:textbox>
              </v:shape>
            </w:pict>
          </mc:Fallback>
        </mc:AlternateContent>
      </w:r>
      <w:r>
        <w:rPr>
          <w:sz w:val="28"/>
          <w:szCs w:val="22"/>
        </w:rPr>
        <mc:AlternateContent>
          <mc:Choice Requires="wps">
            <w:drawing>
              <wp:anchor distT="0" distB="0" distL="114300" distR="114300" simplePos="0" relativeHeight="251681792" behindDoc="0" locked="0" layoutInCell="1" allowOverlap="1">
                <wp:simplePos x="0" y="0"/>
                <wp:positionH relativeFrom="column">
                  <wp:posOffset>-269240</wp:posOffset>
                </wp:positionH>
                <wp:positionV relativeFrom="paragraph">
                  <wp:posOffset>7092315</wp:posOffset>
                </wp:positionV>
                <wp:extent cx="1309370" cy="737870"/>
                <wp:effectExtent l="4445" t="4445" r="19685" b="19685"/>
                <wp:wrapNone/>
                <wp:docPr id="62" name="矩形 62"/>
                <wp:cNvGraphicFramePr/>
                <a:graphic xmlns:a="http://schemas.openxmlformats.org/drawingml/2006/main">
                  <a:graphicData uri="http://schemas.microsoft.com/office/word/2010/wordprocessingShape">
                    <wps:wsp>
                      <wps:cNvSpPr/>
                      <wps:spPr>
                        <a:xfrm>
                          <a:off x="0" y="0"/>
                          <a:ext cx="1309370" cy="737870"/>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1.2pt;margin-top:558.45pt;height:58.1pt;width:103.1pt;z-index:251681792;mso-width-relative:page;mso-height-relative:page;" fillcolor="#FFFFFF" filled="t" stroked="t" coordsize="21600,21600" o:gfxdata="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sn5X5tkAAAANAQAADwAAAAAAAAABACAAAAAiAAAAZHJzL2Rvd25yZXYueG1s&#10;UEsBAhQAFAAAAAgAh07iQHUSXq/3AQAAIAQAAA4AAAAAAAAAAQAgAAAAKAEAAGRycy9lMm9Eb2Mu&#10;eG1sUEsFBgAAAAAGAAYAWQEAAJEFAAAAAA==&#10;">
                <v:fill on="t" focussize="0,0"/>
                <v:stroke color="#FFFFFF" joinstyle="miter"/>
                <v:imagedata o:title=""/>
                <o:lock v:ext="edit" aspectratio="f"/>
              </v:rect>
            </w:pict>
          </mc:Fallback>
        </mc:AlternateContent>
      </w:r>
      <w:r>
        <w:rPr>
          <w:rFonts w:hint="eastAsia" w:ascii="仿宋_GB2312" w:hAnsi="宋体" w:eastAsia="仿宋_GB2312"/>
          <w:b/>
          <w:bCs/>
          <w:color w:val="000000"/>
          <w:sz w:val="28"/>
          <w:szCs w:val="28"/>
        </w:rPr>
        <w:br w:type="page"/>
      </w:r>
      <w:r>
        <w:rPr>
          <w:rFonts w:hint="eastAsia" w:ascii="方正小标宋简体" w:hAnsi="方正小标宋简体" w:eastAsia="方正小标宋简体" w:cs="方正小标宋简体"/>
          <w:color w:val="000000"/>
          <w:kern w:val="2"/>
          <w:sz w:val="40"/>
          <w:szCs w:val="40"/>
        </w:rPr>
        <w:t>目   录</w:t>
      </w:r>
      <w:bookmarkEnd w:id="328"/>
    </w:p>
    <w:p>
      <w:pPr>
        <w:pStyle w:val="29"/>
        <w:keepNext w:val="0"/>
        <w:keepLines w:val="0"/>
        <w:pageBreakBefore w:val="0"/>
        <w:widowControl w:val="0"/>
        <w:tabs>
          <w:tab w:val="right" w:leader="dot" w:pos="8306"/>
        </w:tabs>
        <w:wordWrap/>
        <w:bidi w:val="0"/>
        <w:spacing w:before="227" w:beforeLines="50" w:after="227" w:afterLines="50" w:line="500" w:lineRule="exact"/>
        <w:ind w:firstLine="522" w:firstLineChars="200"/>
        <w:rPr>
          <w:rFonts w:ascii="仿宋_GB2312" w:hAnsi="宋体" w:eastAsia="仿宋_GB2312" w:cs="宋体"/>
          <w:color w:val="000000"/>
          <w:sz w:val="28"/>
          <w:szCs w:val="28"/>
        </w:rPr>
      </w:pPr>
      <w:r>
        <w:rPr>
          <w:rFonts w:hint="eastAsia" w:ascii="仿宋_GB2312" w:hAnsi="宋体" w:eastAsia="仿宋_GB2312" w:cs="宋体"/>
          <w:b/>
          <w:bCs/>
          <w:color w:val="000000"/>
          <w:sz w:val="28"/>
          <w:szCs w:val="28"/>
        </w:rPr>
        <w:fldChar w:fldCharType="begin"/>
      </w:r>
      <w:r>
        <w:rPr>
          <w:rFonts w:hint="eastAsia" w:ascii="仿宋_GB2312" w:hAnsi="宋体" w:eastAsia="仿宋_GB2312" w:cs="宋体"/>
          <w:b/>
          <w:bCs/>
          <w:color w:val="000000"/>
          <w:sz w:val="28"/>
          <w:szCs w:val="28"/>
        </w:rPr>
        <w:instrText xml:space="preserve">TOC \o "1-1" \h \u </w:instrText>
      </w:r>
      <w:r>
        <w:rPr>
          <w:rFonts w:hint="eastAsia" w:ascii="仿宋_GB2312" w:hAnsi="宋体" w:eastAsia="仿宋_GB2312" w:cs="宋体"/>
          <w:b/>
          <w:bCs/>
          <w:color w:val="000000"/>
          <w:sz w:val="28"/>
          <w:szCs w:val="28"/>
        </w:rPr>
        <w:fldChar w:fldCharType="separate"/>
      </w:r>
    </w:p>
    <w:p>
      <w:pPr>
        <w:keepNext w:val="0"/>
        <w:keepLines w:val="0"/>
        <w:pageBreakBefore w:val="0"/>
        <w:widowControl w:val="0"/>
        <w:numPr>
          <w:ilvl w:val="0"/>
          <w:numId w:val="192"/>
        </w:numPr>
        <w:kinsoku/>
        <w:wordWrap/>
        <w:overflowPunct/>
        <w:topLinePunct w:val="0"/>
        <w:autoSpaceDE/>
        <w:autoSpaceDN/>
        <w:bidi w:val="0"/>
        <w:adjustRightInd/>
        <w:snapToGrid/>
        <w:spacing w:after="0" w:line="500" w:lineRule="exact"/>
        <w:ind w:left="0" w:firstLine="0" w:firstLineChars="0"/>
        <w:jc w:val="left"/>
        <w:textAlignment w:val="auto"/>
        <w:rPr>
          <w:rFonts w:hint="eastAsia" w:ascii="仿宋_GB2312" w:hAnsi="仿宋_GB2312" w:eastAsia="仿宋_GB2312" w:cs="仿宋_GB2312"/>
          <w:i w:val="0"/>
          <w:iCs w:val="0"/>
          <w:color w:val="000000"/>
          <w:sz w:val="28"/>
          <w:szCs w:val="28"/>
        </w:rPr>
      </w:pPr>
      <w:r>
        <w:rPr>
          <w:rFonts w:hint="eastAsia" w:ascii="仿宋_GB2312" w:hAnsi="仿宋_GB2312" w:eastAsia="仿宋_GB2312" w:cs="仿宋_GB2312"/>
          <w:i w:val="0"/>
          <w:iCs w:val="0"/>
          <w:color w:val="000000"/>
          <w:sz w:val="28"/>
          <w:szCs w:val="28"/>
        </w:rPr>
        <w:t xml:space="preserve"> 总则</w:t>
      </w:r>
    </w:p>
    <w:p>
      <w:pPr>
        <w:keepNext w:val="0"/>
        <w:keepLines w:val="0"/>
        <w:pageBreakBefore w:val="0"/>
        <w:widowControl w:val="0"/>
        <w:numPr>
          <w:ilvl w:val="0"/>
          <w:numId w:val="192"/>
        </w:numPr>
        <w:kinsoku/>
        <w:wordWrap/>
        <w:overflowPunct/>
        <w:topLinePunct w:val="0"/>
        <w:autoSpaceDE/>
        <w:autoSpaceDN/>
        <w:bidi w:val="0"/>
        <w:adjustRightInd/>
        <w:snapToGrid/>
        <w:spacing w:after="0" w:line="500" w:lineRule="exact"/>
        <w:ind w:left="0" w:firstLine="0" w:firstLineChars="0"/>
        <w:jc w:val="left"/>
        <w:textAlignment w:val="auto"/>
        <w:rPr>
          <w:rFonts w:hint="eastAsia" w:ascii="仿宋_GB2312" w:hAnsi="仿宋_GB2312" w:eastAsia="仿宋_GB2312" w:cs="仿宋_GB2312"/>
          <w:i w:val="0"/>
          <w:iCs w:val="0"/>
          <w:color w:val="000000"/>
          <w:sz w:val="28"/>
          <w:szCs w:val="28"/>
        </w:rPr>
      </w:pPr>
      <w:r>
        <w:rPr>
          <w:rFonts w:hint="eastAsia" w:ascii="仿宋_GB2312" w:hAnsi="仿宋_GB2312" w:eastAsia="仿宋_GB2312" w:cs="仿宋_GB2312"/>
          <w:i w:val="0"/>
          <w:iCs w:val="0"/>
          <w:color w:val="000000"/>
          <w:sz w:val="28"/>
          <w:szCs w:val="28"/>
        </w:rPr>
        <w:t xml:space="preserve"> 环境侵权责任纠纷案件</w:t>
      </w:r>
    </w:p>
    <w:p>
      <w:pPr>
        <w:keepNext w:val="0"/>
        <w:keepLines w:val="0"/>
        <w:pageBreakBefore w:val="0"/>
        <w:widowControl w:val="0"/>
        <w:kinsoku/>
        <w:wordWrap/>
        <w:overflowPunct/>
        <w:topLinePunct w:val="0"/>
        <w:autoSpaceDE/>
        <w:autoSpaceDN/>
        <w:bidi w:val="0"/>
        <w:adjustRightInd/>
        <w:snapToGrid/>
        <w:spacing w:after="0" w:line="500" w:lineRule="exact"/>
        <w:ind w:left="0" w:firstLine="0" w:firstLineChars="0"/>
        <w:jc w:val="left"/>
        <w:textAlignment w:val="auto"/>
        <w:rPr>
          <w:rFonts w:hint="eastAsia" w:ascii="仿宋_GB2312" w:hAnsi="仿宋_GB2312" w:eastAsia="仿宋_GB2312" w:cs="仿宋_GB2312"/>
          <w:i w:val="0"/>
          <w:iCs w:val="0"/>
          <w:color w:val="000000"/>
          <w:sz w:val="28"/>
          <w:szCs w:val="28"/>
        </w:rPr>
      </w:pPr>
      <w:r>
        <w:rPr>
          <w:rFonts w:hint="eastAsia" w:ascii="仿宋_GB2312" w:hAnsi="仿宋_GB2312" w:eastAsia="仿宋_GB2312" w:cs="仿宋_GB2312"/>
          <w:i w:val="0"/>
          <w:iCs w:val="0"/>
          <w:color w:val="000000"/>
          <w:sz w:val="28"/>
          <w:szCs w:val="28"/>
        </w:rPr>
        <w:t>第三章  环境民事公益诉讼案件</w:t>
      </w:r>
    </w:p>
    <w:p>
      <w:pPr>
        <w:keepNext w:val="0"/>
        <w:keepLines w:val="0"/>
        <w:pageBreakBefore w:val="0"/>
        <w:widowControl w:val="0"/>
        <w:kinsoku/>
        <w:wordWrap/>
        <w:overflowPunct/>
        <w:topLinePunct w:val="0"/>
        <w:autoSpaceDE/>
        <w:autoSpaceDN/>
        <w:bidi w:val="0"/>
        <w:adjustRightInd/>
        <w:snapToGrid/>
        <w:spacing w:after="0" w:line="500" w:lineRule="exact"/>
        <w:ind w:left="0" w:firstLine="0" w:firstLineChars="0"/>
        <w:jc w:val="left"/>
        <w:textAlignment w:val="auto"/>
        <w:rPr>
          <w:rFonts w:hint="eastAsia" w:ascii="仿宋_GB2312" w:hAnsi="仿宋_GB2312" w:eastAsia="仿宋_GB2312" w:cs="仿宋_GB2312"/>
          <w:i w:val="0"/>
          <w:iCs w:val="0"/>
          <w:color w:val="000000"/>
          <w:sz w:val="28"/>
          <w:szCs w:val="28"/>
        </w:rPr>
      </w:pPr>
      <w:r>
        <w:rPr>
          <w:rFonts w:hint="eastAsia" w:ascii="仿宋_GB2312" w:hAnsi="仿宋_GB2312" w:eastAsia="仿宋_GB2312" w:cs="仿宋_GB2312"/>
          <w:i w:val="0"/>
          <w:iCs w:val="0"/>
          <w:color w:val="000000"/>
          <w:sz w:val="28"/>
          <w:szCs w:val="28"/>
        </w:rPr>
        <w:t>第四章  其他</w:t>
      </w:r>
    </w:p>
    <w:p>
      <w:pPr>
        <w:pStyle w:val="29"/>
        <w:keepNext w:val="0"/>
        <w:keepLines w:val="0"/>
        <w:pageBreakBefore w:val="0"/>
        <w:widowControl w:val="0"/>
        <w:tabs>
          <w:tab w:val="right" w:leader="dot" w:pos="8306"/>
        </w:tabs>
        <w:wordWrap/>
        <w:bidi w:val="0"/>
        <w:spacing w:before="227" w:beforeLines="50" w:after="227" w:afterLines="50" w:line="500" w:lineRule="exact"/>
        <w:rPr>
          <w:rFonts w:ascii="仿宋_GB2312" w:hAnsi="宋体" w:eastAsia="仿宋_GB2312" w:cs="宋体"/>
          <w:color w:val="000000"/>
          <w:sz w:val="28"/>
          <w:szCs w:val="28"/>
        </w:rPr>
      </w:pPr>
    </w:p>
    <w:p>
      <w:pPr>
        <w:pStyle w:val="14"/>
        <w:keepNext w:val="0"/>
        <w:keepLines w:val="0"/>
        <w:pageBreakBefore w:val="0"/>
        <w:widowControl w:val="0"/>
        <w:wordWrap/>
        <w:bidi w:val="0"/>
        <w:spacing w:before="227" w:beforeLines="50" w:beforeAutospacing="0" w:after="227" w:afterLines="50" w:afterAutospacing="0" w:line="500" w:lineRule="exact"/>
        <w:ind w:right="200" w:firstLine="522" w:firstLineChars="200"/>
        <w:jc w:val="center"/>
        <w:rPr>
          <w:rFonts w:ascii="仿宋_GB2312" w:hAnsi="宋体" w:eastAsia="仿宋_GB2312"/>
          <w:b/>
          <w:bCs/>
          <w:color w:val="000000"/>
          <w:sz w:val="28"/>
          <w:szCs w:val="28"/>
        </w:rPr>
        <w:sectPr>
          <w:headerReference r:id="rId12" w:type="default"/>
          <w:footerReference r:id="rId13" w:type="default"/>
          <w:pgSz w:w="9978" w:h="13946"/>
          <w:pgMar w:top="1871" w:right="1304" w:bottom="1701" w:left="1304" w:header="850" w:footer="1247" w:gutter="0"/>
          <w:pgBorders>
            <w:top w:val="none" w:sz="0" w:space="0"/>
            <w:left w:val="none" w:sz="0" w:space="0"/>
            <w:bottom w:val="none" w:sz="0" w:space="0"/>
            <w:right w:val="none" w:sz="0" w:space="0"/>
          </w:pgBorders>
          <w:pgNumType w:fmt="decimal"/>
          <w:cols w:space="720" w:num="1"/>
          <w:rtlGutter w:val="0"/>
          <w:docGrid w:type="linesAndChars" w:linePitch="455" w:charSpace="-3915"/>
        </w:sectPr>
      </w:pPr>
      <w:r>
        <w:rPr>
          <w:rFonts w:hint="eastAsia" w:ascii="仿宋_GB2312" w:hAnsi="宋体" w:eastAsia="仿宋_GB2312"/>
          <w:bCs/>
          <w:color w:val="000000"/>
          <w:sz w:val="28"/>
          <w:szCs w:val="28"/>
        </w:rPr>
        <w:fldChar w:fldCharType="end"/>
      </w:r>
    </w:p>
    <w:p>
      <w:pPr>
        <w:pStyle w:val="14"/>
        <w:keepNext w:val="0"/>
        <w:keepLines w:val="0"/>
        <w:pageBreakBefore w:val="0"/>
        <w:widowControl w:val="0"/>
        <w:wordWrap/>
        <w:bidi w:val="0"/>
        <w:spacing w:beforeAutospacing="0" w:after="0" w:afterAutospacing="0" w:line="500" w:lineRule="exact"/>
        <w:jc w:val="center"/>
        <w:outlineLvl w:val="0"/>
        <w:rPr>
          <w:rFonts w:hint="eastAsia" w:ascii="方正小标宋简体" w:hAnsi="方正小标宋简体" w:eastAsia="方正小标宋简体" w:cs="方正小标宋简体"/>
          <w:color w:val="000000"/>
          <w:kern w:val="2"/>
          <w:sz w:val="40"/>
          <w:szCs w:val="40"/>
        </w:rPr>
      </w:pPr>
      <w:bookmarkStart w:id="329" w:name="_Toc20304"/>
      <w:bookmarkStart w:id="330" w:name="_Toc32571"/>
      <w:r>
        <w:rPr>
          <w:rFonts w:hint="eastAsia" w:ascii="方正小标宋简体" w:hAnsi="方正小标宋简体" w:eastAsia="方正小标宋简体" w:cs="方正小标宋简体"/>
          <w:color w:val="000000"/>
          <w:kern w:val="2"/>
          <w:sz w:val="40"/>
          <w:szCs w:val="40"/>
        </w:rPr>
        <w:t>律师代理环境民事公益诉讼业务操作指引</w:t>
      </w:r>
      <w:bookmarkEnd w:id="329"/>
    </w:p>
    <w:p>
      <w:pPr>
        <w:pStyle w:val="14"/>
        <w:keepNext w:val="0"/>
        <w:keepLines w:val="0"/>
        <w:pageBreakBefore w:val="0"/>
        <w:widowControl w:val="0"/>
        <w:wordWrap/>
        <w:bidi w:val="0"/>
        <w:spacing w:beforeAutospacing="0" w:after="0" w:afterAutospacing="0" w:line="500" w:lineRule="exact"/>
        <w:jc w:val="both"/>
        <w:outlineLvl w:val="9"/>
        <w:rPr>
          <w:rFonts w:hint="eastAsia" w:ascii="方正小标宋简体" w:hAnsi="方正小标宋简体" w:eastAsia="方正小标宋简体" w:cs="方正小标宋简体"/>
          <w:color w:val="000000"/>
          <w:kern w:val="2"/>
          <w:sz w:val="40"/>
          <w:szCs w:val="40"/>
        </w:rPr>
      </w:pPr>
    </w:p>
    <w:p>
      <w:pPr>
        <w:pStyle w:val="14"/>
        <w:keepNext w:val="0"/>
        <w:keepLines w:val="0"/>
        <w:pageBreakBefore w:val="0"/>
        <w:widowControl w:val="0"/>
        <w:wordWrap/>
        <w:bidi w:val="0"/>
        <w:spacing w:beforeAutospacing="0" w:after="0" w:afterAutospacing="0" w:line="500" w:lineRule="exact"/>
        <w:jc w:val="center"/>
        <w:outlineLvl w:val="0"/>
        <w:rPr>
          <w:rFonts w:hint="eastAsia" w:ascii="黑体" w:hAnsi="黑体" w:eastAsia="黑体" w:cs="黑体"/>
          <w:color w:val="000000"/>
          <w:sz w:val="28"/>
          <w:szCs w:val="28"/>
        </w:rPr>
      </w:pPr>
      <w:bookmarkStart w:id="331" w:name="_Toc14712"/>
      <w:r>
        <w:rPr>
          <w:rFonts w:hint="eastAsia" w:ascii="黑体" w:hAnsi="黑体" w:eastAsia="黑体" w:cs="黑体"/>
          <w:color w:val="000000"/>
          <w:sz w:val="28"/>
          <w:szCs w:val="28"/>
        </w:rPr>
        <w:t>第一章   总  则</w:t>
      </w:r>
      <w:bookmarkEnd w:id="330"/>
      <w:bookmarkEnd w:id="331"/>
    </w:p>
    <w:p>
      <w:pPr>
        <w:keepNext w:val="0"/>
        <w:keepLines w:val="0"/>
        <w:pageBreakBefore w:val="0"/>
        <w:widowControl w:val="0"/>
        <w:wordWrap/>
        <w:bidi w:val="0"/>
        <w:spacing w:after="0" w:line="500" w:lineRule="exact"/>
        <w:ind w:firstLine="522" w:firstLineChars="200"/>
        <w:jc w:val="both"/>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b/>
          <w:bCs/>
          <w:color w:val="000000"/>
          <w:sz w:val="28"/>
          <w:szCs w:val="28"/>
          <w:lang w:val="zh-CN"/>
        </w:rPr>
        <w:t>第一条</w:t>
      </w:r>
      <w:r>
        <w:rPr>
          <w:rFonts w:hint="eastAsia" w:ascii="仿宋_GB2312" w:hAnsi="仿宋_GB2312" w:eastAsia="仿宋_GB2312" w:cs="仿宋_GB2312"/>
          <w:color w:val="000000"/>
          <w:sz w:val="28"/>
          <w:szCs w:val="28"/>
          <w:lang w:val="zh-CN"/>
        </w:rPr>
        <w:t xml:space="preserve">  为了保障律师依法履行职责，根据《中华人民共和国民法典》《中华人民共和国民事诉讼法》《中华人民共和国环境保护法》《中华人民共和国水污染防治法》《中华人民共和国大气污染防治法》《中华人民共和国固体废物污染环境防治法》《中华人民共和国环境噪声污染防治法》《中华人民共和国环境影响评价法》《中华人民共和国律师法》《最高人民法院关于审理环境侵权责任纠纷案件适用法律若干问题的解释》《最高人民法院关于审理环境民事</w:t>
      </w:r>
      <w:r>
        <w:rPr>
          <w:rFonts w:ascii="仿宋_GB2312" w:hAnsi="仿宋_GB2312" w:eastAsia="仿宋_GB2312" w:cs="仿宋_GB2312"/>
          <w:color w:val="000000"/>
          <w:sz w:val="28"/>
          <w:szCs w:val="28"/>
          <w:lang w:val="zh-CN"/>
        </w:rPr>
        <w:t>公益诉讼案件适用法律若干问题的解释</w:t>
      </w:r>
      <w:r>
        <w:rPr>
          <w:rFonts w:hint="eastAsia" w:ascii="仿宋_GB2312" w:hAnsi="仿宋_GB2312" w:eastAsia="仿宋_GB2312" w:cs="仿宋_GB2312"/>
          <w:color w:val="000000"/>
          <w:sz w:val="28"/>
          <w:szCs w:val="28"/>
          <w:lang w:val="zh-CN"/>
        </w:rPr>
        <w:t>》等法律法规、司法解释及相关规定，制定本操作指引。</w:t>
      </w:r>
    </w:p>
    <w:p>
      <w:pPr>
        <w:keepNext w:val="0"/>
        <w:keepLines w:val="0"/>
        <w:pageBreakBefore w:val="0"/>
        <w:widowControl w:val="0"/>
        <w:wordWrap/>
        <w:bidi w:val="0"/>
        <w:spacing w:after="0" w:line="500" w:lineRule="exact"/>
        <w:ind w:firstLine="522" w:firstLineChars="200"/>
        <w:jc w:val="both"/>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第二条</w:t>
      </w:r>
      <w:r>
        <w:rPr>
          <w:rFonts w:hint="eastAsia" w:ascii="仿宋_GB2312" w:hAnsi="仿宋_GB2312" w:eastAsia="仿宋_GB2312" w:cs="仿宋_GB2312"/>
          <w:color w:val="000000"/>
          <w:sz w:val="28"/>
          <w:szCs w:val="28"/>
        </w:rPr>
        <w:t xml:space="preserve">  随着国家对环境保护的力度加大以及公众环境保护意识的增强，环境民事诉讼案件数量呈现持续上升趋势。制定本操作指引，目的在于规范</w:t>
      </w:r>
      <w:r>
        <w:rPr>
          <w:rFonts w:hint="eastAsia" w:ascii="仿宋_GB2312" w:hAnsi="仿宋_GB2312" w:eastAsia="仿宋_GB2312" w:cs="仿宋_GB2312"/>
          <w:color w:val="000000"/>
          <w:sz w:val="28"/>
          <w:szCs w:val="28"/>
          <w:lang w:val="zh-CN"/>
        </w:rPr>
        <w:t>律师</w:t>
      </w:r>
      <w:r>
        <w:rPr>
          <w:rFonts w:hint="eastAsia" w:ascii="仿宋_GB2312" w:hAnsi="仿宋_GB2312" w:eastAsia="仿宋_GB2312" w:cs="仿宋_GB2312"/>
          <w:color w:val="000000"/>
          <w:sz w:val="28"/>
          <w:szCs w:val="28"/>
        </w:rPr>
        <w:t>在</w:t>
      </w:r>
      <w:r>
        <w:rPr>
          <w:rFonts w:hint="eastAsia" w:ascii="仿宋_GB2312" w:hAnsi="仿宋_GB2312" w:eastAsia="仿宋_GB2312" w:cs="仿宋_GB2312"/>
          <w:color w:val="000000"/>
          <w:sz w:val="28"/>
          <w:szCs w:val="28"/>
          <w:lang w:val="zh-CN"/>
        </w:rPr>
        <w:t>承办环境民事诉讼案件</w:t>
      </w:r>
      <w:r>
        <w:rPr>
          <w:rFonts w:hint="eastAsia" w:ascii="仿宋_GB2312" w:hAnsi="仿宋_GB2312" w:eastAsia="仿宋_GB2312" w:cs="仿宋_GB2312"/>
          <w:color w:val="000000"/>
          <w:sz w:val="28"/>
          <w:szCs w:val="28"/>
        </w:rPr>
        <w:t>过程中</w:t>
      </w:r>
      <w:r>
        <w:rPr>
          <w:rFonts w:hint="eastAsia" w:ascii="仿宋_GB2312" w:hAnsi="仿宋_GB2312" w:eastAsia="仿宋_GB2312" w:cs="仿宋_GB2312"/>
          <w:color w:val="000000"/>
          <w:sz w:val="28"/>
          <w:szCs w:val="28"/>
          <w:lang w:val="zh-CN"/>
        </w:rPr>
        <w:t>的执业行为，</w:t>
      </w:r>
      <w:r>
        <w:rPr>
          <w:rFonts w:hint="eastAsia" w:ascii="仿宋_GB2312" w:hAnsi="仿宋_GB2312" w:eastAsia="仿宋_GB2312" w:cs="仿宋_GB2312"/>
          <w:color w:val="000000"/>
          <w:sz w:val="28"/>
          <w:szCs w:val="28"/>
        </w:rPr>
        <w:t>为律师承办环境民事诉讼案件提供参考和借鉴。</w:t>
      </w:r>
    </w:p>
    <w:p>
      <w:pPr>
        <w:keepNext w:val="0"/>
        <w:keepLines w:val="0"/>
        <w:pageBreakBefore w:val="0"/>
        <w:widowControl w:val="0"/>
        <w:wordWrap/>
        <w:bidi w:val="0"/>
        <w:spacing w:after="0" w:line="500" w:lineRule="exact"/>
        <w:ind w:firstLine="522" w:firstLineChars="200"/>
        <w:jc w:val="both"/>
        <w:rPr>
          <w:rFonts w:hint="eastAsia" w:ascii="仿宋_GB2312" w:hAnsi="仿宋_GB2312" w:eastAsia="仿宋_GB2312" w:cs="仿宋_GB2312"/>
          <w:color w:val="000000"/>
          <w:sz w:val="28"/>
          <w:szCs w:val="28"/>
        </w:rPr>
      </w:pPr>
      <w:bookmarkStart w:id="332" w:name="No15_Z1T2K1"/>
      <w:bookmarkEnd w:id="332"/>
      <w:r>
        <w:rPr>
          <w:rFonts w:hint="eastAsia" w:ascii="仿宋_GB2312" w:hAnsi="仿宋_GB2312" w:eastAsia="仿宋_GB2312" w:cs="仿宋_GB2312"/>
          <w:b/>
          <w:bCs/>
          <w:color w:val="000000"/>
          <w:sz w:val="28"/>
          <w:szCs w:val="28"/>
        </w:rPr>
        <w:t>第三条</w:t>
      </w:r>
      <w:r>
        <w:rPr>
          <w:rFonts w:hint="eastAsia" w:ascii="仿宋_GB2312" w:hAnsi="仿宋_GB2312" w:eastAsia="仿宋_GB2312" w:cs="仿宋_GB2312"/>
          <w:color w:val="000000"/>
          <w:sz w:val="28"/>
          <w:szCs w:val="28"/>
        </w:rPr>
        <w:t xml:space="preserve">  在承办环境民事诉讼案件过程中，律师应当维护当事人合法权益，维护法律正确实施，维护社会公平和正义；必须遵守宪法和法律，恪守律师职业道德和执业纪律；必须以事实为根据，以法律为准绳；应当接受国家、社会和当事人的监督。</w:t>
      </w:r>
    </w:p>
    <w:p>
      <w:pPr>
        <w:keepNext w:val="0"/>
        <w:keepLines w:val="0"/>
        <w:pageBreakBefore w:val="0"/>
        <w:widowControl w:val="0"/>
        <w:wordWrap/>
        <w:bidi w:val="0"/>
        <w:spacing w:after="0" w:line="500" w:lineRule="exact"/>
        <w:ind w:firstLine="522" w:firstLineChars="200"/>
        <w:jc w:val="both"/>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b/>
          <w:bCs/>
          <w:color w:val="000000"/>
          <w:sz w:val="28"/>
          <w:szCs w:val="28"/>
        </w:rPr>
        <w:t xml:space="preserve">第四条 </w:t>
      </w:r>
      <w:r>
        <w:rPr>
          <w:rFonts w:hint="eastAsia" w:ascii="仿宋_GB2312" w:hAnsi="仿宋_GB2312" w:eastAsia="仿宋_GB2312" w:cs="仿宋_GB2312"/>
          <w:color w:val="000000"/>
          <w:sz w:val="28"/>
          <w:szCs w:val="28"/>
        </w:rPr>
        <w:t xml:space="preserve"> </w:t>
      </w:r>
      <w:r>
        <w:rPr>
          <w:rFonts w:hint="eastAsia" w:ascii="仿宋_GB2312" w:hAnsi="仿宋_GB2312" w:eastAsia="仿宋_GB2312" w:cs="仿宋_GB2312"/>
          <w:color w:val="000000"/>
          <w:sz w:val="28"/>
          <w:szCs w:val="28"/>
          <w:lang w:val="zh-CN"/>
        </w:rPr>
        <w:t>律师应当保守在</w:t>
      </w:r>
      <w:r>
        <w:rPr>
          <w:rFonts w:hint="eastAsia" w:ascii="仿宋_GB2312" w:hAnsi="仿宋_GB2312" w:eastAsia="仿宋_GB2312" w:cs="仿宋_GB2312"/>
          <w:color w:val="000000"/>
          <w:sz w:val="28"/>
          <w:szCs w:val="28"/>
        </w:rPr>
        <w:t>承办环境民事诉讼案件</w:t>
      </w:r>
      <w:r>
        <w:rPr>
          <w:rFonts w:hint="eastAsia" w:ascii="仿宋_GB2312" w:hAnsi="仿宋_GB2312" w:eastAsia="仿宋_GB2312" w:cs="仿宋_GB2312"/>
          <w:color w:val="000000"/>
          <w:sz w:val="28"/>
          <w:szCs w:val="28"/>
          <w:lang w:val="zh-CN"/>
        </w:rPr>
        <w:t>中知悉的国家秘密、商业秘密，不得泄露当事人的隐私。</w:t>
      </w:r>
      <w:bookmarkStart w:id="333" w:name="No135_Z4T38K2"/>
      <w:bookmarkEnd w:id="333"/>
      <w:r>
        <w:rPr>
          <w:rFonts w:hint="eastAsia" w:ascii="仿宋_GB2312" w:hAnsi="仿宋_GB2312" w:eastAsia="仿宋_GB2312" w:cs="仿宋_GB2312"/>
          <w:color w:val="000000"/>
          <w:sz w:val="28"/>
          <w:szCs w:val="28"/>
          <w:lang w:val="zh-CN"/>
        </w:rPr>
        <w:t>律师对在</w:t>
      </w:r>
      <w:r>
        <w:rPr>
          <w:rFonts w:hint="eastAsia" w:ascii="仿宋_GB2312" w:hAnsi="仿宋_GB2312" w:eastAsia="仿宋_GB2312" w:cs="仿宋_GB2312"/>
          <w:color w:val="000000"/>
          <w:sz w:val="28"/>
          <w:szCs w:val="28"/>
        </w:rPr>
        <w:t>诉讼</w:t>
      </w:r>
      <w:r>
        <w:rPr>
          <w:rFonts w:hint="eastAsia" w:ascii="仿宋_GB2312" w:hAnsi="仿宋_GB2312" w:eastAsia="仿宋_GB2312" w:cs="仿宋_GB2312"/>
          <w:color w:val="000000"/>
          <w:sz w:val="28"/>
          <w:szCs w:val="28"/>
          <w:lang w:val="zh-CN"/>
        </w:rPr>
        <w:t>活动中知悉的委托人和其他人不愿泄露的有关情况和信息，应当予以保密。但是，委托人或者其他人准备或者正在实施危害国家安全、公共安全以及严重危害他人人身安全的犯罪事实和信息除外。</w:t>
      </w:r>
    </w:p>
    <w:p>
      <w:pPr>
        <w:keepNext w:val="0"/>
        <w:keepLines w:val="0"/>
        <w:pageBreakBefore w:val="0"/>
        <w:widowControl w:val="0"/>
        <w:wordWrap/>
        <w:bidi w:val="0"/>
        <w:spacing w:after="0" w:line="500" w:lineRule="exact"/>
        <w:ind w:firstLine="522" w:firstLineChars="200"/>
        <w:jc w:val="both"/>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b/>
          <w:bCs/>
          <w:color w:val="000000"/>
          <w:sz w:val="28"/>
          <w:szCs w:val="28"/>
        </w:rPr>
        <w:t>第五条</w:t>
      </w:r>
      <w:r>
        <w:rPr>
          <w:rFonts w:hint="eastAsia" w:ascii="仿宋_GB2312" w:hAnsi="仿宋_GB2312" w:eastAsia="仿宋_GB2312" w:cs="仿宋_GB2312"/>
          <w:color w:val="000000"/>
          <w:sz w:val="28"/>
          <w:szCs w:val="28"/>
        </w:rPr>
        <w:t xml:space="preserve">  </w:t>
      </w:r>
      <w:r>
        <w:rPr>
          <w:rFonts w:hint="eastAsia" w:ascii="仿宋_GB2312" w:hAnsi="仿宋_GB2312" w:eastAsia="仿宋_GB2312" w:cs="仿宋_GB2312"/>
          <w:color w:val="000000"/>
          <w:sz w:val="28"/>
          <w:szCs w:val="28"/>
          <w:lang w:val="zh-CN"/>
        </w:rPr>
        <w:t>本</w:t>
      </w:r>
      <w:r>
        <w:rPr>
          <w:rFonts w:hint="eastAsia" w:ascii="仿宋_GB2312" w:hAnsi="仿宋_GB2312" w:eastAsia="仿宋_GB2312" w:cs="仿宋_GB2312"/>
          <w:color w:val="000000"/>
          <w:sz w:val="28"/>
          <w:szCs w:val="28"/>
        </w:rPr>
        <w:t>操作指引</w:t>
      </w:r>
      <w:r>
        <w:rPr>
          <w:rFonts w:hint="eastAsia" w:ascii="仿宋_GB2312" w:hAnsi="仿宋_GB2312" w:eastAsia="仿宋_GB2312" w:cs="仿宋_GB2312"/>
          <w:color w:val="000000"/>
          <w:sz w:val="28"/>
          <w:szCs w:val="28"/>
          <w:lang w:val="zh-CN"/>
        </w:rPr>
        <w:t>所称环境，是指影响人类生存和发展的各种天然的和经过人工改造的自然因素的总体，包括大气、水、海洋、土地、矿藏、森林、草原、湿地、野生生物、自然遗迹、人文遗迹、自然保护区、风景名胜区、城市和乡村等。</w:t>
      </w:r>
    </w:p>
    <w:p>
      <w:pPr>
        <w:keepNext w:val="0"/>
        <w:keepLines w:val="0"/>
        <w:pageBreakBefore w:val="0"/>
        <w:widowControl w:val="0"/>
        <w:wordWrap/>
        <w:bidi w:val="0"/>
        <w:spacing w:after="0" w:line="500" w:lineRule="exact"/>
        <w:jc w:val="center"/>
        <w:rPr>
          <w:rFonts w:hint="eastAsia" w:ascii="黑体" w:hAnsi="黑体" w:eastAsia="黑体" w:cs="黑体"/>
          <w:color w:val="000000"/>
          <w:sz w:val="28"/>
          <w:szCs w:val="28"/>
        </w:rPr>
      </w:pPr>
    </w:p>
    <w:p>
      <w:pPr>
        <w:keepNext w:val="0"/>
        <w:keepLines w:val="0"/>
        <w:pageBreakBefore w:val="0"/>
        <w:widowControl w:val="0"/>
        <w:wordWrap/>
        <w:bidi w:val="0"/>
        <w:spacing w:after="0" w:line="500" w:lineRule="exact"/>
        <w:jc w:val="center"/>
        <w:rPr>
          <w:rFonts w:hint="eastAsia" w:ascii="黑体" w:hAnsi="黑体" w:eastAsia="黑体" w:cs="黑体"/>
          <w:color w:val="000000"/>
          <w:sz w:val="28"/>
          <w:szCs w:val="28"/>
        </w:rPr>
      </w:pPr>
      <w:r>
        <w:rPr>
          <w:rFonts w:hint="eastAsia" w:ascii="黑体" w:hAnsi="黑体" w:eastAsia="黑体" w:cs="黑体"/>
          <w:color w:val="000000"/>
          <w:sz w:val="28"/>
          <w:szCs w:val="28"/>
        </w:rPr>
        <w:t>第二章  环境侵权责任纠纷案件</w:t>
      </w:r>
    </w:p>
    <w:p>
      <w:pPr>
        <w:keepNext w:val="0"/>
        <w:keepLines w:val="0"/>
        <w:pageBreakBefore w:val="0"/>
        <w:widowControl w:val="0"/>
        <w:wordWrap/>
        <w:bidi w:val="0"/>
        <w:spacing w:after="0" w:line="500" w:lineRule="exact"/>
        <w:ind w:firstLine="522" w:firstLineChars="200"/>
        <w:jc w:val="both"/>
        <w:rPr>
          <w:rFonts w:hint="eastAsia"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第六条</w:t>
      </w:r>
      <w:r>
        <w:rPr>
          <w:rFonts w:hint="eastAsia" w:ascii="仿宋_GB2312" w:hAnsi="仿宋_GB2312" w:eastAsia="仿宋_GB2312" w:cs="仿宋_GB2312"/>
          <w:color w:val="000000"/>
          <w:sz w:val="28"/>
          <w:szCs w:val="28"/>
        </w:rPr>
        <w:t xml:space="preserve">  本操作指引所称的环境侵权责任纠纷案件是指因加害人污染环境、破坏生态给受害人造成损害引发纠纷所致民事诉讼案件。</w:t>
      </w:r>
    </w:p>
    <w:p>
      <w:pPr>
        <w:keepNext w:val="0"/>
        <w:keepLines w:val="0"/>
        <w:pageBreakBefore w:val="0"/>
        <w:widowControl w:val="0"/>
        <w:wordWrap/>
        <w:bidi w:val="0"/>
        <w:spacing w:after="0" w:line="500" w:lineRule="exact"/>
        <w:ind w:firstLine="522" w:firstLineChars="200"/>
        <w:jc w:val="both"/>
        <w:rPr>
          <w:rFonts w:hint="eastAsia"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第七条</w:t>
      </w:r>
      <w:r>
        <w:rPr>
          <w:rFonts w:hint="eastAsia" w:ascii="仿宋_GB2312" w:hAnsi="仿宋_GB2312" w:eastAsia="仿宋_GB2312" w:cs="仿宋_GB2312"/>
          <w:color w:val="000000"/>
          <w:sz w:val="28"/>
          <w:szCs w:val="28"/>
        </w:rPr>
        <w:t xml:space="preserve">  在归责方式上，因环境污染和生态破坏导致的环境侵权责任为无过错责任，不以行为人主观上具有过错为要件。其构成要件有三：</w:t>
      </w:r>
    </w:p>
    <w:p>
      <w:pPr>
        <w:keepNext w:val="0"/>
        <w:keepLines w:val="0"/>
        <w:pageBreakBefore w:val="0"/>
        <w:widowControl w:val="0"/>
        <w:wordWrap/>
        <w:bidi w:val="0"/>
        <w:spacing w:after="0" w:line="500" w:lineRule="exact"/>
        <w:ind w:firstLine="522" w:firstLineChars="200"/>
        <w:jc w:val="both"/>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（一）行为人实施了污染环境或者破坏生态环境的加害行为；</w:t>
      </w:r>
    </w:p>
    <w:p>
      <w:pPr>
        <w:keepNext w:val="0"/>
        <w:keepLines w:val="0"/>
        <w:pageBreakBefore w:val="0"/>
        <w:widowControl w:val="0"/>
        <w:wordWrap/>
        <w:bidi w:val="0"/>
        <w:spacing w:after="0" w:line="500" w:lineRule="exact"/>
        <w:ind w:firstLine="522" w:firstLineChars="200"/>
        <w:jc w:val="both"/>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（二）造成环境污染致人人身、财产损害或者造成破坏生态环境的损害后果；</w:t>
      </w:r>
    </w:p>
    <w:p>
      <w:pPr>
        <w:keepNext w:val="0"/>
        <w:keepLines w:val="0"/>
        <w:pageBreakBefore w:val="0"/>
        <w:widowControl w:val="0"/>
        <w:wordWrap/>
        <w:bidi w:val="0"/>
        <w:spacing w:after="0" w:line="500" w:lineRule="exact"/>
        <w:ind w:firstLine="522" w:firstLineChars="200"/>
        <w:jc w:val="both"/>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（三）加害行为与损害后果之间有因果关系。根据受害人证明的基础事实，推定污染环境或破坏生态的加害行为与损害后果间有因果关系。</w:t>
      </w:r>
    </w:p>
    <w:p>
      <w:pPr>
        <w:keepNext w:val="0"/>
        <w:keepLines w:val="0"/>
        <w:pageBreakBefore w:val="0"/>
        <w:widowControl w:val="0"/>
        <w:wordWrap/>
        <w:bidi w:val="0"/>
        <w:spacing w:after="0" w:line="500" w:lineRule="exact"/>
        <w:ind w:firstLine="522" w:firstLineChars="200"/>
        <w:jc w:val="both"/>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排污行为“符合国家、地方污染物排放标准”并非环境侵权的免责事由。排污行为是否符合国家、地方污染物排放标准，是认定应否承担行政责任、刑事责任的依据之一。</w:t>
      </w:r>
    </w:p>
    <w:p>
      <w:pPr>
        <w:keepNext w:val="0"/>
        <w:keepLines w:val="0"/>
        <w:pageBreakBefore w:val="0"/>
        <w:widowControl w:val="0"/>
        <w:wordWrap/>
        <w:bidi w:val="0"/>
        <w:spacing w:after="0" w:line="500" w:lineRule="exact"/>
        <w:ind w:firstLine="522" w:firstLineChars="200"/>
        <w:jc w:val="both"/>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b/>
          <w:bCs/>
          <w:color w:val="000000"/>
          <w:sz w:val="28"/>
          <w:szCs w:val="28"/>
        </w:rPr>
        <w:t>第八条</w:t>
      </w:r>
      <w:r>
        <w:rPr>
          <w:rFonts w:hint="eastAsia" w:ascii="仿宋_GB2312" w:hAnsi="仿宋_GB2312" w:eastAsia="仿宋_GB2312" w:cs="仿宋_GB2312"/>
          <w:color w:val="000000"/>
          <w:sz w:val="28"/>
          <w:szCs w:val="28"/>
        </w:rPr>
        <w:t xml:space="preserve">  律师在承办环境侵权责任纠纷案件中，侵权人及其代理律师应注意，侵权人对行为与损害后果之间不存在因果关系承担证明责任，以下情形应当认定侵权人</w:t>
      </w:r>
      <w:r>
        <w:rPr>
          <w:rFonts w:hint="eastAsia" w:ascii="仿宋_GB2312" w:hAnsi="仿宋_GB2312" w:eastAsia="仿宋_GB2312" w:cs="仿宋_GB2312"/>
          <w:color w:val="000000"/>
          <w:sz w:val="28"/>
          <w:szCs w:val="28"/>
          <w:lang w:val="zh-CN"/>
        </w:rPr>
        <w:t>污染环境、破坏生态行为与损害</w:t>
      </w:r>
      <w:r>
        <w:rPr>
          <w:rFonts w:hint="eastAsia" w:ascii="仿宋_GB2312" w:hAnsi="仿宋_GB2312" w:eastAsia="仿宋_GB2312" w:cs="仿宋_GB2312"/>
          <w:color w:val="000000"/>
          <w:sz w:val="28"/>
          <w:szCs w:val="28"/>
        </w:rPr>
        <w:t>后果</w:t>
      </w:r>
      <w:r>
        <w:rPr>
          <w:rFonts w:hint="eastAsia" w:ascii="仿宋_GB2312" w:hAnsi="仿宋_GB2312" w:eastAsia="仿宋_GB2312" w:cs="仿宋_GB2312"/>
          <w:color w:val="000000"/>
          <w:sz w:val="28"/>
          <w:szCs w:val="28"/>
          <w:lang w:val="zh-CN"/>
        </w:rPr>
        <w:t>之间不存在因果关系：</w:t>
      </w:r>
    </w:p>
    <w:p>
      <w:pPr>
        <w:keepNext w:val="0"/>
        <w:keepLines w:val="0"/>
        <w:pageBreakBefore w:val="0"/>
        <w:widowControl w:val="0"/>
        <w:wordWrap/>
        <w:bidi w:val="0"/>
        <w:spacing w:after="0" w:line="500" w:lineRule="exact"/>
        <w:ind w:firstLine="522" w:firstLineChars="200"/>
        <w:jc w:val="both"/>
        <w:rPr>
          <w:rFonts w:hint="eastAsia" w:ascii="仿宋_GB2312" w:hAnsi="仿宋_GB2312" w:eastAsia="仿宋_GB2312" w:cs="仿宋_GB2312"/>
          <w:color w:val="000000"/>
          <w:sz w:val="28"/>
          <w:szCs w:val="28"/>
          <w:lang w:val="zh-CN"/>
        </w:rPr>
      </w:pPr>
      <w:bookmarkStart w:id="334" w:name="No27_T7K1X1"/>
      <w:bookmarkEnd w:id="334"/>
      <w:r>
        <w:rPr>
          <w:rFonts w:hint="eastAsia" w:ascii="仿宋_GB2312" w:hAnsi="仿宋_GB2312" w:eastAsia="仿宋_GB2312" w:cs="仿宋_GB2312"/>
          <w:color w:val="000000"/>
          <w:sz w:val="28"/>
          <w:szCs w:val="28"/>
          <w:lang w:val="zh-CN"/>
        </w:rPr>
        <w:t>（</w:t>
      </w:r>
      <w:r>
        <w:rPr>
          <w:rFonts w:hint="eastAsia" w:ascii="仿宋_GB2312" w:hAnsi="仿宋_GB2312" w:eastAsia="仿宋_GB2312" w:cs="仿宋_GB2312"/>
          <w:color w:val="000000"/>
          <w:sz w:val="28"/>
          <w:szCs w:val="28"/>
        </w:rPr>
        <w:t>一</w:t>
      </w:r>
      <w:r>
        <w:rPr>
          <w:rFonts w:hint="eastAsia" w:ascii="仿宋_GB2312" w:hAnsi="仿宋_GB2312" w:eastAsia="仿宋_GB2312" w:cs="仿宋_GB2312"/>
          <w:color w:val="000000"/>
          <w:sz w:val="28"/>
          <w:szCs w:val="28"/>
          <w:lang w:val="zh-CN"/>
        </w:rPr>
        <w:t>）排放污染物、破坏生态的行为没有造成该损害可能的；</w:t>
      </w:r>
    </w:p>
    <w:p>
      <w:pPr>
        <w:keepNext w:val="0"/>
        <w:keepLines w:val="0"/>
        <w:pageBreakBefore w:val="0"/>
        <w:widowControl w:val="0"/>
        <w:wordWrap/>
        <w:bidi w:val="0"/>
        <w:spacing w:after="0" w:line="500" w:lineRule="exact"/>
        <w:ind w:firstLine="522" w:firstLineChars="200"/>
        <w:jc w:val="both"/>
        <w:rPr>
          <w:rFonts w:hint="eastAsia" w:ascii="仿宋_GB2312" w:hAnsi="仿宋_GB2312" w:eastAsia="仿宋_GB2312" w:cs="仿宋_GB2312"/>
          <w:color w:val="000000"/>
          <w:sz w:val="28"/>
          <w:szCs w:val="28"/>
          <w:lang w:val="zh-CN"/>
        </w:rPr>
      </w:pPr>
      <w:bookmarkStart w:id="335" w:name="No28_T7K1X2"/>
      <w:bookmarkEnd w:id="335"/>
      <w:r>
        <w:rPr>
          <w:rFonts w:hint="eastAsia" w:ascii="仿宋_GB2312" w:hAnsi="仿宋_GB2312" w:eastAsia="仿宋_GB2312" w:cs="仿宋_GB2312"/>
          <w:color w:val="000000"/>
          <w:sz w:val="28"/>
          <w:szCs w:val="28"/>
          <w:lang w:val="zh-CN"/>
        </w:rPr>
        <w:t>（</w:t>
      </w:r>
      <w:r>
        <w:rPr>
          <w:rFonts w:hint="eastAsia" w:ascii="仿宋_GB2312" w:hAnsi="仿宋_GB2312" w:eastAsia="仿宋_GB2312" w:cs="仿宋_GB2312"/>
          <w:color w:val="000000"/>
          <w:sz w:val="28"/>
          <w:szCs w:val="28"/>
        </w:rPr>
        <w:t>二</w:t>
      </w:r>
      <w:r>
        <w:rPr>
          <w:rFonts w:hint="eastAsia" w:ascii="仿宋_GB2312" w:hAnsi="仿宋_GB2312" w:eastAsia="仿宋_GB2312" w:cs="仿宋_GB2312"/>
          <w:color w:val="000000"/>
          <w:sz w:val="28"/>
          <w:szCs w:val="28"/>
          <w:lang w:val="zh-CN"/>
        </w:rPr>
        <w:t>）排放的可造成该损害的污染物未到达该损害发生地的；</w:t>
      </w:r>
    </w:p>
    <w:p>
      <w:pPr>
        <w:keepNext w:val="0"/>
        <w:keepLines w:val="0"/>
        <w:pageBreakBefore w:val="0"/>
        <w:widowControl w:val="0"/>
        <w:wordWrap/>
        <w:bidi w:val="0"/>
        <w:spacing w:after="0" w:line="500" w:lineRule="exact"/>
        <w:ind w:firstLine="522" w:firstLineChars="200"/>
        <w:jc w:val="both"/>
        <w:rPr>
          <w:rFonts w:hint="eastAsia" w:ascii="仿宋_GB2312" w:hAnsi="仿宋_GB2312" w:eastAsia="仿宋_GB2312" w:cs="仿宋_GB2312"/>
          <w:color w:val="000000"/>
          <w:sz w:val="28"/>
          <w:szCs w:val="28"/>
          <w:lang w:val="zh-CN"/>
        </w:rPr>
      </w:pPr>
      <w:bookmarkStart w:id="336" w:name="No29_T7K1X3"/>
      <w:bookmarkEnd w:id="336"/>
      <w:r>
        <w:rPr>
          <w:rFonts w:hint="eastAsia" w:ascii="仿宋_GB2312" w:hAnsi="仿宋_GB2312" w:eastAsia="仿宋_GB2312" w:cs="仿宋_GB2312"/>
          <w:color w:val="000000"/>
          <w:sz w:val="28"/>
          <w:szCs w:val="28"/>
          <w:lang w:val="zh-CN"/>
        </w:rPr>
        <w:t>（</w:t>
      </w:r>
      <w:r>
        <w:rPr>
          <w:rFonts w:hint="eastAsia" w:ascii="仿宋_GB2312" w:hAnsi="仿宋_GB2312" w:eastAsia="仿宋_GB2312" w:cs="仿宋_GB2312"/>
          <w:color w:val="000000"/>
          <w:sz w:val="28"/>
          <w:szCs w:val="28"/>
        </w:rPr>
        <w:t>三</w:t>
      </w:r>
      <w:r>
        <w:rPr>
          <w:rFonts w:hint="eastAsia" w:ascii="仿宋_GB2312" w:hAnsi="仿宋_GB2312" w:eastAsia="仿宋_GB2312" w:cs="仿宋_GB2312"/>
          <w:color w:val="000000"/>
          <w:sz w:val="28"/>
          <w:szCs w:val="28"/>
          <w:lang w:val="zh-CN"/>
        </w:rPr>
        <w:t>）该损害于排放污染物、破坏生态行为实施之前已发生的；</w:t>
      </w:r>
    </w:p>
    <w:p>
      <w:pPr>
        <w:keepNext w:val="0"/>
        <w:keepLines w:val="0"/>
        <w:pageBreakBefore w:val="0"/>
        <w:widowControl w:val="0"/>
        <w:wordWrap/>
        <w:bidi w:val="0"/>
        <w:spacing w:after="0" w:line="500" w:lineRule="exact"/>
        <w:ind w:firstLine="522" w:firstLineChars="200"/>
        <w:jc w:val="both"/>
        <w:rPr>
          <w:rFonts w:hint="eastAsia" w:ascii="仿宋_GB2312" w:hAnsi="仿宋_GB2312" w:eastAsia="仿宋_GB2312" w:cs="仿宋_GB2312"/>
          <w:color w:val="000000"/>
          <w:sz w:val="28"/>
          <w:szCs w:val="28"/>
        </w:rPr>
      </w:pPr>
      <w:bookmarkStart w:id="337" w:name="No30_T7K1X4"/>
      <w:bookmarkEnd w:id="337"/>
      <w:r>
        <w:rPr>
          <w:rFonts w:hint="eastAsia" w:ascii="仿宋_GB2312" w:hAnsi="仿宋_GB2312" w:eastAsia="仿宋_GB2312" w:cs="仿宋_GB2312"/>
          <w:color w:val="000000"/>
          <w:sz w:val="28"/>
          <w:szCs w:val="28"/>
          <w:lang w:val="zh-CN"/>
        </w:rPr>
        <w:t>（</w:t>
      </w:r>
      <w:r>
        <w:rPr>
          <w:rFonts w:hint="eastAsia" w:ascii="仿宋_GB2312" w:hAnsi="仿宋_GB2312" w:eastAsia="仿宋_GB2312" w:cs="仿宋_GB2312"/>
          <w:color w:val="000000"/>
          <w:sz w:val="28"/>
          <w:szCs w:val="28"/>
        </w:rPr>
        <w:t>四</w:t>
      </w:r>
      <w:r>
        <w:rPr>
          <w:rFonts w:hint="eastAsia" w:ascii="仿宋_GB2312" w:hAnsi="仿宋_GB2312" w:eastAsia="仿宋_GB2312" w:cs="仿宋_GB2312"/>
          <w:color w:val="000000"/>
          <w:sz w:val="28"/>
          <w:szCs w:val="28"/>
          <w:lang w:val="zh-CN"/>
        </w:rPr>
        <w:t>）其他可以认定污染环境、破坏生态行为与损害之间不存在因果关系的情形。</w:t>
      </w:r>
    </w:p>
    <w:p>
      <w:pPr>
        <w:keepNext w:val="0"/>
        <w:keepLines w:val="0"/>
        <w:pageBreakBefore w:val="0"/>
        <w:widowControl w:val="0"/>
        <w:wordWrap/>
        <w:bidi w:val="0"/>
        <w:spacing w:after="0" w:line="500" w:lineRule="exact"/>
        <w:ind w:firstLine="522" w:firstLineChars="200"/>
        <w:jc w:val="both"/>
        <w:rPr>
          <w:rFonts w:hint="eastAsia"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第九条</w:t>
      </w:r>
      <w:r>
        <w:rPr>
          <w:rFonts w:hint="eastAsia" w:ascii="仿宋_GB2312" w:hAnsi="仿宋_GB2312" w:eastAsia="仿宋_GB2312" w:cs="仿宋_GB2312"/>
          <w:color w:val="000000"/>
          <w:sz w:val="28"/>
          <w:szCs w:val="28"/>
        </w:rPr>
        <w:t xml:space="preserve">  被侵权人虽不对因果关系承担证明责任，但仍对基础事实承担证明责任。律师在承办环境侵权责任纠纷案件中，被侵权人及其代理律师应当提供证明以下事实的证据材料：</w:t>
      </w:r>
    </w:p>
    <w:p>
      <w:pPr>
        <w:keepNext w:val="0"/>
        <w:keepLines w:val="0"/>
        <w:pageBreakBefore w:val="0"/>
        <w:widowControl w:val="0"/>
        <w:wordWrap/>
        <w:bidi w:val="0"/>
        <w:spacing w:after="0" w:line="500" w:lineRule="exact"/>
        <w:ind w:firstLine="522" w:firstLineChars="200"/>
        <w:jc w:val="both"/>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lang w:val="zh-CN"/>
        </w:rPr>
        <w:t>（</w:t>
      </w:r>
      <w:r>
        <w:rPr>
          <w:rFonts w:hint="eastAsia" w:ascii="仿宋_GB2312" w:hAnsi="仿宋_GB2312" w:eastAsia="仿宋_GB2312" w:cs="仿宋_GB2312"/>
          <w:color w:val="000000"/>
          <w:sz w:val="28"/>
          <w:szCs w:val="28"/>
        </w:rPr>
        <w:t>一</w:t>
      </w:r>
      <w:r>
        <w:rPr>
          <w:rFonts w:hint="eastAsia" w:ascii="仿宋_GB2312" w:hAnsi="仿宋_GB2312" w:eastAsia="仿宋_GB2312" w:cs="仿宋_GB2312"/>
          <w:color w:val="000000"/>
          <w:sz w:val="28"/>
          <w:szCs w:val="28"/>
          <w:lang w:val="zh-CN"/>
        </w:rPr>
        <w:t>）侵权人排放了污染物或者破坏了生态；</w:t>
      </w:r>
    </w:p>
    <w:p>
      <w:pPr>
        <w:keepNext w:val="0"/>
        <w:keepLines w:val="0"/>
        <w:pageBreakBefore w:val="0"/>
        <w:widowControl w:val="0"/>
        <w:wordWrap/>
        <w:bidi w:val="0"/>
        <w:spacing w:after="0" w:line="500" w:lineRule="exact"/>
        <w:ind w:firstLine="522" w:firstLineChars="200"/>
        <w:jc w:val="both"/>
        <w:rPr>
          <w:rFonts w:hint="eastAsia" w:ascii="仿宋_GB2312" w:hAnsi="仿宋_GB2312" w:eastAsia="仿宋_GB2312" w:cs="仿宋_GB2312"/>
          <w:color w:val="000000"/>
          <w:sz w:val="28"/>
          <w:szCs w:val="28"/>
          <w:lang w:val="zh-CN"/>
        </w:rPr>
      </w:pPr>
      <w:bookmarkStart w:id="338" w:name="No23_T6K1X2"/>
      <w:bookmarkEnd w:id="338"/>
      <w:r>
        <w:rPr>
          <w:rFonts w:hint="eastAsia" w:ascii="仿宋_GB2312" w:hAnsi="仿宋_GB2312" w:eastAsia="仿宋_GB2312" w:cs="仿宋_GB2312"/>
          <w:color w:val="000000"/>
          <w:sz w:val="28"/>
          <w:szCs w:val="28"/>
          <w:lang w:val="zh-CN"/>
        </w:rPr>
        <w:t>（</w:t>
      </w:r>
      <w:r>
        <w:rPr>
          <w:rFonts w:hint="eastAsia" w:ascii="仿宋_GB2312" w:hAnsi="仿宋_GB2312" w:eastAsia="仿宋_GB2312" w:cs="仿宋_GB2312"/>
          <w:color w:val="000000"/>
          <w:sz w:val="28"/>
          <w:szCs w:val="28"/>
        </w:rPr>
        <w:t>二</w:t>
      </w:r>
      <w:r>
        <w:rPr>
          <w:rFonts w:hint="eastAsia" w:ascii="仿宋_GB2312" w:hAnsi="仿宋_GB2312" w:eastAsia="仿宋_GB2312" w:cs="仿宋_GB2312"/>
          <w:color w:val="000000"/>
          <w:sz w:val="28"/>
          <w:szCs w:val="28"/>
          <w:lang w:val="zh-CN"/>
        </w:rPr>
        <w:t>）被侵权人的损害；</w:t>
      </w:r>
    </w:p>
    <w:p>
      <w:pPr>
        <w:keepNext w:val="0"/>
        <w:keepLines w:val="0"/>
        <w:pageBreakBefore w:val="0"/>
        <w:widowControl w:val="0"/>
        <w:wordWrap/>
        <w:bidi w:val="0"/>
        <w:spacing w:after="0" w:line="500" w:lineRule="exact"/>
        <w:ind w:firstLine="522" w:firstLineChars="200"/>
        <w:jc w:val="both"/>
        <w:rPr>
          <w:rFonts w:hint="eastAsia" w:ascii="仿宋_GB2312" w:hAnsi="仿宋_GB2312" w:eastAsia="仿宋_GB2312" w:cs="仿宋_GB2312"/>
          <w:color w:val="000000"/>
          <w:sz w:val="28"/>
          <w:szCs w:val="28"/>
          <w:lang w:val="zh-CN"/>
        </w:rPr>
      </w:pPr>
      <w:bookmarkStart w:id="339" w:name="No24_T6K1X3"/>
      <w:bookmarkEnd w:id="339"/>
      <w:r>
        <w:rPr>
          <w:rFonts w:hint="eastAsia" w:ascii="仿宋_GB2312" w:hAnsi="仿宋_GB2312" w:eastAsia="仿宋_GB2312" w:cs="仿宋_GB2312"/>
          <w:color w:val="000000"/>
          <w:sz w:val="28"/>
          <w:szCs w:val="28"/>
        </w:rPr>
        <w:t>（三）</w:t>
      </w:r>
      <w:r>
        <w:rPr>
          <w:rFonts w:hint="eastAsia" w:ascii="仿宋_GB2312" w:hAnsi="仿宋_GB2312" w:eastAsia="仿宋_GB2312" w:cs="仿宋_GB2312"/>
          <w:color w:val="000000"/>
          <w:sz w:val="28"/>
          <w:szCs w:val="28"/>
          <w:lang w:val="zh-CN"/>
        </w:rPr>
        <w:t>侵权人排放的污染物或者其次生污染物、破坏生态行为与损害之间具有关联性。</w:t>
      </w:r>
    </w:p>
    <w:p>
      <w:pPr>
        <w:keepNext w:val="0"/>
        <w:keepLines w:val="0"/>
        <w:pageBreakBefore w:val="0"/>
        <w:widowControl w:val="0"/>
        <w:wordWrap/>
        <w:bidi w:val="0"/>
        <w:spacing w:after="0" w:line="500" w:lineRule="exact"/>
        <w:ind w:firstLine="522" w:firstLineChars="200"/>
        <w:jc w:val="both"/>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侵权人及其代理律师能够提供反证证明</w:t>
      </w:r>
      <w:r>
        <w:rPr>
          <w:rFonts w:hint="eastAsia" w:ascii="仿宋_GB2312" w:hAnsi="仿宋_GB2312" w:eastAsia="仿宋_GB2312" w:cs="仿宋_GB2312"/>
          <w:color w:val="000000"/>
          <w:sz w:val="28"/>
          <w:szCs w:val="28"/>
          <w:lang w:val="zh-CN"/>
        </w:rPr>
        <w:t>污染环境、破坏生态行为与损害</w:t>
      </w:r>
      <w:r>
        <w:rPr>
          <w:rFonts w:hint="eastAsia" w:ascii="仿宋_GB2312" w:hAnsi="仿宋_GB2312" w:eastAsia="仿宋_GB2312" w:cs="仿宋_GB2312"/>
          <w:color w:val="000000"/>
          <w:sz w:val="28"/>
          <w:szCs w:val="28"/>
        </w:rPr>
        <w:t>后果</w:t>
      </w:r>
      <w:r>
        <w:rPr>
          <w:rFonts w:hint="eastAsia" w:ascii="仿宋_GB2312" w:hAnsi="仿宋_GB2312" w:eastAsia="仿宋_GB2312" w:cs="仿宋_GB2312"/>
          <w:color w:val="000000"/>
          <w:sz w:val="28"/>
          <w:szCs w:val="28"/>
          <w:lang w:val="zh-CN"/>
        </w:rPr>
        <w:t>之间</w:t>
      </w:r>
      <w:r>
        <w:rPr>
          <w:rFonts w:hint="eastAsia" w:ascii="仿宋_GB2312" w:hAnsi="仿宋_GB2312" w:eastAsia="仿宋_GB2312" w:cs="仿宋_GB2312"/>
          <w:color w:val="000000"/>
          <w:sz w:val="28"/>
          <w:szCs w:val="28"/>
        </w:rPr>
        <w:t>无因果关系的，不承担环境侵权责任。</w:t>
      </w:r>
    </w:p>
    <w:p>
      <w:pPr>
        <w:keepNext w:val="0"/>
        <w:keepLines w:val="0"/>
        <w:pageBreakBefore w:val="0"/>
        <w:widowControl w:val="0"/>
        <w:wordWrap/>
        <w:bidi w:val="0"/>
        <w:spacing w:after="0" w:line="500" w:lineRule="exact"/>
        <w:ind w:firstLine="522" w:firstLineChars="200"/>
        <w:jc w:val="both"/>
        <w:rPr>
          <w:rFonts w:hint="eastAsia"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 xml:space="preserve">第十条  </w:t>
      </w:r>
      <w:r>
        <w:rPr>
          <w:rFonts w:hint="eastAsia" w:ascii="仿宋_GB2312" w:hAnsi="仿宋_GB2312" w:eastAsia="仿宋_GB2312" w:cs="仿宋_GB2312"/>
          <w:color w:val="000000"/>
          <w:sz w:val="28"/>
          <w:szCs w:val="28"/>
        </w:rPr>
        <w:t>符合环境侵权构成要件的，原告及其代理律师可以根据具体案情，提出以下诉讼请求：</w:t>
      </w:r>
    </w:p>
    <w:p>
      <w:pPr>
        <w:keepNext w:val="0"/>
        <w:keepLines w:val="0"/>
        <w:pageBreakBefore w:val="0"/>
        <w:widowControl w:val="0"/>
        <w:wordWrap/>
        <w:bidi w:val="0"/>
        <w:spacing w:after="0" w:line="500" w:lineRule="exact"/>
        <w:ind w:firstLine="522" w:firstLineChars="200"/>
        <w:jc w:val="both"/>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（一）请求侵权人承担</w:t>
      </w:r>
      <w:r>
        <w:rPr>
          <w:rFonts w:hint="eastAsia" w:ascii="仿宋_GB2312" w:hAnsi="仿宋_GB2312" w:eastAsia="仿宋_GB2312" w:cs="仿宋_GB2312"/>
          <w:color w:val="000000"/>
          <w:sz w:val="28"/>
          <w:szCs w:val="28"/>
          <w:lang w:val="zh-CN"/>
        </w:rPr>
        <w:t>停止侵害、排除妨碍、消除危险、</w:t>
      </w:r>
      <w:r>
        <w:rPr>
          <w:rFonts w:hint="eastAsia" w:ascii="仿宋_GB2312" w:hAnsi="仿宋_GB2312" w:eastAsia="仿宋_GB2312" w:cs="仿宋_GB2312"/>
          <w:color w:val="000000"/>
          <w:sz w:val="28"/>
          <w:szCs w:val="28"/>
        </w:rPr>
        <w:t>恢复原状</w:t>
      </w:r>
      <w:r>
        <w:rPr>
          <w:rFonts w:hint="eastAsia" w:ascii="仿宋_GB2312" w:hAnsi="仿宋_GB2312" w:eastAsia="仿宋_GB2312" w:cs="仿宋_GB2312"/>
          <w:color w:val="000000"/>
          <w:sz w:val="28"/>
          <w:szCs w:val="28"/>
          <w:lang w:val="zh-CN"/>
        </w:rPr>
        <w:t>、赔礼道歉等民事责任；</w:t>
      </w:r>
    </w:p>
    <w:p>
      <w:pPr>
        <w:keepNext w:val="0"/>
        <w:keepLines w:val="0"/>
        <w:pageBreakBefore w:val="0"/>
        <w:widowControl w:val="0"/>
        <w:wordWrap/>
        <w:bidi w:val="0"/>
        <w:spacing w:after="0" w:line="500" w:lineRule="exact"/>
        <w:ind w:firstLine="522" w:firstLineChars="200"/>
        <w:jc w:val="both"/>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rPr>
        <w:t>（二）国家规定的机关或者法律规定的组织有权请求侵权人承担生态环境修复责任。</w:t>
      </w:r>
      <w:r>
        <w:rPr>
          <w:rFonts w:hint="eastAsia" w:ascii="仿宋_GB2312" w:hAnsi="仿宋_GB2312" w:eastAsia="仿宋_GB2312" w:cs="仿宋_GB2312"/>
          <w:color w:val="000000"/>
          <w:sz w:val="28"/>
          <w:szCs w:val="28"/>
          <w:lang w:val="zh-CN"/>
        </w:rPr>
        <w:t> </w:t>
      </w:r>
      <w:bookmarkStart w:id="340" w:name="No45_T14K1"/>
      <w:bookmarkEnd w:id="340"/>
      <w:r>
        <w:rPr>
          <w:rFonts w:hint="eastAsia" w:ascii="仿宋_GB2312" w:hAnsi="仿宋_GB2312" w:eastAsia="仿宋_GB2312" w:cs="仿宋_GB2312"/>
          <w:color w:val="000000"/>
          <w:sz w:val="28"/>
          <w:szCs w:val="28"/>
        </w:rPr>
        <w:t>国家规定的机关或者法律规定的组织</w:t>
      </w:r>
      <w:r>
        <w:rPr>
          <w:rFonts w:hint="eastAsia" w:ascii="仿宋_GB2312" w:hAnsi="仿宋_GB2312" w:eastAsia="仿宋_GB2312" w:cs="仿宋_GB2312"/>
          <w:color w:val="000000"/>
          <w:sz w:val="28"/>
          <w:szCs w:val="28"/>
          <w:lang w:val="zh-CN"/>
        </w:rPr>
        <w:t>请求</w:t>
      </w:r>
      <w:r>
        <w:rPr>
          <w:rFonts w:hint="eastAsia" w:ascii="仿宋_GB2312" w:hAnsi="仿宋_GB2312" w:eastAsia="仿宋_GB2312" w:cs="仿宋_GB2312"/>
          <w:color w:val="000000"/>
          <w:sz w:val="28"/>
          <w:szCs w:val="28"/>
        </w:rPr>
        <w:t>侵权人</w:t>
      </w:r>
      <w:r>
        <w:rPr>
          <w:rFonts w:hint="eastAsia" w:ascii="仿宋_GB2312" w:hAnsi="仿宋_GB2312" w:eastAsia="仿宋_GB2312" w:cs="仿宋_GB2312"/>
          <w:color w:val="000000"/>
          <w:sz w:val="28"/>
          <w:szCs w:val="28"/>
          <w:lang w:val="zh-CN"/>
        </w:rPr>
        <w:t>修复生态环境的，人民法院可以依法裁判侵权人承担环境修复责任，并同时确定其不履行环境修复义务时应当承担的环境修复费用。</w:t>
      </w:r>
      <w:bookmarkStart w:id="341" w:name="No46_T14K2"/>
      <w:bookmarkEnd w:id="341"/>
      <w:r>
        <w:rPr>
          <w:rFonts w:hint="eastAsia" w:ascii="仿宋_GB2312" w:hAnsi="仿宋_GB2312" w:eastAsia="仿宋_GB2312" w:cs="仿宋_GB2312"/>
          <w:color w:val="000000"/>
          <w:sz w:val="28"/>
          <w:szCs w:val="28"/>
          <w:lang w:val="zh-CN"/>
        </w:rPr>
        <w:t>侵权人在生效裁判确定的期限内未履行环境修复义务的，人民法院可以委托其他人进行环境修复，所需费用由侵权人承担；</w:t>
      </w:r>
    </w:p>
    <w:p>
      <w:pPr>
        <w:keepNext w:val="0"/>
        <w:keepLines w:val="0"/>
        <w:pageBreakBefore w:val="0"/>
        <w:widowControl w:val="0"/>
        <w:wordWrap/>
        <w:bidi w:val="0"/>
        <w:spacing w:after="0" w:line="500" w:lineRule="exact"/>
        <w:ind w:firstLine="522" w:firstLineChars="200"/>
        <w:jc w:val="both"/>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三）要求侵权人承担侵权损害赔偿责任。1.构成环境污染和生态破坏侵权，导致被侵权人人格权、财产权遭受损害的，侵权人应当承担侵权损害赔偿责任。2.国家规定的机关或者法律规定的组织有权请求侵权人赔偿下列损失和费用：（1）生态环境受到损害至修复完成期间服务功能丧失导致的损失；（2）生态环境功能永久性损害造成的损失；（3）生态环境损害调查、鉴定评估等费用；（4）清除污染、修复生态环境费用；（5）防止损害的发生和扩大所支出的合理费用。3.侵权人故意违反国家规定污染环境、破坏生态造成严重后果的，被侵权人有权请求相应的惩罚性赔偿。</w:t>
      </w:r>
    </w:p>
    <w:p>
      <w:pPr>
        <w:keepNext w:val="0"/>
        <w:keepLines w:val="0"/>
        <w:pageBreakBefore w:val="0"/>
        <w:widowControl w:val="0"/>
        <w:wordWrap/>
        <w:bidi w:val="0"/>
        <w:spacing w:after="0" w:line="500" w:lineRule="exact"/>
        <w:ind w:firstLine="522" w:firstLineChars="200"/>
        <w:jc w:val="both"/>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以上诉讼请求的提出，原告及其代理律师应当结合具体案情综合判断。</w:t>
      </w:r>
    </w:p>
    <w:p>
      <w:pPr>
        <w:keepNext w:val="0"/>
        <w:keepLines w:val="0"/>
        <w:pageBreakBefore w:val="0"/>
        <w:widowControl w:val="0"/>
        <w:wordWrap/>
        <w:bidi w:val="0"/>
        <w:spacing w:after="0" w:line="500" w:lineRule="exact"/>
        <w:ind w:firstLine="522" w:firstLineChars="200"/>
        <w:jc w:val="both"/>
        <w:rPr>
          <w:rFonts w:hint="eastAsia" w:ascii="仿宋_GB2312" w:hAnsi="仿宋_GB2312" w:eastAsia="仿宋_GB2312" w:cs="仿宋_GB2312"/>
          <w:color w:val="000000"/>
          <w:sz w:val="28"/>
          <w:szCs w:val="28"/>
          <w:lang w:val="zh-CN"/>
        </w:rPr>
      </w:pPr>
      <w:bookmarkStart w:id="342" w:name="No9_T2K1"/>
      <w:bookmarkEnd w:id="342"/>
      <w:r>
        <w:rPr>
          <w:rFonts w:hint="eastAsia" w:ascii="仿宋_GB2312" w:hAnsi="仿宋_GB2312" w:eastAsia="仿宋_GB2312" w:cs="仿宋_GB2312"/>
          <w:b/>
          <w:bCs/>
          <w:color w:val="000000"/>
          <w:sz w:val="28"/>
          <w:szCs w:val="28"/>
        </w:rPr>
        <w:t>第十一条</w:t>
      </w:r>
      <w:r>
        <w:rPr>
          <w:rFonts w:hint="eastAsia" w:ascii="仿宋_GB2312" w:hAnsi="仿宋_GB2312" w:eastAsia="仿宋_GB2312" w:cs="仿宋_GB2312"/>
          <w:color w:val="000000"/>
          <w:sz w:val="28"/>
          <w:szCs w:val="28"/>
        </w:rPr>
        <w:t xml:space="preserve">  </w:t>
      </w:r>
      <w:r>
        <w:rPr>
          <w:rFonts w:hint="eastAsia" w:ascii="仿宋_GB2312" w:hAnsi="仿宋_GB2312" w:eastAsia="仿宋_GB2312" w:cs="仿宋_GB2312"/>
          <w:color w:val="000000"/>
          <w:sz w:val="28"/>
          <w:szCs w:val="28"/>
          <w:lang w:val="zh-CN"/>
        </w:rPr>
        <w:t>两个以上侵权人共同实施污染环境、破坏生态行为造成损害，被侵权人</w:t>
      </w:r>
      <w:r>
        <w:rPr>
          <w:rFonts w:hint="eastAsia" w:ascii="仿宋_GB2312" w:hAnsi="仿宋_GB2312" w:eastAsia="仿宋_GB2312" w:cs="仿宋_GB2312"/>
          <w:color w:val="000000"/>
          <w:sz w:val="28"/>
          <w:szCs w:val="28"/>
        </w:rPr>
        <w:t>及其代理律师可以</w:t>
      </w:r>
      <w:r>
        <w:rPr>
          <w:rFonts w:hint="eastAsia" w:ascii="仿宋_GB2312" w:hAnsi="仿宋_GB2312" w:eastAsia="仿宋_GB2312" w:cs="仿宋_GB2312"/>
          <w:color w:val="000000"/>
          <w:sz w:val="28"/>
          <w:szCs w:val="28"/>
          <w:lang w:val="zh-CN"/>
        </w:rPr>
        <w:t>根据</w:t>
      </w:r>
      <w:r>
        <w:rPr>
          <w:rFonts w:hint="eastAsia" w:ascii="仿宋_GB2312" w:hAnsi="仿宋_GB2312" w:eastAsia="仿宋_GB2312" w:cs="仿宋_GB2312"/>
          <w:color w:val="000000"/>
          <w:sz w:val="28"/>
          <w:szCs w:val="28"/>
          <w:lang w:val="zh-CN"/>
        </w:rPr>
        <w:fldChar w:fldCharType="begin"/>
      </w:r>
      <w:r>
        <w:rPr>
          <w:rFonts w:hint="eastAsia" w:ascii="仿宋_GB2312" w:hAnsi="仿宋_GB2312" w:eastAsia="仿宋_GB2312" w:cs="仿宋_GB2312"/>
          <w:color w:val="000000"/>
          <w:sz w:val="28"/>
          <w:szCs w:val="28"/>
          <w:lang w:val="zh-CN"/>
        </w:rPr>
        <w:instrText xml:space="preserve"> HYPERLINK "https://law.wkinfo.com.cn/document/show?collection=legislation&amp;aid=MTAxMDAxMzcyODc%3D&amp;language=中文" </w:instrText>
      </w:r>
      <w:r>
        <w:rPr>
          <w:rFonts w:hint="eastAsia" w:ascii="仿宋_GB2312" w:hAnsi="仿宋_GB2312" w:eastAsia="仿宋_GB2312" w:cs="仿宋_GB2312"/>
          <w:color w:val="000000"/>
          <w:sz w:val="28"/>
          <w:szCs w:val="28"/>
          <w:lang w:val="zh-CN"/>
        </w:rPr>
        <w:fldChar w:fldCharType="separate"/>
      </w:r>
      <w:r>
        <w:rPr>
          <w:rFonts w:hint="eastAsia" w:ascii="仿宋_GB2312" w:hAnsi="仿宋_GB2312" w:eastAsia="仿宋_GB2312" w:cs="仿宋_GB2312"/>
          <w:color w:val="000000"/>
          <w:sz w:val="28"/>
          <w:szCs w:val="28"/>
          <w:lang w:val="zh-CN"/>
        </w:rPr>
        <w:t>民法典</w:t>
      </w:r>
      <w:r>
        <w:rPr>
          <w:rFonts w:hint="eastAsia" w:ascii="仿宋_GB2312" w:hAnsi="仿宋_GB2312" w:eastAsia="仿宋_GB2312" w:cs="仿宋_GB2312"/>
          <w:color w:val="000000"/>
          <w:sz w:val="28"/>
          <w:szCs w:val="28"/>
          <w:lang w:val="zh-CN"/>
        </w:rPr>
        <w:fldChar w:fldCharType="end"/>
      </w:r>
      <w:r>
        <w:rPr>
          <w:rFonts w:hint="eastAsia" w:ascii="仿宋_GB2312" w:hAnsi="仿宋_GB2312" w:eastAsia="仿宋_GB2312" w:cs="仿宋_GB2312"/>
          <w:color w:val="000000"/>
          <w:sz w:val="28"/>
          <w:szCs w:val="28"/>
          <w:lang w:val="zh-CN"/>
        </w:rPr>
        <w:fldChar w:fldCharType="begin"/>
      </w:r>
      <w:r>
        <w:rPr>
          <w:rFonts w:hint="eastAsia" w:ascii="仿宋_GB2312" w:hAnsi="仿宋_GB2312" w:eastAsia="仿宋_GB2312" w:cs="仿宋_GB2312"/>
          <w:color w:val="000000"/>
          <w:sz w:val="28"/>
          <w:szCs w:val="28"/>
          <w:lang w:val="zh-CN"/>
        </w:rPr>
        <w:instrText xml:space="preserve"> HYPERLINK "https://law.wkinfo.com.cn/document/show?collection=legislation&amp;aid=MTAxMDAxMzcyODc%3D&amp;language=中文" \l "No3438_B7Z1T1168" </w:instrText>
      </w:r>
      <w:r>
        <w:rPr>
          <w:rFonts w:hint="eastAsia" w:ascii="仿宋_GB2312" w:hAnsi="仿宋_GB2312" w:eastAsia="仿宋_GB2312" w:cs="仿宋_GB2312"/>
          <w:color w:val="000000"/>
          <w:sz w:val="28"/>
          <w:szCs w:val="28"/>
          <w:lang w:val="zh-CN"/>
        </w:rPr>
        <w:fldChar w:fldCharType="separate"/>
      </w:r>
      <w:r>
        <w:rPr>
          <w:rFonts w:hint="eastAsia" w:ascii="仿宋_GB2312" w:hAnsi="仿宋_GB2312" w:eastAsia="仿宋_GB2312" w:cs="仿宋_GB2312"/>
          <w:color w:val="000000"/>
          <w:sz w:val="28"/>
          <w:szCs w:val="28"/>
          <w:lang w:val="zh-CN"/>
        </w:rPr>
        <w:t>第一千一百六十八条</w:t>
      </w:r>
      <w:r>
        <w:rPr>
          <w:rFonts w:hint="eastAsia" w:ascii="仿宋_GB2312" w:hAnsi="仿宋_GB2312" w:eastAsia="仿宋_GB2312" w:cs="仿宋_GB2312"/>
          <w:color w:val="000000"/>
          <w:sz w:val="28"/>
          <w:szCs w:val="28"/>
          <w:lang w:val="zh-CN"/>
        </w:rPr>
        <w:fldChar w:fldCharType="end"/>
      </w:r>
      <w:r>
        <w:rPr>
          <w:rFonts w:hint="eastAsia" w:ascii="仿宋_GB2312" w:hAnsi="仿宋_GB2312" w:eastAsia="仿宋_GB2312" w:cs="仿宋_GB2312"/>
          <w:color w:val="000000"/>
          <w:sz w:val="28"/>
          <w:szCs w:val="28"/>
          <w:lang w:val="zh-CN"/>
        </w:rPr>
        <w:t>规定请求侵权人承担连带责任。</w:t>
      </w:r>
    </w:p>
    <w:p>
      <w:pPr>
        <w:keepNext w:val="0"/>
        <w:keepLines w:val="0"/>
        <w:pageBreakBefore w:val="0"/>
        <w:widowControl w:val="0"/>
        <w:wordWrap/>
        <w:bidi w:val="0"/>
        <w:spacing w:after="0" w:line="500" w:lineRule="exact"/>
        <w:ind w:firstLine="522" w:firstLineChars="200"/>
        <w:jc w:val="both"/>
        <w:rPr>
          <w:rFonts w:hint="eastAsia" w:ascii="仿宋_GB2312" w:hAnsi="仿宋_GB2312" w:eastAsia="仿宋_GB2312" w:cs="仿宋_GB2312"/>
          <w:color w:val="000000"/>
          <w:sz w:val="28"/>
          <w:szCs w:val="28"/>
          <w:lang w:val="zh-CN"/>
        </w:rPr>
      </w:pPr>
      <w:bookmarkStart w:id="343" w:name="No10_T3"/>
      <w:bookmarkEnd w:id="343"/>
      <w:bookmarkStart w:id="344" w:name="No11_T3K1"/>
      <w:bookmarkEnd w:id="344"/>
      <w:r>
        <w:rPr>
          <w:rFonts w:hint="eastAsia" w:ascii="仿宋_GB2312" w:hAnsi="仿宋_GB2312" w:eastAsia="仿宋_GB2312" w:cs="仿宋_GB2312"/>
          <w:color w:val="000000"/>
          <w:sz w:val="28"/>
          <w:szCs w:val="28"/>
          <w:lang w:val="zh-CN"/>
        </w:rPr>
        <w:t>两个以上侵权人分别实施污染环境、破坏生态行为造成同一损害，每一个侵权人的污染环境、破坏生态行为都足以造成全部损害，被侵权人</w:t>
      </w:r>
      <w:r>
        <w:rPr>
          <w:rFonts w:hint="eastAsia" w:ascii="仿宋_GB2312" w:hAnsi="仿宋_GB2312" w:eastAsia="仿宋_GB2312" w:cs="仿宋_GB2312"/>
          <w:color w:val="000000"/>
          <w:sz w:val="28"/>
          <w:szCs w:val="28"/>
        </w:rPr>
        <w:t>及其代理律师可以</w:t>
      </w:r>
      <w:r>
        <w:rPr>
          <w:rFonts w:hint="eastAsia" w:ascii="仿宋_GB2312" w:hAnsi="仿宋_GB2312" w:eastAsia="仿宋_GB2312" w:cs="仿宋_GB2312"/>
          <w:color w:val="000000"/>
          <w:sz w:val="28"/>
          <w:szCs w:val="28"/>
          <w:lang w:val="zh-CN"/>
        </w:rPr>
        <w:t>根据</w:t>
      </w:r>
      <w:r>
        <w:rPr>
          <w:rFonts w:hint="eastAsia" w:ascii="仿宋_GB2312" w:hAnsi="仿宋_GB2312" w:eastAsia="仿宋_GB2312" w:cs="仿宋_GB2312"/>
          <w:color w:val="000000"/>
          <w:sz w:val="28"/>
          <w:szCs w:val="28"/>
          <w:lang w:val="zh-CN"/>
        </w:rPr>
        <w:fldChar w:fldCharType="begin"/>
      </w:r>
      <w:r>
        <w:rPr>
          <w:rFonts w:hint="eastAsia" w:ascii="仿宋_GB2312" w:hAnsi="仿宋_GB2312" w:eastAsia="仿宋_GB2312" w:cs="仿宋_GB2312"/>
          <w:color w:val="000000"/>
          <w:sz w:val="28"/>
          <w:szCs w:val="28"/>
          <w:lang w:val="zh-CN"/>
        </w:rPr>
        <w:instrText xml:space="preserve"> HYPERLINK "https://law.wkinfo.com.cn/document/show?collection=legislation&amp;aid=MTAxMDAxMzcyODc%3D&amp;language=中文" </w:instrText>
      </w:r>
      <w:r>
        <w:rPr>
          <w:rFonts w:hint="eastAsia" w:ascii="仿宋_GB2312" w:hAnsi="仿宋_GB2312" w:eastAsia="仿宋_GB2312" w:cs="仿宋_GB2312"/>
          <w:color w:val="000000"/>
          <w:sz w:val="28"/>
          <w:szCs w:val="28"/>
          <w:lang w:val="zh-CN"/>
        </w:rPr>
        <w:fldChar w:fldCharType="separate"/>
      </w:r>
      <w:r>
        <w:rPr>
          <w:rFonts w:hint="eastAsia" w:ascii="仿宋_GB2312" w:hAnsi="仿宋_GB2312" w:eastAsia="仿宋_GB2312" w:cs="仿宋_GB2312"/>
          <w:color w:val="000000"/>
          <w:sz w:val="28"/>
          <w:szCs w:val="28"/>
          <w:lang w:val="zh-CN"/>
        </w:rPr>
        <w:t>民法典</w:t>
      </w:r>
      <w:r>
        <w:rPr>
          <w:rFonts w:hint="eastAsia" w:ascii="仿宋_GB2312" w:hAnsi="仿宋_GB2312" w:eastAsia="仿宋_GB2312" w:cs="仿宋_GB2312"/>
          <w:color w:val="000000"/>
          <w:sz w:val="28"/>
          <w:szCs w:val="28"/>
          <w:lang w:val="zh-CN"/>
        </w:rPr>
        <w:fldChar w:fldCharType="end"/>
      </w:r>
      <w:r>
        <w:rPr>
          <w:rFonts w:hint="eastAsia" w:ascii="仿宋_GB2312" w:hAnsi="仿宋_GB2312" w:eastAsia="仿宋_GB2312" w:cs="仿宋_GB2312"/>
          <w:color w:val="000000"/>
          <w:sz w:val="28"/>
          <w:szCs w:val="28"/>
          <w:lang w:val="zh-CN"/>
        </w:rPr>
        <w:fldChar w:fldCharType="begin"/>
      </w:r>
      <w:r>
        <w:rPr>
          <w:rFonts w:hint="eastAsia" w:ascii="仿宋_GB2312" w:hAnsi="仿宋_GB2312" w:eastAsia="仿宋_GB2312" w:cs="仿宋_GB2312"/>
          <w:color w:val="000000"/>
          <w:sz w:val="28"/>
          <w:szCs w:val="28"/>
          <w:lang w:val="zh-CN"/>
        </w:rPr>
        <w:instrText xml:space="preserve"> HYPERLINK "https://law.wkinfo.com.cn/document/show?collection=legislation&amp;aid=MTAxMDAxMzcyODc%3D&amp;language=中文" \l "No3445_B7Z1T1171" </w:instrText>
      </w:r>
      <w:r>
        <w:rPr>
          <w:rFonts w:hint="eastAsia" w:ascii="仿宋_GB2312" w:hAnsi="仿宋_GB2312" w:eastAsia="仿宋_GB2312" w:cs="仿宋_GB2312"/>
          <w:color w:val="000000"/>
          <w:sz w:val="28"/>
          <w:szCs w:val="28"/>
          <w:lang w:val="zh-CN"/>
        </w:rPr>
        <w:fldChar w:fldCharType="separate"/>
      </w:r>
      <w:r>
        <w:rPr>
          <w:rFonts w:hint="eastAsia" w:ascii="仿宋_GB2312" w:hAnsi="仿宋_GB2312" w:eastAsia="仿宋_GB2312" w:cs="仿宋_GB2312"/>
          <w:color w:val="000000"/>
          <w:sz w:val="28"/>
          <w:szCs w:val="28"/>
          <w:lang w:val="zh-CN"/>
        </w:rPr>
        <w:t>第一千一百七十一条</w:t>
      </w:r>
      <w:r>
        <w:rPr>
          <w:rFonts w:hint="eastAsia" w:ascii="仿宋_GB2312" w:hAnsi="仿宋_GB2312" w:eastAsia="仿宋_GB2312" w:cs="仿宋_GB2312"/>
          <w:color w:val="000000"/>
          <w:sz w:val="28"/>
          <w:szCs w:val="28"/>
          <w:lang w:val="zh-CN"/>
        </w:rPr>
        <w:fldChar w:fldCharType="end"/>
      </w:r>
      <w:r>
        <w:rPr>
          <w:rFonts w:hint="eastAsia" w:ascii="仿宋_GB2312" w:hAnsi="仿宋_GB2312" w:eastAsia="仿宋_GB2312" w:cs="仿宋_GB2312"/>
          <w:color w:val="000000"/>
          <w:sz w:val="28"/>
          <w:szCs w:val="28"/>
          <w:lang w:val="zh-CN"/>
        </w:rPr>
        <w:t>规定请求侵权人承担连带责任。</w:t>
      </w:r>
    </w:p>
    <w:p>
      <w:pPr>
        <w:keepNext w:val="0"/>
        <w:keepLines w:val="0"/>
        <w:pageBreakBefore w:val="0"/>
        <w:widowControl w:val="0"/>
        <w:wordWrap/>
        <w:bidi w:val="0"/>
        <w:spacing w:after="0" w:line="500" w:lineRule="exact"/>
        <w:ind w:firstLine="522" w:firstLineChars="200"/>
        <w:jc w:val="both"/>
        <w:rPr>
          <w:rFonts w:hint="eastAsia" w:ascii="仿宋_GB2312" w:hAnsi="仿宋_GB2312" w:eastAsia="仿宋_GB2312" w:cs="仿宋_GB2312"/>
          <w:color w:val="000000"/>
          <w:sz w:val="28"/>
          <w:szCs w:val="28"/>
          <w:lang w:val="zh-CN"/>
        </w:rPr>
      </w:pPr>
      <w:bookmarkStart w:id="345" w:name="No12_T3K2"/>
      <w:bookmarkEnd w:id="345"/>
      <w:r>
        <w:rPr>
          <w:rFonts w:hint="eastAsia" w:ascii="仿宋_GB2312" w:hAnsi="仿宋_GB2312" w:eastAsia="仿宋_GB2312" w:cs="仿宋_GB2312"/>
          <w:color w:val="000000"/>
          <w:sz w:val="28"/>
          <w:szCs w:val="28"/>
          <w:lang w:val="zh-CN"/>
        </w:rPr>
        <w:t>两个以上侵权人分别实施污染环境、破坏生态行为造成同一损害，每一个侵权人的污染环境、破坏生态行为都不足以造成全部损害，被侵权人</w:t>
      </w:r>
      <w:r>
        <w:rPr>
          <w:rFonts w:hint="eastAsia" w:ascii="仿宋_GB2312" w:hAnsi="仿宋_GB2312" w:eastAsia="仿宋_GB2312" w:cs="仿宋_GB2312"/>
          <w:color w:val="000000"/>
          <w:sz w:val="28"/>
          <w:szCs w:val="28"/>
        </w:rPr>
        <w:t>及其代理律师可以</w:t>
      </w:r>
      <w:r>
        <w:rPr>
          <w:rFonts w:hint="eastAsia" w:ascii="仿宋_GB2312" w:hAnsi="仿宋_GB2312" w:eastAsia="仿宋_GB2312" w:cs="仿宋_GB2312"/>
          <w:color w:val="000000"/>
          <w:sz w:val="28"/>
          <w:szCs w:val="28"/>
          <w:lang w:val="zh-CN"/>
        </w:rPr>
        <w:t>根据</w:t>
      </w:r>
      <w:r>
        <w:rPr>
          <w:rFonts w:hint="eastAsia" w:ascii="仿宋_GB2312" w:hAnsi="仿宋_GB2312" w:eastAsia="仿宋_GB2312" w:cs="仿宋_GB2312"/>
          <w:color w:val="000000"/>
          <w:sz w:val="28"/>
          <w:szCs w:val="28"/>
          <w:lang w:val="zh-CN"/>
        </w:rPr>
        <w:fldChar w:fldCharType="begin"/>
      </w:r>
      <w:r>
        <w:rPr>
          <w:rFonts w:hint="eastAsia" w:ascii="仿宋_GB2312" w:hAnsi="仿宋_GB2312" w:eastAsia="仿宋_GB2312" w:cs="仿宋_GB2312"/>
          <w:color w:val="000000"/>
          <w:sz w:val="28"/>
          <w:szCs w:val="28"/>
          <w:lang w:val="zh-CN"/>
        </w:rPr>
        <w:instrText xml:space="preserve"> HYPERLINK "https://law.wkinfo.com.cn/document/show?collection=legislation&amp;aid=MTAxMDAxMzcyODc%3D&amp;language=中文" </w:instrText>
      </w:r>
      <w:r>
        <w:rPr>
          <w:rFonts w:hint="eastAsia" w:ascii="仿宋_GB2312" w:hAnsi="仿宋_GB2312" w:eastAsia="仿宋_GB2312" w:cs="仿宋_GB2312"/>
          <w:color w:val="000000"/>
          <w:sz w:val="28"/>
          <w:szCs w:val="28"/>
          <w:lang w:val="zh-CN"/>
        </w:rPr>
        <w:fldChar w:fldCharType="separate"/>
      </w:r>
      <w:r>
        <w:rPr>
          <w:rFonts w:hint="eastAsia" w:ascii="仿宋_GB2312" w:hAnsi="仿宋_GB2312" w:eastAsia="仿宋_GB2312" w:cs="仿宋_GB2312"/>
          <w:color w:val="000000"/>
          <w:sz w:val="28"/>
          <w:szCs w:val="28"/>
          <w:lang w:val="zh-CN"/>
        </w:rPr>
        <w:t>民法典</w:t>
      </w:r>
      <w:r>
        <w:rPr>
          <w:rFonts w:hint="eastAsia" w:ascii="仿宋_GB2312" w:hAnsi="仿宋_GB2312" w:eastAsia="仿宋_GB2312" w:cs="仿宋_GB2312"/>
          <w:color w:val="000000"/>
          <w:sz w:val="28"/>
          <w:szCs w:val="28"/>
          <w:lang w:val="zh-CN"/>
        </w:rPr>
        <w:fldChar w:fldCharType="end"/>
      </w:r>
      <w:r>
        <w:rPr>
          <w:rFonts w:hint="eastAsia" w:ascii="仿宋_GB2312" w:hAnsi="仿宋_GB2312" w:eastAsia="仿宋_GB2312" w:cs="仿宋_GB2312"/>
          <w:color w:val="000000"/>
          <w:sz w:val="28"/>
          <w:szCs w:val="28"/>
          <w:lang w:val="zh-CN"/>
        </w:rPr>
        <w:fldChar w:fldCharType="begin"/>
      </w:r>
      <w:r>
        <w:rPr>
          <w:rFonts w:hint="eastAsia" w:ascii="仿宋_GB2312" w:hAnsi="仿宋_GB2312" w:eastAsia="仿宋_GB2312" w:cs="仿宋_GB2312"/>
          <w:color w:val="000000"/>
          <w:sz w:val="28"/>
          <w:szCs w:val="28"/>
          <w:lang w:val="zh-CN"/>
        </w:rPr>
        <w:instrText xml:space="preserve"> HYPERLINK "https://law.wkinfo.com.cn/document/show?collection=legislation&amp;aid=MTAxMDAxMzcyODc%3D&amp;language=中文" \l "No3447_B7Z1T1172" </w:instrText>
      </w:r>
      <w:r>
        <w:rPr>
          <w:rFonts w:hint="eastAsia" w:ascii="仿宋_GB2312" w:hAnsi="仿宋_GB2312" w:eastAsia="仿宋_GB2312" w:cs="仿宋_GB2312"/>
          <w:color w:val="000000"/>
          <w:sz w:val="28"/>
          <w:szCs w:val="28"/>
          <w:lang w:val="zh-CN"/>
        </w:rPr>
        <w:fldChar w:fldCharType="separate"/>
      </w:r>
      <w:r>
        <w:rPr>
          <w:rFonts w:hint="eastAsia" w:ascii="仿宋_GB2312" w:hAnsi="仿宋_GB2312" w:eastAsia="仿宋_GB2312" w:cs="仿宋_GB2312"/>
          <w:color w:val="000000"/>
          <w:sz w:val="28"/>
          <w:szCs w:val="28"/>
          <w:lang w:val="zh-CN"/>
        </w:rPr>
        <w:t>第一千一百七十二条</w:t>
      </w:r>
      <w:r>
        <w:rPr>
          <w:rFonts w:hint="eastAsia" w:ascii="仿宋_GB2312" w:hAnsi="仿宋_GB2312" w:eastAsia="仿宋_GB2312" w:cs="仿宋_GB2312"/>
          <w:color w:val="000000"/>
          <w:sz w:val="28"/>
          <w:szCs w:val="28"/>
          <w:lang w:val="zh-CN"/>
        </w:rPr>
        <w:fldChar w:fldCharType="end"/>
      </w:r>
      <w:r>
        <w:rPr>
          <w:rFonts w:hint="eastAsia" w:ascii="仿宋_GB2312" w:hAnsi="仿宋_GB2312" w:eastAsia="仿宋_GB2312" w:cs="仿宋_GB2312"/>
          <w:color w:val="000000"/>
          <w:sz w:val="28"/>
          <w:szCs w:val="28"/>
          <w:lang w:val="zh-CN"/>
        </w:rPr>
        <w:t>规定请求侵权人承担责任。</w:t>
      </w:r>
    </w:p>
    <w:p>
      <w:pPr>
        <w:keepNext w:val="0"/>
        <w:keepLines w:val="0"/>
        <w:pageBreakBefore w:val="0"/>
        <w:widowControl w:val="0"/>
        <w:wordWrap/>
        <w:bidi w:val="0"/>
        <w:spacing w:after="0" w:line="500" w:lineRule="exact"/>
        <w:ind w:firstLine="522" w:firstLineChars="200"/>
        <w:jc w:val="both"/>
        <w:rPr>
          <w:rFonts w:hint="eastAsia" w:ascii="仿宋_GB2312" w:hAnsi="仿宋_GB2312" w:eastAsia="仿宋_GB2312" w:cs="仿宋_GB2312"/>
          <w:color w:val="000000"/>
          <w:sz w:val="28"/>
          <w:szCs w:val="28"/>
          <w:lang w:val="zh-CN"/>
        </w:rPr>
      </w:pPr>
      <w:bookmarkStart w:id="346" w:name="No13_T3K3"/>
      <w:bookmarkEnd w:id="346"/>
      <w:r>
        <w:rPr>
          <w:rFonts w:hint="eastAsia" w:ascii="仿宋_GB2312" w:hAnsi="仿宋_GB2312" w:eastAsia="仿宋_GB2312" w:cs="仿宋_GB2312"/>
          <w:color w:val="000000"/>
          <w:sz w:val="28"/>
          <w:szCs w:val="28"/>
          <w:lang w:val="zh-CN"/>
        </w:rPr>
        <w:t>两个以上侵权人分别实施污染环境、破坏生态行为造成同一损害，部分侵权人的污染环境、破坏生态行为足以造成全部损害，部分侵权人的污染环境、破坏生态行为只造成部分损害，被侵权人</w:t>
      </w:r>
      <w:r>
        <w:rPr>
          <w:rFonts w:hint="eastAsia" w:ascii="仿宋_GB2312" w:hAnsi="仿宋_GB2312" w:eastAsia="仿宋_GB2312" w:cs="仿宋_GB2312"/>
          <w:color w:val="000000"/>
          <w:sz w:val="28"/>
          <w:szCs w:val="28"/>
        </w:rPr>
        <w:t>及其代理律师可以</w:t>
      </w:r>
      <w:r>
        <w:rPr>
          <w:rFonts w:hint="eastAsia" w:ascii="仿宋_GB2312" w:hAnsi="仿宋_GB2312" w:eastAsia="仿宋_GB2312" w:cs="仿宋_GB2312"/>
          <w:color w:val="000000"/>
          <w:sz w:val="28"/>
          <w:szCs w:val="28"/>
          <w:lang w:val="zh-CN"/>
        </w:rPr>
        <w:t>根据</w:t>
      </w:r>
      <w:r>
        <w:rPr>
          <w:rFonts w:hint="eastAsia" w:ascii="仿宋_GB2312" w:hAnsi="仿宋_GB2312" w:eastAsia="仿宋_GB2312" w:cs="仿宋_GB2312"/>
          <w:color w:val="000000"/>
          <w:sz w:val="28"/>
          <w:szCs w:val="28"/>
          <w:lang w:val="zh-CN"/>
        </w:rPr>
        <w:fldChar w:fldCharType="begin"/>
      </w:r>
      <w:r>
        <w:rPr>
          <w:rFonts w:hint="eastAsia" w:ascii="仿宋_GB2312" w:hAnsi="仿宋_GB2312" w:eastAsia="仿宋_GB2312" w:cs="仿宋_GB2312"/>
          <w:color w:val="000000"/>
          <w:sz w:val="28"/>
          <w:szCs w:val="28"/>
          <w:lang w:val="zh-CN"/>
        </w:rPr>
        <w:instrText xml:space="preserve"> HYPERLINK "https://law.wkinfo.com.cn/document/show?collection=legislation&amp;aid=MTAxMDAxMzcyODc%3D&amp;language=中文" </w:instrText>
      </w:r>
      <w:r>
        <w:rPr>
          <w:rFonts w:hint="eastAsia" w:ascii="仿宋_GB2312" w:hAnsi="仿宋_GB2312" w:eastAsia="仿宋_GB2312" w:cs="仿宋_GB2312"/>
          <w:color w:val="000000"/>
          <w:sz w:val="28"/>
          <w:szCs w:val="28"/>
          <w:lang w:val="zh-CN"/>
        </w:rPr>
        <w:fldChar w:fldCharType="separate"/>
      </w:r>
      <w:r>
        <w:rPr>
          <w:rFonts w:hint="eastAsia" w:ascii="仿宋_GB2312" w:hAnsi="仿宋_GB2312" w:eastAsia="仿宋_GB2312" w:cs="仿宋_GB2312"/>
          <w:color w:val="000000"/>
          <w:sz w:val="28"/>
          <w:szCs w:val="28"/>
          <w:lang w:val="zh-CN"/>
        </w:rPr>
        <w:t>民法典</w:t>
      </w:r>
      <w:r>
        <w:rPr>
          <w:rFonts w:hint="eastAsia" w:ascii="仿宋_GB2312" w:hAnsi="仿宋_GB2312" w:eastAsia="仿宋_GB2312" w:cs="仿宋_GB2312"/>
          <w:color w:val="000000"/>
          <w:sz w:val="28"/>
          <w:szCs w:val="28"/>
          <w:lang w:val="zh-CN"/>
        </w:rPr>
        <w:fldChar w:fldCharType="end"/>
      </w:r>
      <w:r>
        <w:rPr>
          <w:rFonts w:hint="eastAsia" w:ascii="仿宋_GB2312" w:hAnsi="仿宋_GB2312" w:eastAsia="仿宋_GB2312" w:cs="仿宋_GB2312"/>
          <w:color w:val="000000"/>
          <w:sz w:val="28"/>
          <w:szCs w:val="28"/>
          <w:lang w:val="zh-CN"/>
        </w:rPr>
        <w:fldChar w:fldCharType="begin"/>
      </w:r>
      <w:r>
        <w:rPr>
          <w:rFonts w:hint="eastAsia" w:ascii="仿宋_GB2312" w:hAnsi="仿宋_GB2312" w:eastAsia="仿宋_GB2312" w:cs="仿宋_GB2312"/>
          <w:color w:val="000000"/>
          <w:sz w:val="28"/>
          <w:szCs w:val="28"/>
          <w:lang w:val="zh-CN"/>
        </w:rPr>
        <w:instrText xml:space="preserve"> HYPERLINK "https://law.wkinfo.com.cn/document/show?collection=legislation&amp;aid=MTAxMDAxMzcyODc%3D&amp;language=中文" \l "No3445_B7Z1T1171" </w:instrText>
      </w:r>
      <w:r>
        <w:rPr>
          <w:rFonts w:hint="eastAsia" w:ascii="仿宋_GB2312" w:hAnsi="仿宋_GB2312" w:eastAsia="仿宋_GB2312" w:cs="仿宋_GB2312"/>
          <w:color w:val="000000"/>
          <w:sz w:val="28"/>
          <w:szCs w:val="28"/>
          <w:lang w:val="zh-CN"/>
        </w:rPr>
        <w:fldChar w:fldCharType="separate"/>
      </w:r>
      <w:r>
        <w:rPr>
          <w:rFonts w:hint="eastAsia" w:ascii="仿宋_GB2312" w:hAnsi="仿宋_GB2312" w:eastAsia="仿宋_GB2312" w:cs="仿宋_GB2312"/>
          <w:color w:val="000000"/>
          <w:sz w:val="28"/>
          <w:szCs w:val="28"/>
          <w:lang w:val="zh-CN"/>
        </w:rPr>
        <w:t>第一千一百七十一条</w:t>
      </w:r>
      <w:r>
        <w:rPr>
          <w:rFonts w:hint="eastAsia" w:ascii="仿宋_GB2312" w:hAnsi="仿宋_GB2312" w:eastAsia="仿宋_GB2312" w:cs="仿宋_GB2312"/>
          <w:color w:val="000000"/>
          <w:sz w:val="28"/>
          <w:szCs w:val="28"/>
          <w:lang w:val="zh-CN"/>
        </w:rPr>
        <w:fldChar w:fldCharType="end"/>
      </w:r>
      <w:r>
        <w:rPr>
          <w:rFonts w:hint="eastAsia" w:ascii="仿宋_GB2312" w:hAnsi="仿宋_GB2312" w:eastAsia="仿宋_GB2312" w:cs="仿宋_GB2312"/>
          <w:color w:val="000000"/>
          <w:sz w:val="28"/>
          <w:szCs w:val="28"/>
          <w:lang w:val="zh-CN"/>
        </w:rPr>
        <w:t>规定请求足以造成全部损害的侵权人与其他侵权人就共同造成的损害部分承担连带责任，并对全部损害承担责任。</w:t>
      </w:r>
    </w:p>
    <w:p>
      <w:pPr>
        <w:keepNext w:val="0"/>
        <w:keepLines w:val="0"/>
        <w:pageBreakBefore w:val="0"/>
        <w:widowControl w:val="0"/>
        <w:wordWrap/>
        <w:bidi w:val="0"/>
        <w:spacing w:after="0" w:line="500" w:lineRule="exact"/>
        <w:ind w:firstLine="522" w:firstLineChars="200"/>
        <w:jc w:val="both"/>
        <w:rPr>
          <w:rFonts w:hint="eastAsia" w:ascii="仿宋_GB2312" w:hAnsi="仿宋_GB2312" w:eastAsia="仿宋_GB2312" w:cs="仿宋_GB2312"/>
          <w:color w:val="000000"/>
          <w:sz w:val="28"/>
          <w:szCs w:val="28"/>
          <w:lang w:val="zh-CN"/>
        </w:rPr>
      </w:pPr>
      <w:bookmarkStart w:id="347" w:name="No14_T4"/>
      <w:bookmarkEnd w:id="347"/>
      <w:bookmarkStart w:id="348" w:name="No15_T4K1"/>
      <w:bookmarkEnd w:id="348"/>
      <w:r>
        <w:rPr>
          <w:rFonts w:hint="eastAsia" w:ascii="仿宋_GB2312" w:hAnsi="仿宋_GB2312" w:eastAsia="仿宋_GB2312" w:cs="仿宋_GB2312"/>
          <w:color w:val="000000"/>
          <w:sz w:val="28"/>
          <w:szCs w:val="28"/>
          <w:lang w:val="zh-CN"/>
        </w:rPr>
        <w:t>两个以上侵权人污染环境、破坏生态，对侵权人承担责任的大小，人民法院应当根据污染物的种类、浓度、排放量、危害性，有无排污许可证、是否超过污染物排放标准、是否超过重点污染物排放总量控制指标，破坏生态的方式、范围、程度，以及行为对损害后果所起的作用等因素确定。</w:t>
      </w:r>
    </w:p>
    <w:p>
      <w:pPr>
        <w:keepNext w:val="0"/>
        <w:keepLines w:val="0"/>
        <w:pageBreakBefore w:val="0"/>
        <w:widowControl w:val="0"/>
        <w:wordWrap/>
        <w:bidi w:val="0"/>
        <w:spacing w:after="0" w:line="500" w:lineRule="exact"/>
        <w:ind w:firstLine="522" w:firstLineChars="200"/>
        <w:jc w:val="both"/>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b/>
          <w:bCs/>
          <w:color w:val="000000"/>
          <w:sz w:val="28"/>
          <w:szCs w:val="28"/>
        </w:rPr>
        <w:t>第十二条</w:t>
      </w:r>
      <w:r>
        <w:rPr>
          <w:rFonts w:hint="eastAsia" w:ascii="仿宋_GB2312" w:hAnsi="仿宋_GB2312" w:eastAsia="仿宋_GB2312" w:cs="仿宋_GB2312"/>
          <w:color w:val="000000"/>
          <w:sz w:val="28"/>
          <w:szCs w:val="28"/>
        </w:rPr>
        <w:t xml:space="preserve">  </w:t>
      </w:r>
      <w:r>
        <w:rPr>
          <w:rFonts w:hint="eastAsia" w:ascii="仿宋_GB2312" w:hAnsi="仿宋_GB2312" w:eastAsia="仿宋_GB2312" w:cs="仿宋_GB2312"/>
          <w:color w:val="000000"/>
          <w:sz w:val="28"/>
          <w:szCs w:val="28"/>
          <w:lang w:val="zh-CN"/>
        </w:rPr>
        <w:t>因情况紧急，不申请财产保全将会使</w:t>
      </w:r>
      <w:r>
        <w:rPr>
          <w:rFonts w:hint="eastAsia" w:ascii="仿宋_GB2312" w:hAnsi="仿宋_GB2312" w:eastAsia="仿宋_GB2312" w:cs="仿宋_GB2312"/>
          <w:color w:val="000000"/>
          <w:sz w:val="28"/>
          <w:szCs w:val="28"/>
        </w:rPr>
        <w:t>被侵权人</w:t>
      </w:r>
      <w:r>
        <w:rPr>
          <w:rFonts w:hint="eastAsia" w:ascii="仿宋_GB2312" w:hAnsi="仿宋_GB2312" w:eastAsia="仿宋_GB2312" w:cs="仿宋_GB2312"/>
          <w:color w:val="000000"/>
          <w:sz w:val="28"/>
          <w:szCs w:val="28"/>
          <w:lang w:val="zh-CN"/>
        </w:rPr>
        <w:t>合法权益受到难以弥补的损害的，</w:t>
      </w:r>
      <w:r>
        <w:rPr>
          <w:rFonts w:hint="eastAsia" w:ascii="仿宋_GB2312" w:hAnsi="仿宋_GB2312" w:eastAsia="仿宋_GB2312" w:cs="仿宋_GB2312"/>
          <w:color w:val="000000"/>
          <w:sz w:val="28"/>
          <w:szCs w:val="28"/>
        </w:rPr>
        <w:t>被侵权人</w:t>
      </w:r>
      <w:r>
        <w:rPr>
          <w:rFonts w:hint="eastAsia" w:ascii="仿宋_GB2312" w:hAnsi="仿宋_GB2312" w:eastAsia="仿宋_GB2312" w:cs="仿宋_GB2312"/>
          <w:color w:val="000000"/>
          <w:sz w:val="28"/>
          <w:szCs w:val="28"/>
          <w:lang w:val="zh-CN"/>
        </w:rPr>
        <w:t>及其代理律师可在环境侵权</w:t>
      </w:r>
      <w:r>
        <w:rPr>
          <w:rFonts w:hint="eastAsia" w:ascii="仿宋_GB2312" w:hAnsi="仿宋_GB2312" w:eastAsia="仿宋_GB2312" w:cs="仿宋_GB2312"/>
          <w:color w:val="000000"/>
          <w:sz w:val="28"/>
          <w:szCs w:val="28"/>
        </w:rPr>
        <w:t>责任纠纷案件</w:t>
      </w:r>
      <w:r>
        <w:rPr>
          <w:rFonts w:hint="eastAsia" w:ascii="仿宋_GB2312" w:hAnsi="仿宋_GB2312" w:eastAsia="仿宋_GB2312" w:cs="仿宋_GB2312"/>
          <w:color w:val="000000"/>
          <w:sz w:val="28"/>
          <w:szCs w:val="28"/>
          <w:lang w:val="zh-CN"/>
        </w:rPr>
        <w:t>起诉前向人民法院申请采取财产保全措施。</w:t>
      </w:r>
    </w:p>
    <w:p>
      <w:pPr>
        <w:keepNext w:val="0"/>
        <w:keepLines w:val="0"/>
        <w:pageBreakBefore w:val="0"/>
        <w:widowControl w:val="0"/>
        <w:wordWrap/>
        <w:bidi w:val="0"/>
        <w:spacing w:after="0" w:line="500" w:lineRule="exact"/>
        <w:ind w:firstLine="522" w:firstLineChars="200"/>
        <w:jc w:val="both"/>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b/>
          <w:bCs/>
          <w:color w:val="000000"/>
          <w:sz w:val="28"/>
          <w:szCs w:val="28"/>
          <w:lang w:val="zh-CN"/>
        </w:rPr>
        <w:t>第</w:t>
      </w:r>
      <w:r>
        <w:rPr>
          <w:rFonts w:hint="eastAsia" w:ascii="仿宋_GB2312" w:hAnsi="仿宋_GB2312" w:eastAsia="仿宋_GB2312" w:cs="仿宋_GB2312"/>
          <w:b/>
          <w:bCs/>
          <w:color w:val="000000"/>
          <w:sz w:val="28"/>
          <w:szCs w:val="28"/>
        </w:rPr>
        <w:t>十三</w:t>
      </w:r>
      <w:r>
        <w:rPr>
          <w:rFonts w:hint="eastAsia" w:ascii="仿宋_GB2312" w:hAnsi="仿宋_GB2312" w:eastAsia="仿宋_GB2312" w:cs="仿宋_GB2312"/>
          <w:b/>
          <w:bCs/>
          <w:color w:val="000000"/>
          <w:sz w:val="28"/>
          <w:szCs w:val="28"/>
          <w:lang w:val="zh-CN"/>
        </w:rPr>
        <w:t>条</w:t>
      </w:r>
      <w:r>
        <w:rPr>
          <w:rFonts w:hint="eastAsia" w:ascii="仿宋_GB2312" w:hAnsi="仿宋_GB2312" w:eastAsia="仿宋_GB2312" w:cs="仿宋_GB2312"/>
          <w:color w:val="000000"/>
          <w:sz w:val="28"/>
          <w:szCs w:val="28"/>
          <w:lang w:val="zh-CN"/>
        </w:rPr>
        <w:t xml:space="preserve"> </w:t>
      </w:r>
      <w:r>
        <w:rPr>
          <w:rFonts w:hint="eastAsia" w:ascii="仿宋_GB2312" w:hAnsi="仿宋_GB2312" w:eastAsia="仿宋_GB2312" w:cs="仿宋_GB2312"/>
          <w:color w:val="000000"/>
          <w:sz w:val="28"/>
          <w:szCs w:val="28"/>
        </w:rPr>
        <w:t xml:space="preserve"> </w:t>
      </w:r>
      <w:r>
        <w:rPr>
          <w:rFonts w:hint="eastAsia" w:ascii="仿宋_GB2312" w:hAnsi="仿宋_GB2312" w:eastAsia="仿宋_GB2312" w:cs="仿宋_GB2312"/>
          <w:color w:val="000000"/>
          <w:sz w:val="28"/>
          <w:szCs w:val="28"/>
          <w:lang w:val="zh-CN"/>
        </w:rPr>
        <w:t>因环境侵权</w:t>
      </w:r>
      <w:r>
        <w:rPr>
          <w:rFonts w:hint="eastAsia" w:ascii="仿宋_GB2312" w:hAnsi="仿宋_GB2312" w:eastAsia="仿宋_GB2312" w:cs="仿宋_GB2312"/>
          <w:color w:val="000000"/>
          <w:sz w:val="28"/>
          <w:szCs w:val="28"/>
        </w:rPr>
        <w:t>导致被侵权人</w:t>
      </w:r>
      <w:r>
        <w:rPr>
          <w:rFonts w:hint="eastAsia" w:ascii="仿宋_GB2312" w:hAnsi="仿宋_GB2312" w:eastAsia="仿宋_GB2312" w:cs="仿宋_GB2312"/>
          <w:color w:val="000000"/>
          <w:sz w:val="28"/>
          <w:szCs w:val="28"/>
          <w:lang w:val="zh-CN"/>
        </w:rPr>
        <w:t>的生产或生活极度困难，不先予执行将严重影响</w:t>
      </w:r>
      <w:r>
        <w:rPr>
          <w:rFonts w:hint="eastAsia" w:ascii="仿宋_GB2312" w:hAnsi="仿宋_GB2312" w:eastAsia="仿宋_GB2312" w:cs="仿宋_GB2312"/>
          <w:color w:val="000000"/>
          <w:sz w:val="28"/>
          <w:szCs w:val="28"/>
        </w:rPr>
        <w:t>被侵权人</w:t>
      </w:r>
      <w:r>
        <w:rPr>
          <w:rFonts w:hint="eastAsia" w:ascii="仿宋_GB2312" w:hAnsi="仿宋_GB2312" w:eastAsia="仿宋_GB2312" w:cs="仿宋_GB2312"/>
          <w:color w:val="000000"/>
          <w:sz w:val="28"/>
          <w:szCs w:val="28"/>
          <w:lang w:val="zh-CN"/>
        </w:rPr>
        <w:t>的</w:t>
      </w:r>
      <w:r>
        <w:rPr>
          <w:rFonts w:hint="eastAsia" w:ascii="仿宋_GB2312" w:hAnsi="仿宋_GB2312" w:eastAsia="仿宋_GB2312" w:cs="仿宋_GB2312"/>
          <w:color w:val="000000"/>
          <w:sz w:val="28"/>
          <w:szCs w:val="28"/>
        </w:rPr>
        <w:t>生活或生产经营</w:t>
      </w:r>
      <w:r>
        <w:rPr>
          <w:rFonts w:hint="eastAsia" w:ascii="仿宋_GB2312" w:hAnsi="仿宋_GB2312" w:eastAsia="仿宋_GB2312" w:cs="仿宋_GB2312"/>
          <w:color w:val="000000"/>
          <w:sz w:val="28"/>
          <w:szCs w:val="28"/>
          <w:lang w:val="zh-CN"/>
        </w:rPr>
        <w:t>的，</w:t>
      </w:r>
      <w:r>
        <w:rPr>
          <w:rFonts w:hint="eastAsia" w:ascii="仿宋_GB2312" w:hAnsi="仿宋_GB2312" w:eastAsia="仿宋_GB2312" w:cs="仿宋_GB2312"/>
          <w:color w:val="000000"/>
          <w:sz w:val="28"/>
          <w:szCs w:val="28"/>
        </w:rPr>
        <w:t>环境侵权责任纠纷案件</w:t>
      </w:r>
      <w:r>
        <w:rPr>
          <w:rFonts w:hint="eastAsia" w:ascii="仿宋_GB2312" w:hAnsi="仿宋_GB2312" w:eastAsia="仿宋_GB2312" w:cs="仿宋_GB2312"/>
          <w:color w:val="000000"/>
          <w:sz w:val="28"/>
          <w:szCs w:val="28"/>
          <w:lang w:val="zh-CN"/>
        </w:rPr>
        <w:t>的</w:t>
      </w:r>
      <w:r>
        <w:rPr>
          <w:rFonts w:hint="eastAsia" w:ascii="仿宋_GB2312" w:hAnsi="仿宋_GB2312" w:eastAsia="仿宋_GB2312" w:cs="仿宋_GB2312"/>
          <w:color w:val="000000"/>
          <w:sz w:val="28"/>
          <w:szCs w:val="28"/>
        </w:rPr>
        <w:t>被侵权人</w:t>
      </w:r>
      <w:r>
        <w:rPr>
          <w:rFonts w:hint="eastAsia" w:ascii="仿宋_GB2312" w:hAnsi="仿宋_GB2312" w:eastAsia="仿宋_GB2312" w:cs="仿宋_GB2312"/>
          <w:color w:val="000000"/>
          <w:sz w:val="28"/>
          <w:szCs w:val="28"/>
          <w:lang w:val="zh-CN"/>
        </w:rPr>
        <w:t>及其代理律师可申请人民法院裁定先予执行。</w:t>
      </w:r>
    </w:p>
    <w:p>
      <w:pPr>
        <w:keepNext w:val="0"/>
        <w:keepLines w:val="0"/>
        <w:pageBreakBefore w:val="0"/>
        <w:widowControl w:val="0"/>
        <w:wordWrap/>
        <w:bidi w:val="0"/>
        <w:spacing w:after="0" w:line="500" w:lineRule="exact"/>
        <w:ind w:firstLine="522" w:firstLineChars="200"/>
        <w:jc w:val="both"/>
        <w:rPr>
          <w:rFonts w:hint="eastAsia" w:ascii="仿宋_GB2312" w:hAnsi="仿宋_GB2312" w:eastAsia="仿宋_GB2312" w:cs="仿宋_GB2312"/>
          <w:color w:val="000000"/>
          <w:sz w:val="28"/>
          <w:szCs w:val="28"/>
          <w:lang w:val="zh-CN"/>
        </w:rPr>
      </w:pPr>
    </w:p>
    <w:p>
      <w:pPr>
        <w:keepNext w:val="0"/>
        <w:keepLines w:val="0"/>
        <w:pageBreakBefore w:val="0"/>
        <w:widowControl w:val="0"/>
        <w:wordWrap/>
        <w:bidi w:val="0"/>
        <w:spacing w:after="0" w:line="500" w:lineRule="exact"/>
        <w:jc w:val="center"/>
        <w:rPr>
          <w:rFonts w:hint="eastAsia" w:ascii="黑体" w:hAnsi="黑体" w:eastAsia="黑体" w:cs="黑体"/>
          <w:color w:val="000000"/>
          <w:sz w:val="28"/>
          <w:szCs w:val="28"/>
        </w:rPr>
      </w:pPr>
      <w:r>
        <w:rPr>
          <w:rFonts w:hint="eastAsia" w:ascii="黑体" w:hAnsi="黑体" w:eastAsia="黑体" w:cs="黑体"/>
          <w:color w:val="000000"/>
          <w:sz w:val="28"/>
          <w:szCs w:val="28"/>
        </w:rPr>
        <w:t>第三章  环境民事公益诉讼案件</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第十四条</w:t>
      </w:r>
      <w:r>
        <w:rPr>
          <w:rFonts w:hint="eastAsia" w:ascii="仿宋_GB2312" w:hAnsi="仿宋_GB2312" w:eastAsia="仿宋_GB2312" w:cs="仿宋_GB2312"/>
          <w:color w:val="000000"/>
          <w:sz w:val="28"/>
          <w:szCs w:val="28"/>
        </w:rPr>
        <w:t xml:space="preserve">  公民、法人和其他组织为了自身利益提起的有关污染、损害环境资源的普通民事诉讼以及由检察机关提起的环境公益诉讼不适用本操作指引中有关</w:t>
      </w:r>
      <w:r>
        <w:rPr>
          <w:rFonts w:hint="eastAsia" w:ascii="仿宋_GB2312" w:hAnsi="仿宋_GB2312" w:eastAsia="仿宋_GB2312" w:cs="仿宋_GB2312"/>
          <w:color w:val="000000"/>
          <w:sz w:val="28"/>
          <w:szCs w:val="28"/>
          <w:lang w:val="zh-CN"/>
        </w:rPr>
        <w:t>环境民事公益诉讼案件</w:t>
      </w:r>
      <w:r>
        <w:rPr>
          <w:rFonts w:hint="eastAsia" w:ascii="仿宋_GB2312" w:hAnsi="仿宋_GB2312" w:eastAsia="仿宋_GB2312" w:cs="仿宋_GB2312"/>
          <w:color w:val="000000"/>
          <w:sz w:val="28"/>
          <w:szCs w:val="28"/>
        </w:rPr>
        <w:t>的内容。</w:t>
      </w:r>
    </w:p>
    <w:p>
      <w:pPr>
        <w:keepNext w:val="0"/>
        <w:keepLines w:val="0"/>
        <w:pageBreakBefore w:val="0"/>
        <w:widowControl w:val="0"/>
        <w:wordWrap/>
        <w:bidi w:val="0"/>
        <w:spacing w:after="0" w:line="500" w:lineRule="exact"/>
        <w:ind w:firstLine="522" w:firstLineChars="200"/>
        <w:jc w:val="both"/>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b/>
          <w:bCs/>
          <w:color w:val="000000"/>
          <w:sz w:val="28"/>
          <w:szCs w:val="28"/>
        </w:rPr>
        <w:t>第十五条</w:t>
      </w:r>
      <w:r>
        <w:rPr>
          <w:rFonts w:hint="eastAsia" w:ascii="仿宋_GB2312" w:hAnsi="仿宋_GB2312" w:eastAsia="仿宋_GB2312" w:cs="仿宋_GB2312"/>
          <w:color w:val="000000"/>
          <w:sz w:val="28"/>
          <w:szCs w:val="28"/>
        </w:rPr>
        <w:t xml:space="preserve">  </w:t>
      </w:r>
      <w:r>
        <w:rPr>
          <w:rFonts w:hint="eastAsia" w:ascii="仿宋_GB2312" w:hAnsi="仿宋_GB2312" w:eastAsia="仿宋_GB2312" w:cs="仿宋_GB2312"/>
          <w:color w:val="000000"/>
          <w:sz w:val="28"/>
          <w:szCs w:val="28"/>
          <w:lang w:val="zh-CN"/>
        </w:rPr>
        <w:t>提起环境民事公益诉讼，</w:t>
      </w:r>
      <w:r>
        <w:rPr>
          <w:rFonts w:hint="eastAsia" w:ascii="仿宋_GB2312" w:hAnsi="仿宋_GB2312" w:eastAsia="仿宋_GB2312" w:cs="仿宋_GB2312"/>
          <w:color w:val="000000"/>
          <w:sz w:val="28"/>
          <w:szCs w:val="28"/>
        </w:rPr>
        <w:t>原告及其代理律师</w:t>
      </w:r>
      <w:r>
        <w:rPr>
          <w:rFonts w:hint="eastAsia" w:ascii="仿宋_GB2312" w:hAnsi="仿宋_GB2312" w:eastAsia="仿宋_GB2312" w:cs="仿宋_GB2312"/>
          <w:color w:val="000000"/>
          <w:sz w:val="28"/>
          <w:szCs w:val="28"/>
          <w:lang w:val="zh-CN"/>
        </w:rPr>
        <w:t>应当提交下列材料：</w:t>
      </w:r>
    </w:p>
    <w:p>
      <w:pPr>
        <w:keepNext w:val="0"/>
        <w:keepLines w:val="0"/>
        <w:pageBreakBefore w:val="0"/>
        <w:widowControl w:val="0"/>
        <w:wordWrap/>
        <w:bidi w:val="0"/>
        <w:spacing w:after="0" w:line="500" w:lineRule="exact"/>
        <w:ind w:firstLine="522" w:firstLineChars="200"/>
        <w:jc w:val="both"/>
        <w:rPr>
          <w:rFonts w:hint="eastAsia" w:ascii="仿宋_GB2312" w:hAnsi="仿宋_GB2312" w:eastAsia="仿宋_GB2312" w:cs="仿宋_GB2312"/>
          <w:color w:val="000000"/>
          <w:sz w:val="28"/>
          <w:szCs w:val="28"/>
          <w:lang w:val="zh-CN"/>
        </w:rPr>
      </w:pPr>
      <w:bookmarkStart w:id="349" w:name="No24_T8K1X1"/>
      <w:bookmarkEnd w:id="349"/>
      <w:r>
        <w:rPr>
          <w:rFonts w:hint="eastAsia" w:ascii="仿宋_GB2312" w:hAnsi="仿宋_GB2312" w:eastAsia="仿宋_GB2312" w:cs="仿宋_GB2312"/>
          <w:color w:val="000000"/>
          <w:sz w:val="28"/>
          <w:szCs w:val="28"/>
          <w:lang w:val="zh-CN"/>
        </w:rPr>
        <w:t>（</w:t>
      </w:r>
      <w:r>
        <w:rPr>
          <w:rFonts w:hint="eastAsia" w:ascii="仿宋_GB2312" w:hAnsi="仿宋_GB2312" w:eastAsia="仿宋_GB2312" w:cs="仿宋_GB2312"/>
          <w:color w:val="000000"/>
          <w:sz w:val="28"/>
          <w:szCs w:val="28"/>
        </w:rPr>
        <w:t>一</w:t>
      </w:r>
      <w:r>
        <w:rPr>
          <w:rFonts w:hint="eastAsia" w:ascii="仿宋_GB2312" w:hAnsi="仿宋_GB2312" w:eastAsia="仿宋_GB2312" w:cs="仿宋_GB2312"/>
          <w:color w:val="000000"/>
          <w:sz w:val="28"/>
          <w:szCs w:val="28"/>
          <w:lang w:val="zh-CN"/>
        </w:rPr>
        <w:t>）符合</w:t>
      </w:r>
      <w:r>
        <w:rPr>
          <w:rFonts w:hint="eastAsia" w:ascii="仿宋_GB2312" w:hAnsi="仿宋_GB2312" w:eastAsia="仿宋_GB2312" w:cs="仿宋_GB2312"/>
          <w:color w:val="000000"/>
          <w:sz w:val="28"/>
          <w:szCs w:val="28"/>
          <w:lang w:val="zh-CN"/>
        </w:rPr>
        <w:fldChar w:fldCharType="begin"/>
      </w:r>
      <w:r>
        <w:rPr>
          <w:rFonts w:hint="eastAsia" w:ascii="仿宋_GB2312" w:hAnsi="仿宋_GB2312" w:eastAsia="仿宋_GB2312" w:cs="仿宋_GB2312"/>
          <w:color w:val="000000"/>
          <w:sz w:val="28"/>
          <w:szCs w:val="28"/>
          <w:lang w:val="zh-CN"/>
        </w:rPr>
        <w:instrText xml:space="preserve"> HYPERLINK "https://law.wkinfo.com.cn/document/show?collection=legislation&amp;aid=MTAxMDAxMjQyNjg%3D&amp;language=中文" </w:instrText>
      </w:r>
      <w:r>
        <w:rPr>
          <w:rFonts w:hint="eastAsia" w:ascii="仿宋_GB2312" w:hAnsi="仿宋_GB2312" w:eastAsia="仿宋_GB2312" w:cs="仿宋_GB2312"/>
          <w:color w:val="000000"/>
          <w:sz w:val="28"/>
          <w:szCs w:val="28"/>
          <w:lang w:val="zh-CN"/>
        </w:rPr>
        <w:fldChar w:fldCharType="separate"/>
      </w:r>
      <w:r>
        <w:rPr>
          <w:rFonts w:hint="eastAsia" w:ascii="仿宋_GB2312" w:hAnsi="仿宋_GB2312" w:eastAsia="仿宋_GB2312" w:cs="仿宋_GB2312"/>
          <w:color w:val="000000"/>
          <w:sz w:val="28"/>
          <w:szCs w:val="28"/>
          <w:lang w:val="zh-CN"/>
        </w:rPr>
        <w:t>民事诉讼法</w:t>
      </w:r>
      <w:r>
        <w:rPr>
          <w:rFonts w:hint="eastAsia" w:ascii="仿宋_GB2312" w:hAnsi="仿宋_GB2312" w:eastAsia="仿宋_GB2312" w:cs="仿宋_GB2312"/>
          <w:color w:val="000000"/>
          <w:sz w:val="28"/>
          <w:szCs w:val="28"/>
          <w:lang w:val="zh-CN"/>
        </w:rPr>
        <w:fldChar w:fldCharType="end"/>
      </w:r>
      <w:r>
        <w:rPr>
          <w:rFonts w:hint="eastAsia" w:ascii="仿宋_GB2312" w:hAnsi="仿宋_GB2312" w:eastAsia="仿宋_GB2312" w:cs="仿宋_GB2312"/>
          <w:color w:val="000000"/>
          <w:sz w:val="28"/>
          <w:szCs w:val="28"/>
          <w:lang w:val="zh-CN"/>
        </w:rPr>
        <w:fldChar w:fldCharType="begin"/>
      </w:r>
      <w:r>
        <w:rPr>
          <w:rFonts w:hint="eastAsia" w:ascii="仿宋_GB2312" w:hAnsi="仿宋_GB2312" w:eastAsia="仿宋_GB2312" w:cs="仿宋_GB2312"/>
          <w:color w:val="000000"/>
          <w:sz w:val="28"/>
          <w:szCs w:val="28"/>
          <w:lang w:val="zh-CN"/>
        </w:rPr>
        <w:instrText xml:space="preserve"> HYPERLINK "https://law.wkinfo.com.cn/document/show?collection=legislation&amp;aid=MTAxMDAxMjQyNjg%3D&amp;language=中文" \l "No446_B2Z12J1T121" </w:instrText>
      </w:r>
      <w:r>
        <w:rPr>
          <w:rFonts w:hint="eastAsia" w:ascii="仿宋_GB2312" w:hAnsi="仿宋_GB2312" w:eastAsia="仿宋_GB2312" w:cs="仿宋_GB2312"/>
          <w:color w:val="000000"/>
          <w:sz w:val="28"/>
          <w:szCs w:val="28"/>
          <w:lang w:val="zh-CN"/>
        </w:rPr>
        <w:fldChar w:fldCharType="separate"/>
      </w:r>
      <w:r>
        <w:rPr>
          <w:rFonts w:hint="eastAsia" w:ascii="仿宋_GB2312" w:hAnsi="仿宋_GB2312" w:eastAsia="仿宋_GB2312" w:cs="仿宋_GB2312"/>
          <w:color w:val="000000"/>
          <w:sz w:val="28"/>
          <w:szCs w:val="28"/>
          <w:lang w:val="zh-CN"/>
        </w:rPr>
        <w:t>第一百二十一条</w:t>
      </w:r>
      <w:r>
        <w:rPr>
          <w:rFonts w:hint="eastAsia" w:ascii="仿宋_GB2312" w:hAnsi="仿宋_GB2312" w:eastAsia="仿宋_GB2312" w:cs="仿宋_GB2312"/>
          <w:color w:val="000000"/>
          <w:sz w:val="28"/>
          <w:szCs w:val="28"/>
          <w:lang w:val="zh-CN"/>
        </w:rPr>
        <w:fldChar w:fldCharType="end"/>
      </w:r>
      <w:r>
        <w:rPr>
          <w:rFonts w:hint="eastAsia" w:ascii="仿宋_GB2312" w:hAnsi="仿宋_GB2312" w:eastAsia="仿宋_GB2312" w:cs="仿宋_GB2312"/>
          <w:color w:val="000000"/>
          <w:sz w:val="28"/>
          <w:szCs w:val="28"/>
          <w:lang w:val="zh-CN"/>
        </w:rPr>
        <w:t>规定的起诉状，并按照被告人数提出副本；</w:t>
      </w:r>
    </w:p>
    <w:p>
      <w:pPr>
        <w:keepNext w:val="0"/>
        <w:keepLines w:val="0"/>
        <w:pageBreakBefore w:val="0"/>
        <w:widowControl w:val="0"/>
        <w:wordWrap/>
        <w:bidi w:val="0"/>
        <w:spacing w:after="0" w:line="500" w:lineRule="exact"/>
        <w:ind w:firstLine="522" w:firstLineChars="200"/>
        <w:jc w:val="both"/>
        <w:rPr>
          <w:rFonts w:hint="eastAsia" w:ascii="仿宋_GB2312" w:hAnsi="仿宋_GB2312" w:eastAsia="仿宋_GB2312" w:cs="仿宋_GB2312"/>
          <w:color w:val="000000"/>
          <w:sz w:val="28"/>
          <w:szCs w:val="28"/>
          <w:lang w:val="zh-CN"/>
        </w:rPr>
      </w:pPr>
      <w:bookmarkStart w:id="350" w:name="No25_T8K1X2"/>
      <w:bookmarkEnd w:id="350"/>
      <w:r>
        <w:rPr>
          <w:rFonts w:hint="eastAsia" w:ascii="仿宋_GB2312" w:hAnsi="仿宋_GB2312" w:eastAsia="仿宋_GB2312" w:cs="仿宋_GB2312"/>
          <w:color w:val="000000"/>
          <w:sz w:val="28"/>
          <w:szCs w:val="28"/>
        </w:rPr>
        <w:t>（二</w:t>
      </w:r>
      <w:r>
        <w:rPr>
          <w:rFonts w:hint="eastAsia" w:ascii="仿宋_GB2312" w:hAnsi="仿宋_GB2312" w:eastAsia="仿宋_GB2312" w:cs="仿宋_GB2312"/>
          <w:color w:val="000000"/>
          <w:sz w:val="28"/>
          <w:szCs w:val="28"/>
          <w:lang w:val="zh-CN"/>
        </w:rPr>
        <w:t>）被告的行为已经损害社会公共利益或者具有损害社会公共利益重大风险的初步证明材料；</w:t>
      </w:r>
    </w:p>
    <w:p>
      <w:pPr>
        <w:keepNext w:val="0"/>
        <w:keepLines w:val="0"/>
        <w:pageBreakBefore w:val="0"/>
        <w:widowControl w:val="0"/>
        <w:wordWrap/>
        <w:bidi w:val="0"/>
        <w:spacing w:after="0" w:line="500" w:lineRule="exact"/>
        <w:ind w:firstLine="522" w:firstLineChars="200"/>
        <w:jc w:val="both"/>
        <w:rPr>
          <w:rFonts w:hint="eastAsia" w:ascii="仿宋_GB2312" w:hAnsi="仿宋_GB2312" w:eastAsia="仿宋_GB2312" w:cs="仿宋_GB2312"/>
          <w:color w:val="000000"/>
          <w:sz w:val="28"/>
          <w:szCs w:val="28"/>
          <w:lang w:val="zh-CN"/>
        </w:rPr>
      </w:pPr>
      <w:bookmarkStart w:id="351" w:name="No26_T8K1X3"/>
      <w:bookmarkEnd w:id="351"/>
      <w:r>
        <w:rPr>
          <w:rFonts w:hint="eastAsia" w:ascii="仿宋_GB2312" w:hAnsi="仿宋_GB2312" w:eastAsia="仿宋_GB2312" w:cs="仿宋_GB2312"/>
          <w:color w:val="000000"/>
          <w:sz w:val="28"/>
          <w:szCs w:val="28"/>
          <w:lang w:val="zh-CN"/>
        </w:rPr>
        <w:t>（</w:t>
      </w:r>
      <w:r>
        <w:rPr>
          <w:rFonts w:hint="eastAsia" w:ascii="仿宋_GB2312" w:hAnsi="仿宋_GB2312" w:eastAsia="仿宋_GB2312" w:cs="仿宋_GB2312"/>
          <w:color w:val="000000"/>
          <w:sz w:val="28"/>
          <w:szCs w:val="28"/>
        </w:rPr>
        <w:t>三</w:t>
      </w:r>
      <w:r>
        <w:rPr>
          <w:rFonts w:hint="eastAsia" w:ascii="仿宋_GB2312" w:hAnsi="仿宋_GB2312" w:eastAsia="仿宋_GB2312" w:cs="仿宋_GB2312"/>
          <w:color w:val="000000"/>
          <w:sz w:val="28"/>
          <w:szCs w:val="28"/>
          <w:lang w:val="zh-CN"/>
        </w:rPr>
        <w:t>）社会组织提起诉讼的，应当提交社会组织登记证书、章程、起诉前连续五年的年度工作报告书或者年检报告书，以及由其法定代表人或者负责人签字并加盖公章的无违法记录的声明。</w:t>
      </w:r>
    </w:p>
    <w:p>
      <w:pPr>
        <w:keepNext w:val="0"/>
        <w:keepLines w:val="0"/>
        <w:pageBreakBefore w:val="0"/>
        <w:widowControl w:val="0"/>
        <w:wordWrap/>
        <w:bidi w:val="0"/>
        <w:spacing w:after="0" w:line="500" w:lineRule="exact"/>
        <w:ind w:firstLine="522" w:firstLineChars="200"/>
        <w:jc w:val="both"/>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b/>
          <w:bCs/>
          <w:color w:val="000000"/>
          <w:sz w:val="28"/>
          <w:szCs w:val="28"/>
        </w:rPr>
        <w:t>第十六条</w:t>
      </w:r>
      <w:r>
        <w:rPr>
          <w:rFonts w:hint="eastAsia" w:ascii="仿宋_GB2312" w:hAnsi="仿宋_GB2312" w:eastAsia="仿宋_GB2312" w:cs="仿宋_GB2312"/>
          <w:color w:val="000000"/>
          <w:sz w:val="28"/>
          <w:szCs w:val="28"/>
          <w:lang w:val="zh-CN"/>
        </w:rPr>
        <w:t> </w:t>
      </w:r>
      <w:bookmarkStart w:id="352" w:name="No16_T6K1"/>
      <w:bookmarkEnd w:id="352"/>
      <w:r>
        <w:rPr>
          <w:rFonts w:hint="eastAsia" w:ascii="仿宋_GB2312" w:hAnsi="仿宋_GB2312" w:eastAsia="仿宋_GB2312" w:cs="仿宋_GB2312"/>
          <w:color w:val="000000"/>
          <w:sz w:val="28"/>
          <w:szCs w:val="28"/>
        </w:rPr>
        <w:t xml:space="preserve"> </w:t>
      </w:r>
      <w:r>
        <w:rPr>
          <w:rFonts w:hint="eastAsia" w:ascii="仿宋_GB2312" w:hAnsi="仿宋_GB2312" w:eastAsia="仿宋_GB2312" w:cs="仿宋_GB2312"/>
          <w:color w:val="000000"/>
          <w:sz w:val="28"/>
          <w:szCs w:val="28"/>
          <w:lang w:val="zh-CN"/>
        </w:rPr>
        <w:t>第一审环境民事公益诉讼案件由污染环境、破坏生态行为发生地、损害结果地或者被告住所地的中级以上人民法院管辖。</w:t>
      </w:r>
    </w:p>
    <w:p>
      <w:pPr>
        <w:keepNext w:val="0"/>
        <w:keepLines w:val="0"/>
        <w:pageBreakBefore w:val="0"/>
        <w:widowControl w:val="0"/>
        <w:wordWrap/>
        <w:bidi w:val="0"/>
        <w:spacing w:after="0" w:line="500" w:lineRule="exact"/>
        <w:ind w:firstLine="522" w:firstLineChars="200"/>
        <w:jc w:val="both"/>
        <w:rPr>
          <w:rFonts w:hint="eastAsia" w:ascii="仿宋_GB2312" w:hAnsi="仿宋_GB2312" w:eastAsia="仿宋_GB2312" w:cs="仿宋_GB2312"/>
          <w:color w:val="000000"/>
          <w:sz w:val="28"/>
          <w:szCs w:val="28"/>
          <w:lang w:val="zh-CN"/>
        </w:rPr>
      </w:pPr>
      <w:bookmarkStart w:id="353" w:name="No17_T6K2"/>
      <w:bookmarkEnd w:id="353"/>
      <w:r>
        <w:rPr>
          <w:rFonts w:hint="eastAsia" w:ascii="仿宋_GB2312" w:hAnsi="仿宋_GB2312" w:eastAsia="仿宋_GB2312" w:cs="仿宋_GB2312"/>
          <w:color w:val="000000"/>
          <w:sz w:val="28"/>
          <w:szCs w:val="28"/>
          <w:lang w:val="zh-CN"/>
        </w:rPr>
        <w:t>中级人民法院认为确有必要的，可以在报请高级人民法院批准后，裁定将本院管辖的第一审环境民事公益诉讼案件交由基层人民法院审理。</w:t>
      </w:r>
    </w:p>
    <w:p>
      <w:pPr>
        <w:keepNext w:val="0"/>
        <w:keepLines w:val="0"/>
        <w:pageBreakBefore w:val="0"/>
        <w:widowControl w:val="0"/>
        <w:wordWrap/>
        <w:bidi w:val="0"/>
        <w:spacing w:after="0" w:line="500" w:lineRule="exact"/>
        <w:ind w:firstLine="522" w:firstLineChars="200"/>
        <w:jc w:val="both"/>
        <w:rPr>
          <w:rFonts w:hint="eastAsia" w:ascii="仿宋_GB2312" w:hAnsi="仿宋_GB2312" w:eastAsia="仿宋_GB2312" w:cs="仿宋_GB2312"/>
          <w:color w:val="000000"/>
          <w:sz w:val="28"/>
          <w:szCs w:val="28"/>
          <w:lang w:val="zh-CN"/>
        </w:rPr>
      </w:pPr>
      <w:bookmarkStart w:id="354" w:name="No18_T6K3"/>
      <w:bookmarkEnd w:id="354"/>
      <w:r>
        <w:rPr>
          <w:rFonts w:hint="eastAsia" w:ascii="仿宋_GB2312" w:hAnsi="仿宋_GB2312" w:eastAsia="仿宋_GB2312" w:cs="仿宋_GB2312"/>
          <w:color w:val="000000"/>
          <w:sz w:val="28"/>
          <w:szCs w:val="28"/>
          <w:lang w:val="zh-CN"/>
        </w:rPr>
        <w:t>同一原告或者不同原告对同一污染环境、破坏生态行为分别向两个以上有管辖权的人民法院提起环境民事公益诉讼的，由最先立案的人民法院管辖，必要时由共同上级人民法院指定管辖。</w:t>
      </w:r>
    </w:p>
    <w:p>
      <w:pPr>
        <w:keepNext w:val="0"/>
        <w:keepLines w:val="0"/>
        <w:pageBreakBefore w:val="0"/>
        <w:widowControl w:val="0"/>
        <w:wordWrap/>
        <w:bidi w:val="0"/>
        <w:spacing w:after="0" w:line="500" w:lineRule="exact"/>
        <w:ind w:firstLine="522" w:firstLineChars="200"/>
        <w:jc w:val="both"/>
        <w:rPr>
          <w:rFonts w:hint="eastAsia" w:ascii="仿宋_GB2312" w:hAnsi="仿宋_GB2312" w:eastAsia="仿宋_GB2312" w:cs="仿宋_GB2312"/>
          <w:color w:val="000000"/>
          <w:sz w:val="28"/>
          <w:szCs w:val="28"/>
          <w:lang w:val="zh-CN"/>
        </w:rPr>
      </w:pPr>
      <w:bookmarkStart w:id="355" w:name="No19_T7"/>
      <w:bookmarkEnd w:id="355"/>
      <w:bookmarkStart w:id="356" w:name="No20_T7K1"/>
      <w:bookmarkEnd w:id="356"/>
      <w:r>
        <w:rPr>
          <w:rFonts w:hint="eastAsia" w:ascii="仿宋_GB2312" w:hAnsi="仿宋_GB2312" w:eastAsia="仿宋_GB2312" w:cs="仿宋_GB2312"/>
          <w:color w:val="000000"/>
          <w:sz w:val="28"/>
          <w:szCs w:val="28"/>
          <w:lang w:val="zh-CN"/>
        </w:rPr>
        <w:t>经最高人民法院批准，高级人民法院可以根据本辖区环境和生态保护的实际情况，在辖区内确定部分中级人民法院受理第一审环境民事公益诉讼案件。</w:t>
      </w:r>
    </w:p>
    <w:p>
      <w:pPr>
        <w:keepNext w:val="0"/>
        <w:keepLines w:val="0"/>
        <w:pageBreakBefore w:val="0"/>
        <w:widowControl w:val="0"/>
        <w:wordWrap/>
        <w:bidi w:val="0"/>
        <w:spacing w:after="0" w:line="500" w:lineRule="exact"/>
        <w:ind w:firstLine="522" w:firstLineChars="200"/>
        <w:jc w:val="both"/>
        <w:rPr>
          <w:rFonts w:hint="eastAsia" w:ascii="仿宋_GB2312" w:hAnsi="仿宋_GB2312" w:eastAsia="仿宋_GB2312" w:cs="仿宋_GB2312"/>
          <w:color w:val="000000"/>
          <w:sz w:val="28"/>
          <w:szCs w:val="28"/>
          <w:lang w:val="zh-CN"/>
        </w:rPr>
      </w:pPr>
      <w:bookmarkStart w:id="357" w:name="No21_T7K2"/>
      <w:bookmarkEnd w:id="357"/>
      <w:r>
        <w:rPr>
          <w:rFonts w:hint="eastAsia" w:ascii="仿宋_GB2312" w:hAnsi="仿宋_GB2312" w:eastAsia="仿宋_GB2312" w:cs="仿宋_GB2312"/>
          <w:color w:val="000000"/>
          <w:sz w:val="28"/>
          <w:szCs w:val="28"/>
          <w:lang w:val="zh-CN"/>
        </w:rPr>
        <w:t>中级人民法院管辖环境民事公益诉讼案件的区域由高级人民法院确定。</w:t>
      </w:r>
    </w:p>
    <w:p>
      <w:pPr>
        <w:keepNext w:val="0"/>
        <w:keepLines w:val="0"/>
        <w:pageBreakBefore w:val="0"/>
        <w:widowControl w:val="0"/>
        <w:wordWrap/>
        <w:bidi w:val="0"/>
        <w:spacing w:after="0" w:line="500" w:lineRule="exact"/>
        <w:ind w:firstLine="522" w:firstLineChars="200"/>
        <w:jc w:val="both"/>
        <w:rPr>
          <w:rFonts w:hint="eastAsia" w:ascii="仿宋_GB2312" w:hAnsi="仿宋_GB2312" w:eastAsia="仿宋_GB2312" w:cs="仿宋_GB2312"/>
          <w:color w:val="000000"/>
          <w:sz w:val="28"/>
          <w:szCs w:val="28"/>
          <w:lang w:val="zh-CN"/>
        </w:rPr>
      </w:pPr>
      <w:bookmarkStart w:id="358" w:name="No7_T2K1"/>
      <w:bookmarkEnd w:id="358"/>
      <w:r>
        <w:rPr>
          <w:rFonts w:hint="eastAsia" w:ascii="仿宋_GB2312" w:hAnsi="仿宋_GB2312" w:eastAsia="仿宋_GB2312" w:cs="仿宋_GB2312"/>
          <w:b/>
          <w:bCs/>
          <w:color w:val="000000"/>
          <w:sz w:val="28"/>
          <w:szCs w:val="28"/>
        </w:rPr>
        <w:t>第十七条</w:t>
      </w:r>
      <w:r>
        <w:rPr>
          <w:rFonts w:hint="eastAsia" w:ascii="仿宋_GB2312" w:hAnsi="仿宋_GB2312" w:eastAsia="仿宋_GB2312" w:cs="仿宋_GB2312"/>
          <w:color w:val="000000"/>
          <w:sz w:val="28"/>
          <w:szCs w:val="28"/>
        </w:rPr>
        <w:t xml:space="preserve">  </w:t>
      </w:r>
      <w:r>
        <w:rPr>
          <w:rFonts w:hint="eastAsia" w:ascii="仿宋_GB2312" w:hAnsi="仿宋_GB2312" w:eastAsia="仿宋_GB2312" w:cs="仿宋_GB2312"/>
          <w:color w:val="000000"/>
          <w:sz w:val="28"/>
          <w:szCs w:val="28"/>
          <w:lang w:val="zh-CN"/>
        </w:rPr>
        <w:t>依照法律、法规的规定，在设区的市级以上人民政府民政部门登记的专门从事环境保护公益活动连续五年以上且无违法记录社会团体、基金会以及社会服务机构等，</w:t>
      </w:r>
      <w:r>
        <w:rPr>
          <w:rFonts w:hint="eastAsia" w:ascii="仿宋_GB2312" w:hAnsi="仿宋_GB2312" w:eastAsia="仿宋_GB2312" w:cs="仿宋_GB2312"/>
          <w:color w:val="000000"/>
          <w:sz w:val="28"/>
          <w:szCs w:val="28"/>
        </w:rPr>
        <w:t>可以向人民法院提起环境民事公益诉讼</w:t>
      </w:r>
      <w:r>
        <w:rPr>
          <w:rFonts w:hint="eastAsia" w:ascii="仿宋_GB2312" w:hAnsi="仿宋_GB2312" w:eastAsia="仿宋_GB2312" w:cs="仿宋_GB2312"/>
          <w:color w:val="000000"/>
          <w:sz w:val="28"/>
          <w:szCs w:val="28"/>
          <w:lang w:val="zh-CN"/>
        </w:rPr>
        <w:t>。</w:t>
      </w:r>
    </w:p>
    <w:p>
      <w:pPr>
        <w:keepNext w:val="0"/>
        <w:keepLines w:val="0"/>
        <w:pageBreakBefore w:val="0"/>
        <w:widowControl w:val="0"/>
        <w:wordWrap/>
        <w:bidi w:val="0"/>
        <w:spacing w:after="0" w:line="500" w:lineRule="exact"/>
        <w:ind w:firstLine="522" w:firstLineChars="200"/>
        <w:jc w:val="both"/>
        <w:rPr>
          <w:rFonts w:hint="eastAsia" w:ascii="仿宋_GB2312" w:hAnsi="仿宋_GB2312" w:eastAsia="仿宋_GB2312" w:cs="仿宋_GB2312"/>
          <w:color w:val="000000"/>
          <w:sz w:val="28"/>
          <w:szCs w:val="28"/>
          <w:lang w:val="zh-CN"/>
        </w:rPr>
      </w:pPr>
      <w:bookmarkStart w:id="359" w:name="No9_T3K1"/>
      <w:bookmarkEnd w:id="359"/>
      <w:bookmarkStart w:id="360" w:name="No8_T3"/>
      <w:bookmarkEnd w:id="360"/>
      <w:r>
        <w:rPr>
          <w:rFonts w:hint="eastAsia" w:ascii="仿宋_GB2312" w:hAnsi="仿宋_GB2312" w:eastAsia="仿宋_GB2312" w:cs="仿宋_GB2312"/>
          <w:color w:val="000000"/>
          <w:sz w:val="28"/>
          <w:szCs w:val="28"/>
          <w:lang w:val="zh-CN"/>
        </w:rPr>
        <w:t>设区的市，自治州、盟、地区，不设区的地级市，直辖市的区以上人民政府民政部门，可以认定</w:t>
      </w:r>
      <w:r>
        <w:rPr>
          <w:rFonts w:hint="eastAsia" w:ascii="仿宋_GB2312" w:hAnsi="仿宋_GB2312" w:eastAsia="仿宋_GB2312" w:cs="仿宋_GB2312"/>
          <w:color w:val="000000"/>
          <w:sz w:val="28"/>
          <w:szCs w:val="28"/>
        </w:rPr>
        <w:t>为</w:t>
      </w:r>
      <w:r>
        <w:rPr>
          <w:rFonts w:hint="eastAsia" w:ascii="仿宋_GB2312" w:hAnsi="仿宋_GB2312" w:eastAsia="仿宋_GB2312" w:cs="仿宋_GB2312"/>
          <w:color w:val="000000"/>
          <w:sz w:val="28"/>
          <w:szCs w:val="28"/>
          <w:lang w:val="zh-CN"/>
        </w:rPr>
        <w:t>“设区的市级以上人民政府民政部门”。</w:t>
      </w:r>
    </w:p>
    <w:p>
      <w:pPr>
        <w:keepNext w:val="0"/>
        <w:keepLines w:val="0"/>
        <w:pageBreakBefore w:val="0"/>
        <w:widowControl w:val="0"/>
        <w:wordWrap/>
        <w:bidi w:val="0"/>
        <w:spacing w:after="0" w:line="500" w:lineRule="exact"/>
        <w:ind w:firstLine="522" w:firstLineChars="200"/>
        <w:jc w:val="both"/>
        <w:rPr>
          <w:rFonts w:hint="eastAsia" w:ascii="仿宋_GB2312" w:hAnsi="仿宋_GB2312" w:eastAsia="仿宋_GB2312" w:cs="仿宋_GB2312"/>
          <w:color w:val="000000"/>
          <w:sz w:val="28"/>
          <w:szCs w:val="28"/>
          <w:lang w:val="zh-CN"/>
        </w:rPr>
      </w:pPr>
      <w:bookmarkStart w:id="361" w:name="No11_T4K1"/>
      <w:bookmarkEnd w:id="361"/>
      <w:bookmarkStart w:id="362" w:name="No10_T4"/>
      <w:bookmarkEnd w:id="362"/>
      <w:r>
        <w:rPr>
          <w:rFonts w:hint="eastAsia" w:ascii="仿宋_GB2312" w:hAnsi="仿宋_GB2312" w:eastAsia="仿宋_GB2312" w:cs="仿宋_GB2312"/>
          <w:color w:val="000000"/>
          <w:sz w:val="28"/>
          <w:szCs w:val="28"/>
          <w:lang w:val="zh-CN"/>
        </w:rPr>
        <w:t>社会组织章程确定的宗旨和主要业务范围是维护社会公共利益，且从事环境保护公益活动的，可以认定为“专门从事环境保护公益活动”。</w:t>
      </w:r>
      <w:bookmarkStart w:id="363" w:name="No12_T4K2"/>
      <w:bookmarkEnd w:id="363"/>
      <w:r>
        <w:rPr>
          <w:rFonts w:hint="eastAsia" w:ascii="仿宋_GB2312" w:hAnsi="仿宋_GB2312" w:eastAsia="仿宋_GB2312" w:cs="仿宋_GB2312"/>
          <w:color w:val="000000"/>
          <w:sz w:val="28"/>
          <w:szCs w:val="28"/>
          <w:lang w:val="zh-CN"/>
        </w:rPr>
        <w:t>社会组织提起的诉讼所涉及的社会公共利益，应与其宗旨和业务范围具有关联性。</w:t>
      </w:r>
    </w:p>
    <w:p>
      <w:pPr>
        <w:keepNext w:val="0"/>
        <w:keepLines w:val="0"/>
        <w:pageBreakBefore w:val="0"/>
        <w:widowControl w:val="0"/>
        <w:wordWrap/>
        <w:bidi w:val="0"/>
        <w:spacing w:after="0" w:line="500" w:lineRule="exact"/>
        <w:ind w:firstLine="522" w:firstLineChars="200"/>
        <w:jc w:val="both"/>
        <w:rPr>
          <w:rFonts w:hint="eastAsia" w:ascii="仿宋_GB2312" w:hAnsi="仿宋_GB2312" w:eastAsia="仿宋_GB2312" w:cs="仿宋_GB2312"/>
          <w:color w:val="000000"/>
          <w:sz w:val="28"/>
          <w:szCs w:val="28"/>
          <w:lang w:val="zh-CN"/>
        </w:rPr>
      </w:pPr>
      <w:bookmarkStart w:id="364" w:name="No13_T5"/>
      <w:bookmarkEnd w:id="364"/>
      <w:bookmarkStart w:id="365" w:name="No14_T5K1"/>
      <w:bookmarkEnd w:id="365"/>
      <w:r>
        <w:rPr>
          <w:rFonts w:hint="eastAsia" w:ascii="仿宋_GB2312" w:hAnsi="仿宋_GB2312" w:eastAsia="仿宋_GB2312" w:cs="仿宋_GB2312"/>
          <w:color w:val="000000"/>
          <w:sz w:val="28"/>
          <w:szCs w:val="28"/>
          <w:lang w:val="zh-CN"/>
        </w:rPr>
        <w:t>社会组织在提起诉讼前五年内未因从事业务活动违反法律、法规的规定受过行政、刑事处罚的，可以认定为“无违法记录”。</w:t>
      </w:r>
    </w:p>
    <w:p>
      <w:pPr>
        <w:keepNext w:val="0"/>
        <w:keepLines w:val="0"/>
        <w:pageBreakBefore w:val="0"/>
        <w:widowControl w:val="0"/>
        <w:wordWrap/>
        <w:bidi w:val="0"/>
        <w:spacing w:after="0" w:line="500" w:lineRule="exact"/>
        <w:ind w:firstLine="522" w:firstLineChars="200"/>
        <w:jc w:val="both"/>
        <w:rPr>
          <w:rFonts w:hint="eastAsia" w:ascii="仿宋_GB2312" w:hAnsi="仿宋_GB2312" w:eastAsia="仿宋_GB2312" w:cs="仿宋_GB2312"/>
          <w:color w:val="000000"/>
          <w:sz w:val="28"/>
          <w:szCs w:val="28"/>
          <w:lang w:val="zh-CN"/>
        </w:rPr>
      </w:pPr>
      <w:bookmarkStart w:id="366" w:name="No23_T8K1"/>
      <w:bookmarkEnd w:id="366"/>
      <w:r>
        <w:rPr>
          <w:rFonts w:hint="eastAsia" w:ascii="仿宋_GB2312" w:hAnsi="仿宋_GB2312" w:eastAsia="仿宋_GB2312" w:cs="仿宋_GB2312"/>
          <w:b/>
          <w:bCs/>
          <w:color w:val="000000"/>
          <w:sz w:val="28"/>
          <w:szCs w:val="28"/>
        </w:rPr>
        <w:t>第十八条</w:t>
      </w:r>
      <w:r>
        <w:rPr>
          <w:rFonts w:hint="eastAsia" w:ascii="仿宋_GB2312" w:hAnsi="仿宋_GB2312" w:eastAsia="仿宋_GB2312" w:cs="仿宋_GB2312"/>
          <w:color w:val="000000"/>
          <w:sz w:val="28"/>
          <w:szCs w:val="28"/>
        </w:rPr>
        <w:t xml:space="preserve">  </w:t>
      </w:r>
      <w:r>
        <w:rPr>
          <w:rFonts w:hint="eastAsia" w:ascii="仿宋_GB2312" w:hAnsi="仿宋_GB2312" w:eastAsia="仿宋_GB2312" w:cs="仿宋_GB2312"/>
          <w:color w:val="000000"/>
          <w:sz w:val="28"/>
          <w:szCs w:val="28"/>
          <w:lang w:val="zh-CN"/>
        </w:rPr>
        <w:t>检察机关、负有环境资源保护监督管理职责的部门及其他机关、社会组织、企业事业单位依据</w:t>
      </w:r>
      <w:r>
        <w:rPr>
          <w:rFonts w:hint="eastAsia" w:ascii="仿宋_GB2312" w:hAnsi="仿宋_GB2312" w:eastAsia="仿宋_GB2312" w:cs="仿宋_GB2312"/>
          <w:color w:val="000000"/>
          <w:sz w:val="28"/>
          <w:szCs w:val="28"/>
          <w:lang w:val="zh-CN"/>
        </w:rPr>
        <w:fldChar w:fldCharType="begin"/>
      </w:r>
      <w:r>
        <w:rPr>
          <w:rFonts w:hint="eastAsia" w:ascii="仿宋_GB2312" w:hAnsi="仿宋_GB2312" w:eastAsia="仿宋_GB2312" w:cs="仿宋_GB2312"/>
          <w:color w:val="000000"/>
          <w:sz w:val="28"/>
          <w:szCs w:val="28"/>
          <w:lang w:val="zh-CN"/>
        </w:rPr>
        <w:instrText xml:space="preserve"> HYPERLINK "https://law.wkinfo.com.cn/document/show?collection=legislation&amp;aid=MTAxMDAxMjQyNjg%3D&amp;language=中文" </w:instrText>
      </w:r>
      <w:r>
        <w:rPr>
          <w:rFonts w:hint="eastAsia" w:ascii="仿宋_GB2312" w:hAnsi="仿宋_GB2312" w:eastAsia="仿宋_GB2312" w:cs="仿宋_GB2312"/>
          <w:color w:val="000000"/>
          <w:sz w:val="28"/>
          <w:szCs w:val="28"/>
          <w:lang w:val="zh-CN"/>
        </w:rPr>
        <w:fldChar w:fldCharType="separate"/>
      </w:r>
      <w:r>
        <w:rPr>
          <w:rFonts w:hint="eastAsia" w:ascii="仿宋_GB2312" w:hAnsi="仿宋_GB2312" w:eastAsia="仿宋_GB2312" w:cs="仿宋_GB2312"/>
          <w:color w:val="000000"/>
          <w:sz w:val="28"/>
          <w:szCs w:val="28"/>
          <w:lang w:val="zh-CN"/>
        </w:rPr>
        <w:t>民事诉讼法</w:t>
      </w:r>
      <w:r>
        <w:rPr>
          <w:rFonts w:hint="eastAsia" w:ascii="仿宋_GB2312" w:hAnsi="仿宋_GB2312" w:eastAsia="仿宋_GB2312" w:cs="仿宋_GB2312"/>
          <w:color w:val="000000"/>
          <w:sz w:val="28"/>
          <w:szCs w:val="28"/>
          <w:lang w:val="zh-CN"/>
        </w:rPr>
        <w:fldChar w:fldCharType="end"/>
      </w:r>
      <w:r>
        <w:rPr>
          <w:rFonts w:hint="eastAsia" w:ascii="仿宋_GB2312" w:hAnsi="仿宋_GB2312" w:eastAsia="仿宋_GB2312" w:cs="仿宋_GB2312"/>
          <w:color w:val="000000"/>
          <w:sz w:val="28"/>
          <w:szCs w:val="28"/>
          <w:lang w:val="zh-CN"/>
        </w:rPr>
        <w:fldChar w:fldCharType="begin"/>
      </w:r>
      <w:r>
        <w:rPr>
          <w:rFonts w:hint="eastAsia" w:ascii="仿宋_GB2312" w:hAnsi="仿宋_GB2312" w:eastAsia="仿宋_GB2312" w:cs="仿宋_GB2312"/>
          <w:color w:val="000000"/>
          <w:sz w:val="28"/>
          <w:szCs w:val="28"/>
          <w:lang w:val="zh-CN"/>
        </w:rPr>
        <w:instrText xml:space="preserve"> HYPERLINK "https://law.wkinfo.com.cn/document/show?collection=legislation&amp;aid=MTAxMDAxMjQyNjg%3D&amp;language=中文" \l "No91_B1Z1T15" </w:instrText>
      </w:r>
      <w:r>
        <w:rPr>
          <w:rFonts w:hint="eastAsia" w:ascii="仿宋_GB2312" w:hAnsi="仿宋_GB2312" w:eastAsia="仿宋_GB2312" w:cs="仿宋_GB2312"/>
          <w:color w:val="000000"/>
          <w:sz w:val="28"/>
          <w:szCs w:val="28"/>
          <w:lang w:val="zh-CN"/>
        </w:rPr>
        <w:fldChar w:fldCharType="separate"/>
      </w:r>
      <w:r>
        <w:rPr>
          <w:rFonts w:hint="eastAsia" w:ascii="仿宋_GB2312" w:hAnsi="仿宋_GB2312" w:eastAsia="仿宋_GB2312" w:cs="仿宋_GB2312"/>
          <w:color w:val="000000"/>
          <w:sz w:val="28"/>
          <w:szCs w:val="28"/>
          <w:lang w:val="zh-CN"/>
        </w:rPr>
        <w:t>第十五条</w:t>
      </w:r>
      <w:r>
        <w:rPr>
          <w:rFonts w:hint="eastAsia" w:ascii="仿宋_GB2312" w:hAnsi="仿宋_GB2312" w:eastAsia="仿宋_GB2312" w:cs="仿宋_GB2312"/>
          <w:color w:val="000000"/>
          <w:sz w:val="28"/>
          <w:szCs w:val="28"/>
          <w:lang w:val="zh-CN"/>
        </w:rPr>
        <w:fldChar w:fldCharType="end"/>
      </w:r>
      <w:r>
        <w:rPr>
          <w:rFonts w:hint="eastAsia" w:ascii="仿宋_GB2312" w:hAnsi="仿宋_GB2312" w:eastAsia="仿宋_GB2312" w:cs="仿宋_GB2312"/>
          <w:color w:val="000000"/>
          <w:sz w:val="28"/>
          <w:szCs w:val="28"/>
          <w:lang w:val="zh-CN"/>
        </w:rPr>
        <w:t>的规定，可以通过提供法律咨询、提交书面意见、协助调查取证等方式支持社会组织依法提起环境民事公益诉讼。</w:t>
      </w:r>
    </w:p>
    <w:p>
      <w:pPr>
        <w:keepNext w:val="0"/>
        <w:keepLines w:val="0"/>
        <w:pageBreakBefore w:val="0"/>
        <w:widowControl w:val="0"/>
        <w:wordWrap/>
        <w:bidi w:val="0"/>
        <w:spacing w:after="0" w:line="500" w:lineRule="exact"/>
        <w:ind w:firstLine="522" w:firstLineChars="200"/>
        <w:jc w:val="both"/>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b/>
          <w:bCs/>
          <w:color w:val="000000"/>
          <w:sz w:val="28"/>
          <w:szCs w:val="28"/>
        </w:rPr>
        <w:t>第十九条</w:t>
      </w:r>
      <w:r>
        <w:rPr>
          <w:rFonts w:hint="eastAsia" w:ascii="仿宋_GB2312" w:hAnsi="仿宋_GB2312" w:eastAsia="仿宋_GB2312" w:cs="仿宋_GB2312"/>
          <w:color w:val="000000"/>
          <w:sz w:val="28"/>
          <w:szCs w:val="28"/>
        </w:rPr>
        <w:t xml:space="preserve">  </w:t>
      </w:r>
      <w:r>
        <w:rPr>
          <w:rFonts w:hint="eastAsia" w:ascii="仿宋_GB2312" w:hAnsi="仿宋_GB2312" w:eastAsia="仿宋_GB2312" w:cs="仿宋_GB2312"/>
          <w:color w:val="000000"/>
          <w:sz w:val="28"/>
          <w:szCs w:val="28"/>
          <w:lang w:val="zh-CN"/>
        </w:rPr>
        <w:t>环境民事公益诉讼案件审理过程中，被告</w:t>
      </w:r>
      <w:r>
        <w:rPr>
          <w:rFonts w:hint="eastAsia" w:ascii="仿宋_GB2312" w:hAnsi="仿宋_GB2312" w:eastAsia="仿宋_GB2312" w:cs="仿宋_GB2312"/>
          <w:color w:val="000000"/>
          <w:sz w:val="28"/>
          <w:szCs w:val="28"/>
        </w:rPr>
        <w:t>及其代理律师不得</w:t>
      </w:r>
      <w:r>
        <w:rPr>
          <w:rFonts w:hint="eastAsia" w:ascii="仿宋_GB2312" w:hAnsi="仿宋_GB2312" w:eastAsia="仿宋_GB2312" w:cs="仿宋_GB2312"/>
          <w:color w:val="000000"/>
          <w:sz w:val="28"/>
          <w:szCs w:val="28"/>
          <w:lang w:val="zh-CN"/>
        </w:rPr>
        <w:t>以反诉方式提出诉讼请求。</w:t>
      </w:r>
    </w:p>
    <w:p>
      <w:pPr>
        <w:keepNext w:val="0"/>
        <w:keepLines w:val="0"/>
        <w:pageBreakBefore w:val="0"/>
        <w:widowControl w:val="0"/>
        <w:wordWrap/>
        <w:bidi w:val="0"/>
        <w:spacing w:after="0" w:line="500" w:lineRule="exact"/>
        <w:ind w:firstLine="522" w:firstLineChars="200"/>
        <w:jc w:val="both"/>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b/>
          <w:bCs/>
          <w:color w:val="000000"/>
          <w:sz w:val="28"/>
          <w:szCs w:val="28"/>
        </w:rPr>
        <w:t xml:space="preserve">第二十条  </w:t>
      </w:r>
      <w:r>
        <w:rPr>
          <w:rFonts w:hint="eastAsia" w:ascii="仿宋_GB2312" w:hAnsi="仿宋_GB2312" w:eastAsia="仿宋_GB2312" w:cs="仿宋_GB2312"/>
          <w:color w:val="000000"/>
          <w:sz w:val="28"/>
          <w:szCs w:val="28"/>
        </w:rPr>
        <w:t>人民法院认为原告提出的诉讼请求不足以保护社会公共利益的，原告及其代理律师</w:t>
      </w:r>
      <w:r>
        <w:rPr>
          <w:rFonts w:hint="eastAsia" w:ascii="仿宋_GB2312" w:hAnsi="仿宋_GB2312" w:eastAsia="仿宋_GB2312" w:cs="仿宋_GB2312"/>
          <w:color w:val="000000"/>
          <w:sz w:val="28"/>
          <w:szCs w:val="28"/>
          <w:lang w:val="zh-CN"/>
        </w:rPr>
        <w:t>可以变更或者增加停止侵害、排除妨碍、消除危险、修复生态环境、赔偿生态环境服务功能损失等诉讼请求，或者增加修复生态环境、赔偿服务功能损失的金额。</w:t>
      </w:r>
    </w:p>
    <w:p>
      <w:pPr>
        <w:pStyle w:val="14"/>
        <w:keepNext w:val="0"/>
        <w:keepLines w:val="0"/>
        <w:pageBreakBefore w:val="0"/>
        <w:widowControl w:val="0"/>
        <w:wordWrap/>
        <w:bidi w:val="0"/>
        <w:spacing w:beforeAutospacing="0" w:after="0" w:afterAutospacing="0" w:line="500" w:lineRule="exact"/>
        <w:ind w:firstLine="522" w:firstLineChars="200"/>
        <w:jc w:val="both"/>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b/>
          <w:bCs/>
          <w:color w:val="000000"/>
          <w:sz w:val="28"/>
          <w:szCs w:val="28"/>
        </w:rPr>
        <w:t xml:space="preserve">第二十一条  </w:t>
      </w:r>
      <w:r>
        <w:rPr>
          <w:rFonts w:hint="eastAsia" w:ascii="仿宋_GB2312" w:hAnsi="仿宋_GB2312" w:eastAsia="仿宋_GB2312" w:cs="仿宋_GB2312"/>
          <w:color w:val="000000"/>
          <w:sz w:val="28"/>
          <w:szCs w:val="28"/>
          <w:lang w:val="zh-CN"/>
        </w:rPr>
        <w:t>在确定生态环境修复方案前，可以咨询负有环境保护监督管理职责的部门、技术专家的意见。生态环境修复方案一般应包含以下内容：生态环境修复目标、技术方案、时限和步骤、投入预算、验收目标和监督方案。</w:t>
      </w:r>
    </w:p>
    <w:p>
      <w:pPr>
        <w:keepNext w:val="0"/>
        <w:keepLines w:val="0"/>
        <w:pageBreakBefore w:val="0"/>
        <w:widowControl w:val="0"/>
        <w:wordWrap/>
        <w:bidi w:val="0"/>
        <w:spacing w:after="0" w:line="500" w:lineRule="exact"/>
        <w:ind w:firstLine="522" w:firstLineChars="200"/>
        <w:jc w:val="both"/>
        <w:rPr>
          <w:rFonts w:ascii="仿宋_GB2312" w:hAnsi="仿宋_GB2312" w:eastAsia="仿宋_GB2312" w:cs="仿宋_GB2312"/>
          <w:color w:val="000000"/>
          <w:sz w:val="28"/>
          <w:szCs w:val="28"/>
        </w:rPr>
      </w:pPr>
      <w:bookmarkStart w:id="367" w:name="No56_T20K2"/>
      <w:bookmarkEnd w:id="367"/>
      <w:r>
        <w:rPr>
          <w:rFonts w:hint="eastAsia" w:ascii="仿宋_GB2312" w:hAnsi="仿宋_GB2312" w:eastAsia="仿宋_GB2312" w:cs="仿宋_GB2312"/>
          <w:b/>
          <w:bCs/>
          <w:color w:val="000000"/>
          <w:sz w:val="28"/>
          <w:szCs w:val="28"/>
        </w:rPr>
        <w:t xml:space="preserve">第二十二条  </w:t>
      </w:r>
      <w:r>
        <w:rPr>
          <w:rFonts w:hint="eastAsia" w:ascii="仿宋_GB2312" w:hAnsi="仿宋_GB2312" w:eastAsia="仿宋_GB2312" w:cs="仿宋_GB2312"/>
          <w:color w:val="000000"/>
          <w:sz w:val="28"/>
          <w:szCs w:val="28"/>
        </w:rPr>
        <w:t>被告支付的生态环境修复费用以及生态环境服务功能损失赔偿金等款项，可以由环境公益诉讼专项基金或者专项资金账户等受领。</w:t>
      </w:r>
    </w:p>
    <w:p>
      <w:pPr>
        <w:keepNext w:val="0"/>
        <w:keepLines w:val="0"/>
        <w:pageBreakBefore w:val="0"/>
        <w:widowControl w:val="0"/>
        <w:wordWrap/>
        <w:bidi w:val="0"/>
        <w:spacing w:after="0" w:line="500" w:lineRule="exact"/>
        <w:ind w:firstLine="522" w:firstLineChars="200"/>
        <w:jc w:val="both"/>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b/>
          <w:bCs/>
          <w:color w:val="000000"/>
          <w:sz w:val="28"/>
          <w:szCs w:val="28"/>
        </w:rPr>
        <w:t>第二十三条</w:t>
      </w:r>
      <w:r>
        <w:rPr>
          <w:rFonts w:hint="eastAsia" w:ascii="仿宋_GB2312" w:hAnsi="仿宋_GB2312" w:eastAsia="仿宋_GB2312" w:cs="仿宋_GB2312"/>
          <w:color w:val="000000"/>
          <w:sz w:val="28"/>
          <w:szCs w:val="28"/>
        </w:rPr>
        <w:t xml:space="preserve">  </w:t>
      </w:r>
      <w:r>
        <w:rPr>
          <w:rFonts w:hint="eastAsia" w:ascii="仿宋_GB2312" w:hAnsi="仿宋_GB2312" w:eastAsia="仿宋_GB2312" w:cs="仿宋_GB2312"/>
          <w:color w:val="000000"/>
          <w:sz w:val="28"/>
          <w:szCs w:val="28"/>
          <w:lang w:val="zh-CN"/>
        </w:rPr>
        <w:t>环境民事公益诉讼当事人达成调解协议或者自行达成和解协议后，人民法院应当将协议内容公告，公告期间不少于三十日。</w:t>
      </w:r>
    </w:p>
    <w:p>
      <w:pPr>
        <w:keepNext w:val="0"/>
        <w:keepLines w:val="0"/>
        <w:pageBreakBefore w:val="0"/>
        <w:widowControl w:val="0"/>
        <w:wordWrap/>
        <w:bidi w:val="0"/>
        <w:spacing w:after="0" w:line="500" w:lineRule="exact"/>
        <w:ind w:firstLine="522" w:firstLineChars="200"/>
        <w:jc w:val="both"/>
        <w:rPr>
          <w:rFonts w:hint="eastAsia" w:ascii="仿宋_GB2312" w:hAnsi="仿宋_GB2312" w:eastAsia="仿宋_GB2312" w:cs="仿宋_GB2312"/>
          <w:color w:val="000000"/>
          <w:sz w:val="28"/>
          <w:szCs w:val="28"/>
          <w:lang w:val="zh-CN"/>
        </w:rPr>
      </w:pPr>
      <w:bookmarkStart w:id="368" w:name="No72_T25K2"/>
      <w:bookmarkEnd w:id="368"/>
      <w:r>
        <w:rPr>
          <w:rFonts w:hint="eastAsia" w:ascii="仿宋_GB2312" w:hAnsi="仿宋_GB2312" w:eastAsia="仿宋_GB2312" w:cs="仿宋_GB2312"/>
          <w:color w:val="000000"/>
          <w:sz w:val="28"/>
          <w:szCs w:val="28"/>
          <w:lang w:val="zh-CN"/>
        </w:rPr>
        <w:t>公告期间届满前，自然人、法人和社会组织认为调解协议或者和解协议不足以保护社会公共利益的，可以向人民法院提出书面异议。经人民法院审查，异议成立的，不予出具调解书；当事人不能重新达成调解协议的，人民法院应对案件继续审理并依法作出裁判。公告期满后，人民法院审查认为调解协议或者和解协议的内容不损害社会公共利益的，应当出具调解书。当事人</w:t>
      </w:r>
      <w:r>
        <w:rPr>
          <w:rFonts w:hint="eastAsia" w:ascii="仿宋_GB2312" w:hAnsi="仿宋_GB2312" w:eastAsia="仿宋_GB2312" w:cs="仿宋_GB2312"/>
          <w:color w:val="000000"/>
          <w:sz w:val="28"/>
          <w:szCs w:val="28"/>
        </w:rPr>
        <w:t>不得以</w:t>
      </w:r>
      <w:r>
        <w:rPr>
          <w:rFonts w:hint="eastAsia" w:ascii="仿宋_GB2312" w:hAnsi="仿宋_GB2312" w:eastAsia="仿宋_GB2312" w:cs="仿宋_GB2312"/>
          <w:color w:val="000000"/>
          <w:sz w:val="28"/>
          <w:szCs w:val="28"/>
          <w:lang w:val="zh-CN"/>
        </w:rPr>
        <w:t>达成和解协议为由申请撤诉。</w:t>
      </w:r>
    </w:p>
    <w:p>
      <w:pPr>
        <w:keepNext w:val="0"/>
        <w:keepLines w:val="0"/>
        <w:pageBreakBefore w:val="0"/>
        <w:widowControl w:val="0"/>
        <w:wordWrap/>
        <w:bidi w:val="0"/>
        <w:spacing w:after="0" w:line="500" w:lineRule="exact"/>
        <w:ind w:firstLine="522" w:firstLineChars="200"/>
        <w:jc w:val="both"/>
        <w:rPr>
          <w:rFonts w:hint="eastAsia" w:ascii="仿宋_GB2312" w:hAnsi="仿宋_GB2312" w:eastAsia="仿宋_GB2312" w:cs="仿宋_GB2312"/>
          <w:color w:val="000000"/>
          <w:sz w:val="28"/>
          <w:szCs w:val="28"/>
          <w:lang w:val="zh-CN"/>
        </w:rPr>
      </w:pPr>
      <w:bookmarkStart w:id="369" w:name="No73_T25K3"/>
      <w:bookmarkEnd w:id="369"/>
      <w:r>
        <w:rPr>
          <w:rFonts w:hint="eastAsia" w:ascii="仿宋_GB2312" w:hAnsi="仿宋_GB2312" w:eastAsia="仿宋_GB2312" w:cs="仿宋_GB2312"/>
          <w:color w:val="000000"/>
          <w:sz w:val="28"/>
          <w:szCs w:val="28"/>
          <w:lang w:val="zh-CN"/>
        </w:rPr>
        <w:t>调解书应当写明诉讼请求、案件的基本事实和协议内容。</w:t>
      </w:r>
    </w:p>
    <w:p>
      <w:pPr>
        <w:keepNext w:val="0"/>
        <w:keepLines w:val="0"/>
        <w:pageBreakBefore w:val="0"/>
        <w:widowControl w:val="0"/>
        <w:wordWrap/>
        <w:bidi w:val="0"/>
        <w:spacing w:after="0" w:line="500" w:lineRule="exact"/>
        <w:ind w:firstLine="522" w:firstLineChars="200"/>
        <w:jc w:val="both"/>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b/>
          <w:bCs/>
          <w:color w:val="000000"/>
          <w:sz w:val="28"/>
          <w:szCs w:val="28"/>
        </w:rPr>
        <w:t>第二十四条</w:t>
      </w:r>
      <w:r>
        <w:rPr>
          <w:rFonts w:hint="eastAsia" w:ascii="仿宋_GB2312" w:hAnsi="仿宋_GB2312" w:eastAsia="仿宋_GB2312" w:cs="仿宋_GB2312"/>
          <w:color w:val="000000"/>
          <w:sz w:val="28"/>
          <w:szCs w:val="28"/>
        </w:rPr>
        <w:t xml:space="preserve">  </w:t>
      </w:r>
      <w:r>
        <w:rPr>
          <w:rFonts w:hint="eastAsia" w:ascii="仿宋_GB2312" w:hAnsi="仿宋_GB2312" w:eastAsia="仿宋_GB2312" w:cs="仿宋_GB2312"/>
          <w:color w:val="000000"/>
          <w:sz w:val="28"/>
          <w:szCs w:val="28"/>
          <w:lang w:val="zh-CN"/>
        </w:rPr>
        <w:t>法庭辩论终结后，原告</w:t>
      </w:r>
      <w:r>
        <w:rPr>
          <w:rFonts w:hint="eastAsia" w:ascii="仿宋_GB2312" w:hAnsi="仿宋_GB2312" w:eastAsia="仿宋_GB2312" w:cs="仿宋_GB2312"/>
          <w:color w:val="000000"/>
          <w:sz w:val="28"/>
          <w:szCs w:val="28"/>
        </w:rPr>
        <w:t>不得</w:t>
      </w:r>
      <w:r>
        <w:rPr>
          <w:rFonts w:hint="eastAsia" w:ascii="仿宋_GB2312" w:hAnsi="仿宋_GB2312" w:eastAsia="仿宋_GB2312" w:cs="仿宋_GB2312"/>
          <w:color w:val="000000"/>
          <w:sz w:val="28"/>
          <w:szCs w:val="28"/>
          <w:lang w:val="zh-CN"/>
        </w:rPr>
        <w:t>申请撤诉，但负有环境资源保护监督管理职责的部门依法履行监管职责而使原告诉讼请求全部实现，原告申请撤诉的除外。</w:t>
      </w:r>
    </w:p>
    <w:p>
      <w:pPr>
        <w:keepNext w:val="0"/>
        <w:keepLines w:val="0"/>
        <w:pageBreakBefore w:val="0"/>
        <w:widowControl w:val="0"/>
        <w:wordWrap/>
        <w:bidi w:val="0"/>
        <w:spacing w:after="0" w:line="500" w:lineRule="exact"/>
        <w:ind w:firstLine="522" w:firstLineChars="200"/>
        <w:jc w:val="both"/>
        <w:rPr>
          <w:rFonts w:hint="eastAsia" w:ascii="仿宋_GB2312" w:hAnsi="仿宋_GB2312" w:eastAsia="仿宋_GB2312" w:cs="仿宋_GB2312"/>
          <w:color w:val="000000"/>
          <w:sz w:val="28"/>
          <w:szCs w:val="28"/>
          <w:lang w:val="zh-CN"/>
        </w:rPr>
      </w:pPr>
    </w:p>
    <w:p>
      <w:pPr>
        <w:keepNext w:val="0"/>
        <w:keepLines w:val="0"/>
        <w:pageBreakBefore w:val="0"/>
        <w:widowControl w:val="0"/>
        <w:wordWrap/>
        <w:bidi w:val="0"/>
        <w:spacing w:after="0" w:line="500" w:lineRule="exact"/>
        <w:jc w:val="center"/>
        <w:rPr>
          <w:rFonts w:hint="eastAsia" w:ascii="黑体" w:hAnsi="黑体" w:eastAsia="黑体" w:cs="黑体"/>
          <w:color w:val="000000"/>
          <w:sz w:val="28"/>
          <w:szCs w:val="28"/>
        </w:rPr>
      </w:pPr>
      <w:r>
        <w:rPr>
          <w:rFonts w:hint="eastAsia" w:ascii="黑体" w:hAnsi="黑体" w:eastAsia="黑体" w:cs="黑体"/>
          <w:color w:val="000000"/>
          <w:sz w:val="28"/>
          <w:szCs w:val="28"/>
        </w:rPr>
        <w:t>第四章  其他</w:t>
      </w:r>
    </w:p>
    <w:p>
      <w:pPr>
        <w:keepNext w:val="0"/>
        <w:keepLines w:val="0"/>
        <w:pageBreakBefore w:val="0"/>
        <w:widowControl w:val="0"/>
        <w:wordWrap/>
        <w:bidi w:val="0"/>
        <w:spacing w:after="0" w:line="500" w:lineRule="exact"/>
        <w:ind w:firstLine="522" w:firstLineChars="200"/>
        <w:jc w:val="both"/>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b/>
          <w:bCs/>
          <w:color w:val="000000"/>
          <w:sz w:val="28"/>
          <w:szCs w:val="28"/>
        </w:rPr>
        <w:t>第二十五条</w:t>
      </w:r>
      <w:r>
        <w:rPr>
          <w:rFonts w:hint="eastAsia" w:ascii="仿宋_GB2312" w:hAnsi="仿宋_GB2312" w:eastAsia="仿宋_GB2312" w:cs="仿宋_GB2312"/>
          <w:color w:val="000000"/>
          <w:sz w:val="28"/>
          <w:szCs w:val="28"/>
        </w:rPr>
        <w:t xml:space="preserve">  </w:t>
      </w:r>
      <w:r>
        <w:rPr>
          <w:rFonts w:hint="eastAsia" w:ascii="仿宋_GB2312" w:hAnsi="仿宋_GB2312" w:eastAsia="仿宋_GB2312" w:cs="仿宋_GB2312"/>
          <w:color w:val="000000"/>
          <w:sz w:val="28"/>
          <w:szCs w:val="28"/>
          <w:lang w:val="zh-CN"/>
        </w:rPr>
        <w:t>当事人</w:t>
      </w:r>
      <w:r>
        <w:rPr>
          <w:rFonts w:hint="eastAsia" w:ascii="仿宋_GB2312" w:hAnsi="仿宋_GB2312" w:eastAsia="仿宋_GB2312" w:cs="仿宋_GB2312"/>
          <w:color w:val="000000"/>
          <w:sz w:val="28"/>
          <w:szCs w:val="28"/>
        </w:rPr>
        <w:t>可以向人民法院</w:t>
      </w:r>
      <w:r>
        <w:rPr>
          <w:rFonts w:hint="eastAsia" w:ascii="仿宋_GB2312" w:hAnsi="仿宋_GB2312" w:eastAsia="仿宋_GB2312" w:cs="仿宋_GB2312"/>
          <w:color w:val="000000"/>
          <w:sz w:val="28"/>
          <w:szCs w:val="28"/>
          <w:lang w:val="zh-CN"/>
        </w:rPr>
        <w:t>申请通知</w:t>
      </w:r>
      <w:r>
        <w:rPr>
          <w:rFonts w:hint="eastAsia" w:ascii="仿宋_GB2312" w:hAnsi="仿宋_GB2312" w:eastAsia="仿宋_GB2312" w:cs="仿宋_GB2312"/>
          <w:color w:val="000000"/>
          <w:sz w:val="28"/>
          <w:szCs w:val="28"/>
        </w:rPr>
        <w:t>一至两名具</w:t>
      </w:r>
      <w:r>
        <w:rPr>
          <w:rFonts w:hint="eastAsia" w:ascii="仿宋_GB2312" w:hAnsi="仿宋_GB2312" w:eastAsia="仿宋_GB2312" w:cs="仿宋_GB2312"/>
          <w:color w:val="000000"/>
          <w:sz w:val="28"/>
          <w:szCs w:val="28"/>
          <w:lang w:val="zh-CN"/>
        </w:rPr>
        <w:t>有专门知识的人出庭，就鉴定人作出的鉴定意见或者</w:t>
      </w:r>
      <w:r>
        <w:rPr>
          <w:rFonts w:hint="eastAsia" w:ascii="仿宋_GB2312" w:hAnsi="仿宋_GB2312" w:eastAsia="仿宋_GB2312" w:cs="仿宋_GB2312"/>
          <w:color w:val="000000"/>
          <w:sz w:val="28"/>
          <w:szCs w:val="28"/>
        </w:rPr>
        <w:t>污染物认定、</w:t>
      </w:r>
      <w:r>
        <w:rPr>
          <w:rFonts w:hint="eastAsia" w:ascii="仿宋_GB2312" w:hAnsi="仿宋_GB2312" w:eastAsia="仿宋_GB2312" w:cs="仿宋_GB2312"/>
          <w:color w:val="000000"/>
          <w:sz w:val="28"/>
          <w:szCs w:val="28"/>
          <w:lang w:val="zh-CN"/>
        </w:rPr>
        <w:t>因果关系、</w:t>
      </w:r>
      <w:r>
        <w:rPr>
          <w:rFonts w:hint="eastAsia" w:ascii="仿宋_GB2312" w:hAnsi="仿宋_GB2312" w:eastAsia="仿宋_GB2312" w:cs="仿宋_GB2312"/>
          <w:color w:val="000000"/>
          <w:sz w:val="28"/>
          <w:szCs w:val="28"/>
        </w:rPr>
        <w:t>损害结果、修复措施</w:t>
      </w:r>
      <w:r>
        <w:rPr>
          <w:rFonts w:hint="eastAsia" w:ascii="仿宋_GB2312" w:hAnsi="仿宋_GB2312" w:eastAsia="仿宋_GB2312" w:cs="仿宋_GB2312"/>
          <w:color w:val="000000"/>
          <w:sz w:val="28"/>
          <w:szCs w:val="28"/>
          <w:lang w:val="zh-CN"/>
        </w:rPr>
        <w:t>等专门性问题提出专家意见。</w:t>
      </w:r>
      <w:bookmarkStart w:id="370" w:name="No44_T15K2"/>
      <w:bookmarkEnd w:id="370"/>
      <w:r>
        <w:rPr>
          <w:rFonts w:hint="eastAsia" w:ascii="仿宋_GB2312" w:hAnsi="仿宋_GB2312" w:eastAsia="仿宋_GB2312" w:cs="仿宋_GB2312"/>
          <w:color w:val="000000"/>
          <w:sz w:val="28"/>
          <w:szCs w:val="28"/>
          <w:lang w:val="zh-CN"/>
        </w:rPr>
        <w:t>专家意见经质证，可以作为认定</w:t>
      </w:r>
      <w:r>
        <w:rPr>
          <w:rFonts w:hint="eastAsia" w:ascii="仿宋_GB2312" w:hAnsi="仿宋_GB2312" w:eastAsia="仿宋_GB2312" w:cs="仿宋_GB2312"/>
          <w:color w:val="000000"/>
          <w:sz w:val="28"/>
          <w:szCs w:val="28"/>
        </w:rPr>
        <w:t>案件</w:t>
      </w:r>
      <w:r>
        <w:rPr>
          <w:rFonts w:hint="eastAsia" w:ascii="仿宋_GB2312" w:hAnsi="仿宋_GB2312" w:eastAsia="仿宋_GB2312" w:cs="仿宋_GB2312"/>
          <w:color w:val="000000"/>
          <w:sz w:val="28"/>
          <w:szCs w:val="28"/>
          <w:lang w:val="zh-CN"/>
        </w:rPr>
        <w:t>事实的根据。</w:t>
      </w:r>
    </w:p>
    <w:p>
      <w:pPr>
        <w:keepNext w:val="0"/>
        <w:keepLines w:val="0"/>
        <w:pageBreakBefore w:val="0"/>
        <w:widowControl w:val="0"/>
        <w:wordWrap/>
        <w:bidi w:val="0"/>
        <w:spacing w:after="0" w:line="500" w:lineRule="exact"/>
        <w:ind w:firstLine="522" w:firstLineChars="200"/>
        <w:jc w:val="both"/>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b/>
          <w:bCs/>
          <w:color w:val="000000"/>
          <w:sz w:val="28"/>
          <w:szCs w:val="28"/>
        </w:rPr>
        <w:t>第二十六条</w:t>
      </w:r>
      <w:r>
        <w:rPr>
          <w:rFonts w:hint="eastAsia" w:ascii="仿宋_GB2312" w:hAnsi="仿宋_GB2312" w:eastAsia="仿宋_GB2312" w:cs="仿宋_GB2312"/>
          <w:color w:val="000000"/>
          <w:sz w:val="28"/>
          <w:szCs w:val="28"/>
        </w:rPr>
        <w:t xml:space="preserve">  </w:t>
      </w:r>
      <w:r>
        <w:rPr>
          <w:rFonts w:hint="eastAsia" w:ascii="仿宋_GB2312" w:hAnsi="仿宋_GB2312" w:eastAsia="仿宋_GB2312" w:cs="仿宋_GB2312"/>
          <w:color w:val="000000"/>
          <w:sz w:val="28"/>
          <w:szCs w:val="28"/>
          <w:lang w:val="zh-CN"/>
        </w:rPr>
        <w:t>对查明环境污染、生态破坏案件事实的专门性问题，可以委托具备相关资格的司法鉴定机构出具鉴定意见或者由负有环境资源保护监督管理职责的部门推荐的机构出具检验报告、检测报告、评估报告或者监测数据。上述报告或数据经质证，可以作为认定案件事实的根据。</w:t>
      </w:r>
    </w:p>
    <w:p>
      <w:pPr>
        <w:keepNext w:val="0"/>
        <w:keepLines w:val="0"/>
        <w:pageBreakBefore w:val="0"/>
        <w:widowControl w:val="0"/>
        <w:wordWrap/>
        <w:bidi w:val="0"/>
        <w:spacing w:after="0" w:line="500" w:lineRule="exact"/>
        <w:ind w:firstLine="522" w:firstLineChars="200"/>
        <w:jc w:val="both"/>
        <w:rPr>
          <w:rFonts w:hint="eastAsia"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第二十七条</w:t>
      </w:r>
      <w:r>
        <w:rPr>
          <w:rFonts w:hint="eastAsia" w:ascii="仿宋_GB2312" w:hAnsi="仿宋_GB2312" w:eastAsia="仿宋_GB2312" w:cs="仿宋_GB2312"/>
          <w:color w:val="000000"/>
          <w:sz w:val="28"/>
          <w:szCs w:val="28"/>
        </w:rPr>
        <w:t xml:space="preserve">  </w:t>
      </w:r>
      <w:r>
        <w:rPr>
          <w:rFonts w:hint="eastAsia" w:ascii="仿宋_GB2312" w:hAnsi="仿宋_GB2312" w:eastAsia="仿宋_GB2312" w:cs="仿宋_GB2312"/>
          <w:color w:val="000000"/>
          <w:sz w:val="28"/>
          <w:szCs w:val="28"/>
          <w:lang w:val="zh-CN"/>
        </w:rPr>
        <w:t>对于突发性或者持续时间较短的环境污染、生态破坏行为，在证据可能灭失或者以后难以取得的情况下，</w:t>
      </w:r>
      <w:r>
        <w:rPr>
          <w:rFonts w:hint="eastAsia" w:ascii="仿宋_GB2312" w:hAnsi="仿宋_GB2312" w:eastAsia="仿宋_GB2312" w:cs="仿宋_GB2312"/>
          <w:color w:val="000000"/>
          <w:sz w:val="28"/>
          <w:szCs w:val="28"/>
        </w:rPr>
        <w:t>原告及其代理律师可以</w:t>
      </w:r>
      <w:r>
        <w:rPr>
          <w:rFonts w:hint="eastAsia" w:ascii="仿宋_GB2312" w:hAnsi="仿宋_GB2312" w:eastAsia="仿宋_GB2312" w:cs="仿宋_GB2312"/>
          <w:color w:val="000000"/>
          <w:sz w:val="28"/>
          <w:szCs w:val="28"/>
          <w:lang w:val="zh-CN"/>
        </w:rPr>
        <w:t>根据</w:t>
      </w:r>
      <w:r>
        <w:rPr>
          <w:rFonts w:hint="eastAsia" w:ascii="仿宋_GB2312" w:hAnsi="仿宋_GB2312" w:eastAsia="仿宋_GB2312" w:cs="仿宋_GB2312"/>
          <w:color w:val="000000"/>
          <w:sz w:val="28"/>
          <w:szCs w:val="28"/>
          <w:lang w:val="zh-CN"/>
        </w:rPr>
        <w:fldChar w:fldCharType="begin"/>
      </w:r>
      <w:r>
        <w:rPr>
          <w:rFonts w:hint="eastAsia" w:ascii="仿宋_GB2312" w:hAnsi="仿宋_GB2312" w:eastAsia="仿宋_GB2312" w:cs="仿宋_GB2312"/>
          <w:color w:val="000000"/>
          <w:sz w:val="28"/>
          <w:szCs w:val="28"/>
          <w:lang w:val="zh-CN"/>
        </w:rPr>
        <w:instrText xml:space="preserve"> HYPERLINK "https://law.wkinfo.com.cn/document/show?collection=legislation&amp;aid=MTAxMDAxMjQyNjg%3D&amp;language=中文" </w:instrText>
      </w:r>
      <w:r>
        <w:rPr>
          <w:rFonts w:hint="eastAsia" w:ascii="仿宋_GB2312" w:hAnsi="仿宋_GB2312" w:eastAsia="仿宋_GB2312" w:cs="仿宋_GB2312"/>
          <w:color w:val="000000"/>
          <w:sz w:val="28"/>
          <w:szCs w:val="28"/>
          <w:lang w:val="zh-CN"/>
        </w:rPr>
        <w:fldChar w:fldCharType="separate"/>
      </w:r>
      <w:r>
        <w:rPr>
          <w:rFonts w:hint="eastAsia" w:ascii="仿宋_GB2312" w:hAnsi="仿宋_GB2312" w:eastAsia="仿宋_GB2312" w:cs="仿宋_GB2312"/>
          <w:color w:val="000000"/>
          <w:sz w:val="28"/>
          <w:szCs w:val="28"/>
          <w:lang w:val="zh-CN"/>
        </w:rPr>
        <w:t>民事诉讼法</w:t>
      </w:r>
      <w:r>
        <w:rPr>
          <w:rFonts w:hint="eastAsia" w:ascii="仿宋_GB2312" w:hAnsi="仿宋_GB2312" w:eastAsia="仿宋_GB2312" w:cs="仿宋_GB2312"/>
          <w:color w:val="000000"/>
          <w:sz w:val="28"/>
          <w:szCs w:val="28"/>
          <w:lang w:val="zh-CN"/>
        </w:rPr>
        <w:fldChar w:fldCharType="end"/>
      </w:r>
      <w:r>
        <w:rPr>
          <w:rFonts w:hint="eastAsia" w:ascii="仿宋_GB2312" w:hAnsi="仿宋_GB2312" w:eastAsia="仿宋_GB2312" w:cs="仿宋_GB2312"/>
          <w:color w:val="000000"/>
          <w:sz w:val="28"/>
          <w:szCs w:val="28"/>
          <w:lang w:val="zh-CN"/>
        </w:rPr>
        <w:fldChar w:fldCharType="begin"/>
      </w:r>
      <w:r>
        <w:rPr>
          <w:rFonts w:hint="eastAsia" w:ascii="仿宋_GB2312" w:hAnsi="仿宋_GB2312" w:eastAsia="仿宋_GB2312" w:cs="仿宋_GB2312"/>
          <w:color w:val="000000"/>
          <w:sz w:val="28"/>
          <w:szCs w:val="28"/>
          <w:lang w:val="zh-CN"/>
        </w:rPr>
        <w:instrText xml:space="preserve"> HYPERLINK "https://law.wkinfo.com.cn/document/show?collection=legislation&amp;aid=MTAxMDAxMjQyNjg%3D&amp;language=中文" \l "No302_B1Z6T81" </w:instrText>
      </w:r>
      <w:r>
        <w:rPr>
          <w:rFonts w:hint="eastAsia" w:ascii="仿宋_GB2312" w:hAnsi="仿宋_GB2312" w:eastAsia="仿宋_GB2312" w:cs="仿宋_GB2312"/>
          <w:color w:val="000000"/>
          <w:sz w:val="28"/>
          <w:szCs w:val="28"/>
          <w:lang w:val="zh-CN"/>
        </w:rPr>
        <w:fldChar w:fldCharType="separate"/>
      </w:r>
      <w:r>
        <w:rPr>
          <w:rFonts w:hint="eastAsia" w:ascii="仿宋_GB2312" w:hAnsi="仿宋_GB2312" w:eastAsia="仿宋_GB2312" w:cs="仿宋_GB2312"/>
          <w:color w:val="000000"/>
          <w:sz w:val="28"/>
          <w:szCs w:val="28"/>
          <w:lang w:val="zh-CN"/>
        </w:rPr>
        <w:t>第八十一条</w:t>
      </w:r>
      <w:r>
        <w:rPr>
          <w:rFonts w:hint="eastAsia" w:ascii="仿宋_GB2312" w:hAnsi="仿宋_GB2312" w:eastAsia="仿宋_GB2312" w:cs="仿宋_GB2312"/>
          <w:color w:val="000000"/>
          <w:sz w:val="28"/>
          <w:szCs w:val="28"/>
          <w:lang w:val="zh-CN"/>
        </w:rPr>
        <w:fldChar w:fldCharType="end"/>
      </w:r>
      <w:r>
        <w:rPr>
          <w:rFonts w:hint="eastAsia" w:ascii="仿宋_GB2312" w:hAnsi="仿宋_GB2312" w:eastAsia="仿宋_GB2312" w:cs="仿宋_GB2312"/>
          <w:color w:val="000000"/>
          <w:sz w:val="28"/>
          <w:szCs w:val="28"/>
          <w:lang w:val="zh-CN"/>
        </w:rPr>
        <w:t>规定申请证据保全。</w:t>
      </w:r>
    </w:p>
    <w:p>
      <w:pPr>
        <w:keepNext w:val="0"/>
        <w:keepLines w:val="0"/>
        <w:pageBreakBefore w:val="0"/>
        <w:widowControl w:val="0"/>
        <w:wordWrap/>
        <w:overflowPunct w:val="0"/>
        <w:bidi w:val="0"/>
        <w:spacing w:line="500" w:lineRule="exact"/>
        <w:jc w:val="center"/>
        <w:rPr>
          <w:rFonts w:hint="eastAsia" w:ascii="方正小标宋简体" w:eastAsia="方正小标宋简体"/>
          <w:b/>
          <w:color w:val="000000"/>
          <w:sz w:val="48"/>
          <w:szCs w:val="48"/>
        </w:rPr>
      </w:pPr>
      <w:r>
        <w:rPr>
          <w:rFonts w:hint="eastAsia" w:ascii="仿宋" w:hAnsi="仿宋" w:eastAsia="仿宋" w:cs="仿宋"/>
          <w:color w:val="000000"/>
          <w:sz w:val="28"/>
          <w:szCs w:val="28"/>
        </w:rPr>
        <w:br w:type="page"/>
      </w:r>
      <w:r>
        <w:rPr>
          <w:sz w:val="48"/>
          <w:szCs w:val="21"/>
        </w:rPr>
        <mc:AlternateContent>
          <mc:Choice Requires="wps">
            <w:drawing>
              <wp:anchor distT="0" distB="0" distL="114300" distR="114300" simplePos="0" relativeHeight="251682816" behindDoc="0" locked="0" layoutInCell="1" allowOverlap="1">
                <wp:simplePos x="0" y="0"/>
                <wp:positionH relativeFrom="column">
                  <wp:posOffset>-340995</wp:posOffset>
                </wp:positionH>
                <wp:positionV relativeFrom="paragraph">
                  <wp:posOffset>5341620</wp:posOffset>
                </wp:positionV>
                <wp:extent cx="1488440" cy="881380"/>
                <wp:effectExtent l="4445" t="4445" r="12065" b="9525"/>
                <wp:wrapNone/>
                <wp:docPr id="78" name="矩形 78"/>
                <wp:cNvGraphicFramePr/>
                <a:graphic xmlns:a="http://schemas.openxmlformats.org/drawingml/2006/main">
                  <a:graphicData uri="http://schemas.microsoft.com/office/word/2010/wordprocessingShape">
                    <wps:wsp>
                      <wps:cNvSpPr/>
                      <wps:spPr>
                        <a:xfrm>
                          <a:off x="0" y="0"/>
                          <a:ext cx="1488440" cy="881380"/>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6.85pt;margin-top:420.6pt;height:69.4pt;width:117.2pt;z-index:251682816;mso-width-relative:page;mso-height-relative:page;" fillcolor="#FFFFFF" filled="t" stroked="t" coordsize="21600,21600" o:gfxdata="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tESRLYAAAACwEAAA8AAAAAAAAAAQAgAAAAIgAAAGRycy9kb3ducmV2Lnht&#10;bFBLAQIUABQAAAAIAIdO4kBtfd8U+QEAACAEAAAOAAAAAAAAAAEAIAAAACcBAABkcnMvZTJvRG9j&#10;LnhtbFBLBQYAAAAABgAGAFkBAACSBQAAAAA=&#10;">
                <v:fill on="t" focussize="0,0"/>
                <v:stroke color="#FFFFFF" joinstyle="miter"/>
                <v:imagedata o:title=""/>
                <o:lock v:ext="edit" aspectratio="f"/>
              </v:rect>
            </w:pict>
          </mc:Fallback>
        </mc:AlternateContent>
      </w:r>
    </w:p>
    <w:p>
      <w:pPr>
        <w:keepNext w:val="0"/>
        <w:keepLines w:val="0"/>
        <w:pageBreakBefore w:val="0"/>
        <w:widowControl w:val="0"/>
        <w:wordWrap/>
        <w:overflowPunct w:val="0"/>
        <w:bidi w:val="0"/>
        <w:spacing w:line="500" w:lineRule="exact"/>
        <w:jc w:val="center"/>
        <w:rPr>
          <w:rFonts w:hint="eastAsia" w:ascii="方正小标宋简体" w:eastAsia="方正小标宋简体"/>
          <w:b/>
          <w:color w:val="000000"/>
          <w:sz w:val="48"/>
          <w:szCs w:val="48"/>
        </w:rPr>
      </w:pPr>
    </w:p>
    <w:p>
      <w:pPr>
        <w:keepNext w:val="0"/>
        <w:keepLines w:val="0"/>
        <w:pageBreakBefore w:val="0"/>
        <w:widowControl w:val="0"/>
        <w:wordWrap/>
        <w:overflowPunct w:val="0"/>
        <w:bidi w:val="0"/>
        <w:spacing w:line="500" w:lineRule="exact"/>
        <w:jc w:val="center"/>
        <w:rPr>
          <w:rFonts w:hint="eastAsia" w:ascii="方正小标宋简体" w:eastAsia="方正小标宋简体"/>
          <w:b/>
          <w:color w:val="000000"/>
          <w:sz w:val="48"/>
          <w:szCs w:val="48"/>
        </w:rPr>
      </w:pPr>
    </w:p>
    <w:p>
      <w:pPr>
        <w:keepNext w:val="0"/>
        <w:keepLines w:val="0"/>
        <w:pageBreakBefore w:val="0"/>
        <w:widowControl w:val="0"/>
        <w:wordWrap/>
        <w:overflowPunct w:val="0"/>
        <w:bidi w:val="0"/>
        <w:spacing w:line="500" w:lineRule="exact"/>
        <w:jc w:val="center"/>
        <w:rPr>
          <w:rFonts w:hint="eastAsia" w:ascii="方正小标宋简体" w:eastAsia="方正小标宋简体"/>
          <w:b/>
          <w:color w:val="000000"/>
          <w:sz w:val="48"/>
          <w:szCs w:val="48"/>
        </w:rPr>
      </w:pPr>
    </w:p>
    <w:p>
      <w:pPr>
        <w:keepNext w:val="0"/>
        <w:keepLines w:val="0"/>
        <w:pageBreakBefore w:val="0"/>
        <w:widowControl w:val="0"/>
        <w:wordWrap/>
        <w:overflowPunct w:val="0"/>
        <w:bidi w:val="0"/>
        <w:spacing w:line="500" w:lineRule="exact"/>
        <w:jc w:val="center"/>
        <w:rPr>
          <w:rFonts w:hint="eastAsia" w:ascii="方正小标宋简体" w:eastAsia="方正小标宋简体"/>
          <w:b/>
          <w:color w:val="000000"/>
          <w:sz w:val="48"/>
          <w:szCs w:val="48"/>
        </w:rPr>
      </w:pPr>
    </w:p>
    <w:p>
      <w:pPr>
        <w:keepNext w:val="0"/>
        <w:keepLines w:val="0"/>
        <w:pageBreakBefore w:val="0"/>
        <w:widowControl w:val="0"/>
        <w:wordWrap/>
        <w:overflowPunct w:val="0"/>
        <w:bidi w:val="0"/>
        <w:spacing w:line="500" w:lineRule="exact"/>
        <w:jc w:val="center"/>
        <w:rPr>
          <w:rFonts w:hint="eastAsia" w:ascii="方正小标宋简体" w:eastAsia="方正小标宋简体"/>
          <w:bCs/>
          <w:color w:val="000000"/>
          <w:sz w:val="48"/>
          <w:szCs w:val="48"/>
        </w:rPr>
      </w:pPr>
    </w:p>
    <w:p>
      <w:pPr>
        <w:keepNext w:val="0"/>
        <w:keepLines w:val="0"/>
        <w:pageBreakBefore w:val="0"/>
        <w:widowControl w:val="0"/>
        <w:wordWrap/>
        <w:overflowPunct w:val="0"/>
        <w:bidi w:val="0"/>
        <w:spacing w:after="0" w:line="500" w:lineRule="exact"/>
        <w:jc w:val="center"/>
        <w:rPr>
          <w:rFonts w:ascii="方正小标宋简体" w:eastAsia="方正小标宋简体"/>
          <w:bCs/>
          <w:color w:val="000000"/>
          <w:sz w:val="40"/>
          <w:szCs w:val="40"/>
        </w:rPr>
      </w:pPr>
      <w:r>
        <w:rPr>
          <w:rFonts w:hint="eastAsia" w:ascii="方正小标宋简体" w:eastAsia="方正小标宋简体"/>
          <w:bCs/>
          <w:color w:val="000000"/>
          <w:sz w:val="40"/>
          <w:szCs w:val="40"/>
        </w:rPr>
        <w:t>律师</w:t>
      </w:r>
      <w:r>
        <w:rPr>
          <w:rFonts w:ascii="方正小标宋简体" w:eastAsia="方正小标宋简体"/>
          <w:bCs/>
          <w:color w:val="000000"/>
          <w:sz w:val="40"/>
          <w:szCs w:val="40"/>
        </w:rPr>
        <w:t>调解工作</w:t>
      </w:r>
      <w:r>
        <w:rPr>
          <w:rFonts w:hint="eastAsia" w:ascii="方正小标宋简体" w:eastAsia="方正小标宋简体"/>
          <w:bCs/>
          <w:color w:val="000000"/>
          <w:sz w:val="40"/>
          <w:szCs w:val="40"/>
        </w:rPr>
        <w:t>操作</w:t>
      </w:r>
      <w:r>
        <w:rPr>
          <w:rFonts w:ascii="方正小标宋简体" w:eastAsia="方正小标宋简体"/>
          <w:bCs/>
          <w:color w:val="000000"/>
          <w:sz w:val="40"/>
          <w:szCs w:val="40"/>
        </w:rPr>
        <w:t>指引</w:t>
      </w:r>
    </w:p>
    <w:p>
      <w:pPr>
        <w:keepNext w:val="0"/>
        <w:keepLines w:val="0"/>
        <w:pageBreakBefore w:val="0"/>
        <w:widowControl w:val="0"/>
        <w:wordWrap/>
        <w:overflowPunct w:val="0"/>
        <w:bidi w:val="0"/>
        <w:spacing w:line="500" w:lineRule="exact"/>
        <w:jc w:val="center"/>
        <w:rPr>
          <w:rFonts w:hint="eastAsia" w:ascii="方正小标宋简体" w:eastAsia="方正小标宋简体"/>
          <w:bCs/>
          <w:color w:val="000000"/>
          <w:sz w:val="40"/>
          <w:szCs w:val="40"/>
        </w:rPr>
      </w:pPr>
      <w:r>
        <w:rPr>
          <w:rFonts w:ascii="方正小标宋简体" w:eastAsia="方正小标宋简体"/>
          <w:bCs/>
          <w:color w:val="000000"/>
          <w:sz w:val="48"/>
          <w:szCs w:val="48"/>
        </w:rPr>
        <w:br w:type="page"/>
      </w:r>
      <w:r>
        <w:rPr>
          <w:sz w:val="28"/>
        </w:rPr>
        <mc:AlternateContent>
          <mc:Choice Requires="wps">
            <w:drawing>
              <wp:anchor distT="0" distB="0" distL="114300" distR="114300" simplePos="0" relativeHeight="251742208" behindDoc="0" locked="0" layoutInCell="1" allowOverlap="1">
                <wp:simplePos x="0" y="0"/>
                <wp:positionH relativeFrom="column">
                  <wp:posOffset>-269875</wp:posOffset>
                </wp:positionH>
                <wp:positionV relativeFrom="paragraph">
                  <wp:posOffset>6690360</wp:posOffset>
                </wp:positionV>
                <wp:extent cx="1227455" cy="751205"/>
                <wp:effectExtent l="0" t="0" r="10795" b="10795"/>
                <wp:wrapNone/>
                <wp:docPr id="63" name="文本框 63"/>
                <wp:cNvGraphicFramePr/>
                <a:graphic xmlns:a="http://schemas.openxmlformats.org/drawingml/2006/main">
                  <a:graphicData uri="http://schemas.microsoft.com/office/word/2010/wordprocessingShape">
                    <wps:wsp>
                      <wps:cNvSpPr txBox="1"/>
                      <wps:spPr>
                        <a:xfrm>
                          <a:off x="0" y="0"/>
                          <a:ext cx="1227455" cy="751205"/>
                        </a:xfrm>
                        <a:prstGeom prst="rect">
                          <a:avLst/>
                        </a:prstGeom>
                        <a:solidFill>
                          <a:srgbClr val="FFFFFF"/>
                        </a:solidFill>
                        <a:ln>
                          <a:noFill/>
                        </a:ln>
                      </wps:spPr>
                      <wps:txbx>
                        <w:txbxContent>
                          <w:p/>
                        </w:txbxContent>
                      </wps:txbx>
                      <wps:bodyPr upright="1"/>
                    </wps:wsp>
                  </a:graphicData>
                </a:graphic>
              </wp:anchor>
            </w:drawing>
          </mc:Choice>
          <mc:Fallback>
            <w:pict>
              <v:shape id="_x0000_s1026" o:spid="_x0000_s1026" o:spt="202" type="#_x0000_t202" style="position:absolute;left:0pt;margin-left:-21.25pt;margin-top:526.8pt;height:59.15pt;width:96.65pt;z-index:251742208;mso-width-relative:page;mso-height-relative:page;" fillcolor="#FFFFFF" filled="t" stroked="f" coordsize="21600,21600" o:gfxdata="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c9R5p2gAAAA0BAAAPAAAAAAAAAAEAIAAAACIAAABkcnMvZG93bnJl&#10;di54bWxQSwECFAAUAAAACACHTuJAS9J5ScIBAAB5AwAADgAAAAAAAAABACAAAAApAQAAZHJzL2Uy&#10;b0RvYy54bWxQSwUGAAAAAAYABgBZAQAAXQUAAAAA&#10;">
                <v:fill on="t" focussize="0,0"/>
                <v:stroke on="f"/>
                <v:imagedata o:title=""/>
                <o:lock v:ext="edit" aspectratio="f"/>
                <v:textbox>
                  <w:txbxContent>
                    <w:p/>
                  </w:txbxContent>
                </v:textbox>
              </v:shape>
            </w:pict>
          </mc:Fallback>
        </mc:AlternateContent>
      </w:r>
      <w:r>
        <w:rPr>
          <w:sz w:val="48"/>
          <w:szCs w:val="21"/>
        </w:rPr>
        <mc:AlternateContent>
          <mc:Choice Requires="wps">
            <w:drawing>
              <wp:anchor distT="0" distB="0" distL="114300" distR="114300" simplePos="0" relativeHeight="251683840" behindDoc="0" locked="0" layoutInCell="1" allowOverlap="1">
                <wp:simplePos x="0" y="0"/>
                <wp:positionH relativeFrom="column">
                  <wp:posOffset>-459740</wp:posOffset>
                </wp:positionH>
                <wp:positionV relativeFrom="paragraph">
                  <wp:posOffset>8082280</wp:posOffset>
                </wp:positionV>
                <wp:extent cx="1619250" cy="976630"/>
                <wp:effectExtent l="5080" t="4445" r="13970" b="9525"/>
                <wp:wrapNone/>
                <wp:docPr id="72" name="矩形 72"/>
                <wp:cNvGraphicFramePr/>
                <a:graphic xmlns:a="http://schemas.openxmlformats.org/drawingml/2006/main">
                  <a:graphicData uri="http://schemas.microsoft.com/office/word/2010/wordprocessingShape">
                    <wps:wsp>
                      <wps:cNvSpPr/>
                      <wps:spPr>
                        <a:xfrm>
                          <a:off x="0" y="0"/>
                          <a:ext cx="1619250" cy="976630"/>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6.2pt;margin-top:636.4pt;height:76.9pt;width:127.5pt;z-index:251683840;mso-width-relative:page;mso-height-relative:page;" fillcolor="#FFFFFF" filled="t" stroked="t" coordsize="21600,21600" o:gfxdata="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CEbW12QAAAA0BAAAPAAAAAAAAAAEAIAAAACIAAABkcnMvZG93bnJldi54&#10;bWxQSwECFAAUAAAACACHTuJAmGTlX/kBAAAgBAAADgAAAAAAAAABACAAAAAoAQAAZHJzL2Uyb0Rv&#10;Yy54bWxQSwUGAAAAAAYABgBZAQAAkwUAAAAA&#10;">
                <v:fill on="t" focussize="0,0"/>
                <v:stroke color="#FFFFFF" joinstyle="miter"/>
                <v:imagedata o:title=""/>
                <o:lock v:ext="edit" aspectratio="f"/>
              </v:rect>
            </w:pict>
          </mc:Fallback>
        </mc:AlternateContent>
      </w:r>
      <w:r>
        <w:rPr>
          <w:rFonts w:ascii="方正小标宋简体" w:eastAsia="方正小标宋简体"/>
          <w:bCs/>
          <w:color w:val="000000"/>
          <w:sz w:val="48"/>
          <w:szCs w:val="48"/>
        </w:rPr>
        <w:br w:type="page"/>
      </w:r>
      <w:r>
        <w:rPr>
          <w:rFonts w:hint="eastAsia" w:ascii="方正小标宋简体" w:eastAsia="方正小标宋简体"/>
          <w:bCs/>
          <w:color w:val="000000"/>
          <w:sz w:val="40"/>
          <w:szCs w:val="40"/>
        </w:rPr>
        <w:t>目    录</w:t>
      </w:r>
    </w:p>
    <w:p>
      <w:pPr>
        <w:keepNext w:val="0"/>
        <w:keepLines w:val="0"/>
        <w:pageBreakBefore w:val="0"/>
        <w:widowControl w:val="0"/>
        <w:wordWrap/>
        <w:overflowPunct w:val="0"/>
        <w:bidi w:val="0"/>
        <w:spacing w:after="0" w:line="500" w:lineRule="exact"/>
        <w:jc w:val="center"/>
        <w:rPr>
          <w:rFonts w:hint="eastAsia" w:ascii="仿宋" w:hAnsi="仿宋" w:eastAsia="仿宋" w:cs="仿宋"/>
          <w:bCs/>
          <w:color w:val="000000"/>
          <w:sz w:val="28"/>
          <w:szCs w:val="28"/>
        </w:rPr>
      </w:pPr>
    </w:p>
    <w:p>
      <w:pPr>
        <w:keepNext w:val="0"/>
        <w:keepLines w:val="0"/>
        <w:pageBreakBefore w:val="0"/>
        <w:widowControl w:val="0"/>
        <w:numPr>
          <w:ilvl w:val="0"/>
          <w:numId w:val="193"/>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总则</w:t>
      </w:r>
    </w:p>
    <w:p>
      <w:pPr>
        <w:keepNext w:val="0"/>
        <w:keepLines w:val="0"/>
        <w:pageBreakBefore w:val="0"/>
        <w:widowControl w:val="0"/>
        <w:numPr>
          <w:ilvl w:val="0"/>
          <w:numId w:val="193"/>
        </w:numPr>
        <w:wordWrap/>
        <w:bidi w:val="0"/>
        <w:spacing w:after="0"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第二章 律师调解机构</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第三章  律师调解员</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bCs/>
          <w:color w:val="000000"/>
          <w:sz w:val="28"/>
          <w:szCs w:val="28"/>
        </w:rPr>
      </w:pPr>
      <w:r>
        <w:rPr>
          <w:rFonts w:hint="eastAsia" w:ascii="仿宋_GB2312" w:hAnsi="仿宋" w:eastAsia="仿宋_GB2312" w:cs="仿宋"/>
          <w:bCs/>
          <w:color w:val="000000"/>
          <w:sz w:val="28"/>
          <w:szCs w:val="28"/>
        </w:rPr>
        <w:t>第四章  调解程序</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第五章  附则</w:t>
      </w:r>
    </w:p>
    <w:p>
      <w:pPr>
        <w:keepNext w:val="0"/>
        <w:keepLines w:val="0"/>
        <w:pageBreakBefore w:val="0"/>
        <w:widowControl w:val="0"/>
        <w:wordWrap/>
        <w:overflowPunct w:val="0"/>
        <w:bidi w:val="0"/>
        <w:spacing w:line="500" w:lineRule="exact"/>
        <w:jc w:val="center"/>
        <w:rPr>
          <w:rFonts w:ascii="方正小标宋简体" w:eastAsia="方正小标宋简体"/>
          <w:bCs/>
          <w:color w:val="000000"/>
          <w:sz w:val="40"/>
          <w:szCs w:val="40"/>
        </w:rPr>
      </w:pPr>
      <w:r>
        <w:rPr>
          <w:rFonts w:hint="eastAsia" w:ascii="黑体" w:hAnsi="黑体" w:eastAsia="黑体" w:cs="宋体"/>
          <w:bCs/>
          <w:color w:val="000000"/>
          <w:sz w:val="28"/>
          <w:szCs w:val="28"/>
        </w:rPr>
        <w:br w:type="page"/>
      </w:r>
      <w:r>
        <w:rPr>
          <w:sz w:val="48"/>
          <w:szCs w:val="21"/>
        </w:rPr>
        <mc:AlternateContent>
          <mc:Choice Requires="wps">
            <w:drawing>
              <wp:anchor distT="0" distB="0" distL="114300" distR="114300" simplePos="0" relativeHeight="251691008" behindDoc="0" locked="0" layoutInCell="1" allowOverlap="1">
                <wp:simplePos x="0" y="0"/>
                <wp:positionH relativeFrom="column">
                  <wp:posOffset>-459740</wp:posOffset>
                </wp:positionH>
                <wp:positionV relativeFrom="paragraph">
                  <wp:posOffset>6634480</wp:posOffset>
                </wp:positionV>
                <wp:extent cx="1619250" cy="976630"/>
                <wp:effectExtent l="5080" t="4445" r="13970" b="9525"/>
                <wp:wrapNone/>
                <wp:docPr id="64" name="矩形 64"/>
                <wp:cNvGraphicFramePr/>
                <a:graphic xmlns:a="http://schemas.openxmlformats.org/drawingml/2006/main">
                  <a:graphicData uri="http://schemas.microsoft.com/office/word/2010/wordprocessingShape">
                    <wps:wsp>
                      <wps:cNvSpPr/>
                      <wps:spPr>
                        <a:xfrm>
                          <a:off x="0" y="0"/>
                          <a:ext cx="1619250" cy="976630"/>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6.2pt;margin-top:522.4pt;height:76.9pt;width:127.5pt;z-index:251691008;mso-width-relative:page;mso-height-relative:page;" fillcolor="#FFFFFF" filled="t" stroked="t" coordsize="21600,21600" o:gfxdata="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Mjo3k2QAAAA0BAAAPAAAAAAAAAAEAIAAAACIAAABkcnMvZG93bnJldi54&#10;bWxQSwECFAAUAAAACACHTuJAyhChC/kBAAAgBAAADgAAAAAAAAABACAAAAAoAQAAZHJzL2Uyb0Rv&#10;Yy54bWxQSwUGAAAAAAYABgBZAQAAkwUAAAAA&#10;">
                <v:fill on="t" focussize="0,0"/>
                <v:stroke color="#FFFFFF" joinstyle="miter"/>
                <v:imagedata o:title=""/>
                <o:lock v:ext="edit" aspectratio="f"/>
              </v:rect>
            </w:pict>
          </mc:Fallback>
        </mc:AlternateContent>
      </w:r>
      <w:r>
        <w:rPr>
          <w:rFonts w:hint="eastAsia" w:ascii="方正小标宋简体" w:eastAsia="方正小标宋简体"/>
          <w:bCs/>
          <w:color w:val="000000"/>
          <w:sz w:val="40"/>
          <w:szCs w:val="40"/>
        </w:rPr>
        <w:t>律师</w:t>
      </w:r>
      <w:r>
        <w:rPr>
          <w:rFonts w:ascii="方正小标宋简体" w:eastAsia="方正小标宋简体"/>
          <w:bCs/>
          <w:color w:val="000000"/>
          <w:sz w:val="40"/>
          <w:szCs w:val="40"/>
        </w:rPr>
        <w:t>调解工作</w:t>
      </w:r>
      <w:r>
        <w:rPr>
          <w:rFonts w:hint="eastAsia" w:ascii="方正小标宋简体" w:eastAsia="方正小标宋简体"/>
          <w:bCs/>
          <w:color w:val="000000"/>
          <w:sz w:val="40"/>
          <w:szCs w:val="40"/>
        </w:rPr>
        <w:t>操作</w:t>
      </w:r>
      <w:r>
        <w:rPr>
          <w:rFonts w:ascii="方正小标宋简体" w:eastAsia="方正小标宋简体"/>
          <w:bCs/>
          <w:color w:val="000000"/>
          <w:sz w:val="40"/>
          <w:szCs w:val="40"/>
        </w:rPr>
        <w:t>指引</w:t>
      </w:r>
    </w:p>
    <w:p>
      <w:pPr>
        <w:keepNext w:val="0"/>
        <w:keepLines w:val="0"/>
        <w:pageBreakBefore w:val="0"/>
        <w:widowControl w:val="0"/>
        <w:wordWrap/>
        <w:bidi w:val="0"/>
        <w:spacing w:line="500" w:lineRule="exact"/>
        <w:ind w:firstLine="522" w:firstLineChars="200"/>
        <w:jc w:val="center"/>
        <w:rPr>
          <w:rFonts w:hint="eastAsia" w:ascii="黑体" w:hAnsi="黑体" w:eastAsia="黑体" w:cs="宋体"/>
          <w:color w:val="000000"/>
          <w:sz w:val="28"/>
          <w:szCs w:val="28"/>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黑体" w:hAnsi="黑体" w:eastAsia="黑体" w:cs="宋体"/>
          <w:color w:val="000000"/>
          <w:sz w:val="28"/>
          <w:szCs w:val="28"/>
        </w:rPr>
      </w:pPr>
      <w:r>
        <w:rPr>
          <w:rFonts w:hint="eastAsia" w:ascii="黑体" w:hAnsi="黑体" w:eastAsia="黑体" w:cs="宋体"/>
          <w:color w:val="000000"/>
          <w:sz w:val="28"/>
          <w:szCs w:val="28"/>
        </w:rPr>
        <w:t>第一章  总则</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第一条</w:t>
      </w:r>
      <w:r>
        <w:rPr>
          <w:rFonts w:hint="eastAsia" w:ascii="仿宋_GB2312" w:hAnsi="仿宋" w:eastAsia="仿宋_GB2312" w:cs="仿宋"/>
          <w:color w:val="000000"/>
          <w:sz w:val="28"/>
          <w:szCs w:val="28"/>
        </w:rPr>
        <w:t xml:space="preserve">  为贯彻落实最高人民法院、司法部《关于开展律师调解试点工作的意见》以及湖南省高级人民法院、湖南省司法厅《关于开展律师调解试点工作的实施意见》，充分发挥律师在预防和化解矛盾纠纷中的专业优势、职业优势和实践优势，推动形成多元化纠纷解决体系，特制定本指引。</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第二条</w:t>
      </w:r>
      <w:r>
        <w:rPr>
          <w:rFonts w:hint="eastAsia" w:ascii="仿宋_GB2312" w:hAnsi="仿宋" w:eastAsia="仿宋_GB2312" w:cs="仿宋"/>
          <w:color w:val="000000"/>
          <w:sz w:val="28"/>
          <w:szCs w:val="28"/>
        </w:rPr>
        <w:t xml:space="preserve">  律师调解是由律师、依法成立的律师调解工作室或者律师调解中心作为中立第三方主持调解各类民商事纠纷，协助纠纷各方当事人通过自愿协商达成协议解决争议的活动。</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第三条</w:t>
      </w:r>
      <w:r>
        <w:rPr>
          <w:rFonts w:hint="eastAsia" w:ascii="仿宋_GB2312" w:hAnsi="仿宋" w:eastAsia="仿宋_GB2312" w:cs="仿宋"/>
          <w:color w:val="000000"/>
          <w:sz w:val="28"/>
          <w:szCs w:val="28"/>
        </w:rPr>
        <w:t xml:space="preserve">  存在下列情形的纠纷，律师不得进行调解：</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（一）婚姻关系、身份关系确认纠纷及其他所涉法律关系依法规定不能调解的；</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（二）当事人下落不明，需要公告送达的；</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（三）当事人在国外或者境外，且无法通过视频等其他方式有效进行调解的；</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（四）属于《中华人民共和国民事诉讼法》第一百二十四条规定情形的；</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（五）其他无法调解的情形。</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第四条</w:t>
      </w:r>
      <w:r>
        <w:rPr>
          <w:rFonts w:hint="eastAsia" w:ascii="仿宋_GB2312" w:hAnsi="仿宋" w:eastAsia="仿宋_GB2312" w:cs="仿宋"/>
          <w:color w:val="000000"/>
          <w:sz w:val="28"/>
          <w:szCs w:val="28"/>
        </w:rPr>
        <w:t xml:space="preserve">  律师调解应当坚持以下原则：</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坚持依法调解。</w:t>
      </w:r>
      <w:r>
        <w:rPr>
          <w:rFonts w:hint="eastAsia" w:ascii="仿宋_GB2312" w:hAnsi="仿宋" w:eastAsia="仿宋_GB2312" w:cs="仿宋"/>
          <w:color w:val="000000"/>
          <w:sz w:val="28"/>
          <w:szCs w:val="28"/>
        </w:rPr>
        <w:t>律师调解工作应当依法进行,不得违反法律法规的禁止性规定,不得损害国家利益、社会公共利益和当事人及其他利害关系人的合法权益。</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坚持平等自愿。</w:t>
      </w:r>
      <w:r>
        <w:rPr>
          <w:rFonts w:hint="eastAsia" w:ascii="仿宋_GB2312" w:hAnsi="仿宋" w:eastAsia="仿宋_GB2312" w:cs="仿宋"/>
          <w:color w:val="000000"/>
          <w:sz w:val="28"/>
          <w:szCs w:val="28"/>
        </w:rPr>
        <w:t>律师开展调解工作,应当充分尊重各方当事人的意愿,尊重当事人对解决纠纷程序的选择权,保障其诉讼权利。</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坚持调解中立。</w:t>
      </w:r>
      <w:r>
        <w:rPr>
          <w:rFonts w:hint="eastAsia" w:ascii="仿宋_GB2312" w:hAnsi="仿宋" w:eastAsia="仿宋_GB2312" w:cs="仿宋"/>
          <w:color w:val="000000"/>
          <w:sz w:val="28"/>
          <w:szCs w:val="28"/>
        </w:rPr>
        <w:t>律师调解应当保持中立,不得有偏向任何一方当事人的言行,维护调解结果的客观性、公正性和可接受性。</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坚持调解保密。</w:t>
      </w:r>
      <w:r>
        <w:rPr>
          <w:rFonts w:hint="eastAsia" w:ascii="仿宋_GB2312" w:hAnsi="仿宋" w:eastAsia="仿宋_GB2312" w:cs="仿宋"/>
          <w:color w:val="000000"/>
          <w:sz w:val="28"/>
          <w:szCs w:val="28"/>
        </w:rPr>
        <w:t>除当事人一致同意或法律另有规定的外,调解事项、调解过程、调解协议内容等一律不公开,不得泄露当事人的个人隐私或商业秘密。</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坚持便捷高效。</w:t>
      </w:r>
      <w:r>
        <w:rPr>
          <w:rFonts w:hint="eastAsia" w:ascii="仿宋_GB2312" w:hAnsi="仿宋" w:eastAsia="仿宋_GB2312" w:cs="仿宋"/>
          <w:color w:val="000000"/>
          <w:sz w:val="28"/>
          <w:szCs w:val="28"/>
        </w:rPr>
        <w:t>律师运用专业知识开展调解工作,应当注重工作效率,根据纠纷的实际情况,灵活确定调解方式方法和程序,建立便捷高效的工作机制。</w:t>
      </w:r>
    </w:p>
    <w:p>
      <w:pPr>
        <w:keepNext w:val="0"/>
        <w:keepLines w:val="0"/>
        <w:pageBreakBefore w:val="0"/>
        <w:widowControl w:val="0"/>
        <w:wordWrap/>
        <w:bidi w:val="0"/>
        <w:spacing w:after="0" w:line="500" w:lineRule="exact"/>
        <w:ind w:firstLine="522" w:firstLineChars="200"/>
        <w:jc w:val="both"/>
        <w:rPr>
          <w:rFonts w:hint="eastAsia" w:ascii="仿宋_GB2312" w:hAnsi="黑体" w:eastAsia="仿宋_GB2312" w:cs="黑体"/>
          <w:color w:val="000000"/>
          <w:sz w:val="28"/>
          <w:szCs w:val="28"/>
        </w:rPr>
      </w:pPr>
      <w:r>
        <w:rPr>
          <w:rFonts w:hint="eastAsia" w:ascii="仿宋_GB2312" w:hAnsi="仿宋" w:eastAsia="仿宋_GB2312" w:cs="仿宋"/>
          <w:b/>
          <w:color w:val="000000"/>
          <w:sz w:val="28"/>
          <w:szCs w:val="28"/>
        </w:rPr>
        <w:t>坚持有效对接。</w:t>
      </w:r>
      <w:r>
        <w:rPr>
          <w:rFonts w:hint="eastAsia" w:ascii="仿宋_GB2312" w:hAnsi="仿宋" w:eastAsia="仿宋_GB2312" w:cs="仿宋"/>
          <w:color w:val="000000"/>
          <w:sz w:val="28"/>
          <w:szCs w:val="28"/>
        </w:rPr>
        <w:t>加强律师调解与人民调解、行政调解、行业调解、商事调解、诉讼调解等有机衔接,充分发挥各自特点和优势,形成程序衔接、优势互补、协作配合的纠纷解决机制。</w:t>
      </w:r>
    </w:p>
    <w:p>
      <w:pPr>
        <w:keepNext w:val="0"/>
        <w:keepLines w:val="0"/>
        <w:pageBreakBefore w:val="0"/>
        <w:widowControl w:val="0"/>
        <w:wordWrap/>
        <w:bidi w:val="0"/>
        <w:spacing w:after="0" w:line="500" w:lineRule="exact"/>
        <w:jc w:val="center"/>
        <w:rPr>
          <w:rFonts w:hint="eastAsia" w:ascii="黑体" w:hAnsi="黑体" w:eastAsia="黑体" w:cs="黑体"/>
          <w:color w:val="000000"/>
          <w:sz w:val="28"/>
          <w:szCs w:val="28"/>
        </w:rPr>
      </w:pPr>
    </w:p>
    <w:p>
      <w:pPr>
        <w:keepNext w:val="0"/>
        <w:keepLines w:val="0"/>
        <w:pageBreakBefore w:val="0"/>
        <w:widowControl w:val="0"/>
        <w:wordWrap/>
        <w:bidi w:val="0"/>
        <w:spacing w:after="0" w:line="500" w:lineRule="exact"/>
        <w:jc w:val="center"/>
        <w:rPr>
          <w:rFonts w:hint="eastAsia" w:ascii="黑体" w:hAnsi="黑体" w:eastAsia="黑体" w:cs="黑体"/>
          <w:color w:val="000000"/>
          <w:sz w:val="28"/>
          <w:szCs w:val="28"/>
        </w:rPr>
      </w:pPr>
      <w:r>
        <w:rPr>
          <w:rFonts w:hint="eastAsia" w:ascii="黑体" w:hAnsi="黑体" w:eastAsia="黑体" w:cs="黑体"/>
          <w:color w:val="000000"/>
          <w:sz w:val="28"/>
          <w:szCs w:val="28"/>
        </w:rPr>
        <w:br w:type="page"/>
      </w:r>
      <w:r>
        <w:rPr>
          <w:rFonts w:hint="eastAsia" w:ascii="黑体" w:hAnsi="黑体" w:eastAsia="黑体" w:cs="黑体"/>
          <w:color w:val="000000"/>
          <w:sz w:val="28"/>
          <w:szCs w:val="28"/>
        </w:rPr>
        <w:t>第二章  律师调解机构</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第五条</w:t>
      </w:r>
      <w:r>
        <w:rPr>
          <w:rFonts w:hint="eastAsia" w:ascii="仿宋_GB2312" w:hAnsi="仿宋" w:eastAsia="仿宋_GB2312" w:cs="仿宋"/>
          <w:color w:val="000000"/>
          <w:sz w:val="28"/>
          <w:szCs w:val="28"/>
        </w:rPr>
        <w:t xml:space="preserve">  人民法院在诉讼服务中心设立律师调解工作室，律师协会、法律援助机构、律师事务所根据人民法院工作需要，统一向律师调解工作室派驻律师。</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第六条</w:t>
      </w:r>
      <w:r>
        <w:rPr>
          <w:rFonts w:hint="eastAsia" w:ascii="仿宋_GB2312" w:hAnsi="仿宋" w:eastAsia="仿宋_GB2312" w:cs="仿宋"/>
          <w:color w:val="000000"/>
          <w:sz w:val="28"/>
          <w:szCs w:val="28"/>
        </w:rPr>
        <w:t xml:space="preserve">  公共法律服务中心设立专门的律师调解工作室，由公共法律服务中心指派律师调解员提供公益性调解服务。</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第七条</w:t>
      </w:r>
      <w:r>
        <w:rPr>
          <w:rFonts w:hint="eastAsia" w:ascii="仿宋_GB2312" w:hAnsi="仿宋" w:eastAsia="仿宋_GB2312" w:cs="仿宋"/>
          <w:color w:val="000000"/>
          <w:sz w:val="28"/>
          <w:szCs w:val="28"/>
        </w:rPr>
        <w:t xml:space="preserve">  律师协会设立律师调解中心，律师调解中心在律师协会的指导下，组织律师作为调解员，受理当事人申请或人民法院移送的案件，进行调解，及时化解矛盾纠纷。</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第八条</w:t>
      </w:r>
      <w:r>
        <w:rPr>
          <w:rFonts w:hint="eastAsia" w:ascii="仿宋_GB2312" w:hAnsi="仿宋" w:eastAsia="仿宋_GB2312" w:cs="仿宋"/>
          <w:color w:val="000000"/>
          <w:sz w:val="28"/>
          <w:szCs w:val="28"/>
        </w:rPr>
        <w:t xml:space="preserve">  律师事务所设立律师调解工作室，组建律师调解队伍，将接受当事人申请调解作为一项律师业务开展，同时承接人民法院、行政机关委托的调解案件。</w:t>
      </w:r>
    </w:p>
    <w:p>
      <w:pPr>
        <w:keepNext w:val="0"/>
        <w:keepLines w:val="0"/>
        <w:pageBreakBefore w:val="0"/>
        <w:widowControl w:val="0"/>
        <w:wordWrap/>
        <w:bidi w:val="0"/>
        <w:spacing w:after="0" w:line="500" w:lineRule="exact"/>
        <w:jc w:val="center"/>
        <w:rPr>
          <w:rFonts w:hint="eastAsia" w:ascii="黑体" w:hAnsi="黑体" w:eastAsia="黑体" w:cs="黑体"/>
          <w:color w:val="000000"/>
          <w:sz w:val="28"/>
          <w:szCs w:val="28"/>
        </w:rPr>
      </w:pPr>
    </w:p>
    <w:p>
      <w:pPr>
        <w:keepNext w:val="0"/>
        <w:keepLines w:val="0"/>
        <w:pageBreakBefore w:val="0"/>
        <w:widowControl w:val="0"/>
        <w:wordWrap/>
        <w:bidi w:val="0"/>
        <w:spacing w:after="0" w:line="500" w:lineRule="exact"/>
        <w:jc w:val="center"/>
        <w:rPr>
          <w:rFonts w:hint="eastAsia" w:ascii="黑体" w:hAnsi="黑体" w:eastAsia="黑体" w:cs="黑体"/>
          <w:color w:val="000000"/>
          <w:sz w:val="28"/>
          <w:szCs w:val="28"/>
        </w:rPr>
      </w:pPr>
      <w:r>
        <w:rPr>
          <w:rFonts w:hint="eastAsia" w:ascii="黑体" w:hAnsi="黑体" w:eastAsia="黑体" w:cs="黑体"/>
          <w:color w:val="000000"/>
          <w:sz w:val="28"/>
          <w:szCs w:val="28"/>
        </w:rPr>
        <w:t>第三章  律师调解员</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第九条</w:t>
      </w:r>
      <w:r>
        <w:rPr>
          <w:rFonts w:hint="eastAsia" w:ascii="仿宋_GB2312" w:hAnsi="仿宋" w:eastAsia="仿宋_GB2312" w:cs="仿宋"/>
          <w:color w:val="000000"/>
          <w:sz w:val="28"/>
          <w:szCs w:val="28"/>
        </w:rPr>
        <w:t xml:space="preserve">  律师调解员应当具备以下条件：</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（一）拥护中国共产党的领导，拥护社会主义法治，坚持正确的政治方向；</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（二）执业3年以上，且每年一般应独立承办案件5件以上；</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（三）近3年来未受过司法行政机关行政处罚和律师协会行业处分，无其他不良记录；</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（四）有较高的专业素养和较丰富的调解工作经验，自愿接受调解机构委派或当事人委托开展调解工作。</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第十条</w:t>
      </w:r>
      <w:r>
        <w:rPr>
          <w:rFonts w:hint="eastAsia" w:ascii="仿宋_GB2312" w:hAnsi="仿宋" w:eastAsia="仿宋_GB2312" w:cs="仿宋"/>
          <w:color w:val="000000"/>
          <w:sz w:val="28"/>
          <w:szCs w:val="28"/>
        </w:rPr>
        <w:t xml:space="preserve">  律师在中止会员权利、停止执业期间内，不得担任律师调解员。</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第十一条</w:t>
      </w:r>
      <w:r>
        <w:rPr>
          <w:rFonts w:hint="eastAsia" w:ascii="仿宋_GB2312" w:hAnsi="仿宋" w:eastAsia="仿宋_GB2312" w:cs="仿宋"/>
          <w:color w:val="000000"/>
          <w:sz w:val="28"/>
          <w:szCs w:val="28"/>
          <w:lang w:val="en-US" w:eastAsia="zh-CN"/>
        </w:rPr>
        <w:t xml:space="preserve"> </w:t>
      </w:r>
      <w:r>
        <w:rPr>
          <w:rFonts w:hint="eastAsia" w:ascii="仿宋_GB2312" w:hAnsi="仿宋" w:eastAsia="仿宋_GB2312" w:cs="仿宋"/>
          <w:color w:val="000000"/>
          <w:sz w:val="28"/>
          <w:szCs w:val="28"/>
        </w:rPr>
        <w:t xml:space="preserve"> 律师申请在人民法院诉讼服务中心、公共法律服务中心、律师协会、律师事务所设立的律师调解工作室担任调解员，参照湘司发〔2017〕24号文件执行。</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 xml:space="preserve">第十二条 </w:t>
      </w:r>
      <w:r>
        <w:rPr>
          <w:rFonts w:hint="eastAsia" w:ascii="仿宋_GB2312" w:hAnsi="仿宋" w:eastAsia="仿宋_GB2312" w:cs="仿宋"/>
          <w:b/>
          <w:color w:val="000000"/>
          <w:sz w:val="28"/>
          <w:szCs w:val="28"/>
          <w:lang w:val="en-US" w:eastAsia="zh-CN"/>
        </w:rPr>
        <w:t xml:space="preserve"> </w:t>
      </w:r>
      <w:r>
        <w:rPr>
          <w:rFonts w:hint="eastAsia" w:ascii="仿宋_GB2312" w:hAnsi="仿宋" w:eastAsia="仿宋_GB2312" w:cs="仿宋"/>
          <w:color w:val="000000"/>
          <w:sz w:val="28"/>
          <w:szCs w:val="28"/>
        </w:rPr>
        <w:t>律师调解员应根据调解机构要求每年度完成业务培训，并接受调解机构的工作监督与指导。</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第十三条</w:t>
      </w:r>
      <w:r>
        <w:rPr>
          <w:rFonts w:hint="eastAsia" w:ascii="仿宋_GB2312" w:hAnsi="仿宋" w:eastAsia="仿宋_GB2312" w:cs="仿宋"/>
          <w:color w:val="000000"/>
          <w:sz w:val="28"/>
          <w:szCs w:val="28"/>
        </w:rPr>
        <w:t xml:space="preserve">  律师可以接受调解机构的指派或当事人的委托，担任民商事纠纷的调解员。</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第十四条</w:t>
      </w:r>
      <w:r>
        <w:rPr>
          <w:rFonts w:hint="eastAsia" w:ascii="仿宋_GB2312" w:hAnsi="仿宋" w:eastAsia="仿宋_GB2312" w:cs="仿宋"/>
          <w:b/>
          <w:color w:val="000000"/>
          <w:sz w:val="28"/>
          <w:szCs w:val="28"/>
          <w:lang w:val="en-US" w:eastAsia="zh-CN"/>
        </w:rPr>
        <w:t xml:space="preserve">  </w:t>
      </w:r>
      <w:r>
        <w:rPr>
          <w:rFonts w:hint="eastAsia" w:ascii="仿宋_GB2312" w:hAnsi="仿宋" w:eastAsia="仿宋_GB2312" w:cs="仿宋"/>
          <w:color w:val="000000"/>
          <w:sz w:val="28"/>
          <w:szCs w:val="28"/>
        </w:rPr>
        <w:t>有下列情形之一的，律师调解员应主动提出回避，但各方当事人同意由该律师调解员继续调解的除外：</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（一）是本纠纷当事人或者当事人、代理人的近亲属；</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（二）与本纠纷有利害关系；</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（三）与本纠纷当事人、代理人有其他关系，可能影响该纠纷调解的。</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第十五条</w:t>
      </w:r>
      <w:r>
        <w:rPr>
          <w:rFonts w:hint="eastAsia" w:ascii="仿宋_GB2312" w:hAnsi="仿宋" w:eastAsia="仿宋_GB2312" w:cs="仿宋"/>
          <w:color w:val="000000"/>
          <w:sz w:val="28"/>
          <w:szCs w:val="28"/>
        </w:rPr>
        <w:t xml:space="preserve">  律师收到调解机构的指派，担任民商事纠纷调解员的，应在收到调解机构的指派通知之日起3个工作日内，向律师事务所进行披露，主动查证、确认本人与纠纷各方当事人是否存在利益冲突。经查证、确认，不存在利益冲突的，律师可以接受该指派，并向律师事务所备案；如存在利益冲突的，不得接受该指派。</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第十六条</w:t>
      </w:r>
      <w:r>
        <w:rPr>
          <w:rFonts w:hint="eastAsia" w:ascii="仿宋_GB2312" w:hAnsi="仿宋" w:eastAsia="仿宋_GB2312" w:cs="仿宋"/>
          <w:color w:val="000000"/>
          <w:sz w:val="28"/>
          <w:szCs w:val="28"/>
        </w:rPr>
        <w:t xml:space="preserve">  律师接受当事人的委托，担任民商事纠纷调解员的，应在收到各方当事人的委托意向之日起3个工作日内，向律师事务所进行披露，主动查证、确认本人与纠纷各方当事人是否存在利益冲突。经查证、确认，不存在利益冲突的，由律师事务所与各方当事人签署书面委托调解协议后，律师可以接受该委托。</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第十七条</w:t>
      </w:r>
      <w:r>
        <w:rPr>
          <w:rFonts w:hint="eastAsia" w:ascii="仿宋_GB2312" w:hAnsi="仿宋" w:eastAsia="仿宋_GB2312" w:cs="仿宋"/>
          <w:color w:val="000000"/>
          <w:sz w:val="28"/>
          <w:szCs w:val="28"/>
        </w:rPr>
        <w:t xml:space="preserve">  律师在调解活动中取得的利益冲突的豁免文件，应以有效书面形式作出，并经律师事务所同意。</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 xml:space="preserve">第十八条 </w:t>
      </w:r>
      <w:r>
        <w:rPr>
          <w:rFonts w:hint="eastAsia" w:ascii="仿宋_GB2312" w:hAnsi="仿宋" w:eastAsia="仿宋_GB2312" w:cs="仿宋"/>
          <w:color w:val="000000"/>
          <w:sz w:val="28"/>
          <w:szCs w:val="28"/>
        </w:rPr>
        <w:t xml:space="preserve"> 律师或律师事务所，若发现存在虚假事项申请调解的情形，应告知调解机构，并拒绝调解机构的指派和当事人的委托。</w:t>
      </w:r>
    </w:p>
    <w:p>
      <w:pPr>
        <w:keepNext w:val="0"/>
        <w:keepLines w:val="0"/>
        <w:pageBreakBefore w:val="0"/>
        <w:widowControl w:val="0"/>
        <w:wordWrap/>
        <w:bidi w:val="0"/>
        <w:spacing w:after="0" w:line="500" w:lineRule="exact"/>
        <w:ind w:firstLine="392" w:firstLineChars="15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第十九条</w:t>
      </w:r>
      <w:r>
        <w:rPr>
          <w:rFonts w:hint="eastAsia" w:ascii="仿宋_GB2312" w:hAnsi="仿宋" w:eastAsia="仿宋_GB2312" w:cs="仿宋"/>
          <w:color w:val="000000"/>
          <w:sz w:val="28"/>
          <w:szCs w:val="28"/>
        </w:rPr>
        <w:t xml:space="preserve">  有下列情形之一，可能影响纠纷调解的，律师可以拒绝接受指派或委托：</w:t>
      </w:r>
    </w:p>
    <w:p>
      <w:pPr>
        <w:keepNext w:val="0"/>
        <w:keepLines w:val="0"/>
        <w:pageBreakBefore w:val="0"/>
        <w:widowControl w:val="0"/>
        <w:wordWrap/>
        <w:bidi w:val="0"/>
        <w:spacing w:after="0" w:line="500" w:lineRule="exact"/>
        <w:ind w:firstLine="392" w:firstLineChars="15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 对纠纷涉及的法律或专业知识不熟悉的；</w:t>
      </w:r>
    </w:p>
    <w:p>
      <w:pPr>
        <w:keepNext w:val="0"/>
        <w:keepLines w:val="0"/>
        <w:pageBreakBefore w:val="0"/>
        <w:widowControl w:val="0"/>
        <w:wordWrap/>
        <w:bidi w:val="0"/>
        <w:spacing w:after="0" w:line="500" w:lineRule="exact"/>
        <w:ind w:firstLine="392" w:firstLineChars="15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 因工作或健康原因，不能参加纠纷调解的；</w:t>
      </w:r>
    </w:p>
    <w:p>
      <w:pPr>
        <w:keepNext w:val="0"/>
        <w:keepLines w:val="0"/>
        <w:pageBreakBefore w:val="0"/>
        <w:widowControl w:val="0"/>
        <w:wordWrap/>
        <w:bidi w:val="0"/>
        <w:spacing w:after="0" w:line="500" w:lineRule="exact"/>
        <w:ind w:firstLine="392" w:firstLineChars="15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（三） 存在利益冲突，不能自行调整、消除或不适合参加纠纷调解的；</w:t>
      </w:r>
    </w:p>
    <w:p>
      <w:pPr>
        <w:keepNext w:val="0"/>
        <w:keepLines w:val="0"/>
        <w:pageBreakBefore w:val="0"/>
        <w:widowControl w:val="0"/>
        <w:wordWrap/>
        <w:bidi w:val="0"/>
        <w:spacing w:after="0" w:line="500" w:lineRule="exact"/>
        <w:ind w:firstLine="392" w:firstLineChars="15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（四） 其他可能影响调解效果的情形。</w:t>
      </w:r>
    </w:p>
    <w:p>
      <w:pPr>
        <w:keepNext w:val="0"/>
        <w:keepLines w:val="0"/>
        <w:pageBreakBefore w:val="0"/>
        <w:widowControl w:val="0"/>
        <w:wordWrap/>
        <w:bidi w:val="0"/>
        <w:spacing w:after="0" w:line="500" w:lineRule="exact"/>
        <w:jc w:val="both"/>
        <w:rPr>
          <w:rFonts w:hint="eastAsia" w:ascii="仿宋" w:hAnsi="仿宋" w:eastAsia="仿宋" w:cs="仿宋"/>
          <w:b/>
          <w:color w:val="000000"/>
          <w:sz w:val="28"/>
          <w:szCs w:val="28"/>
        </w:rPr>
      </w:pPr>
    </w:p>
    <w:p>
      <w:pPr>
        <w:keepNext w:val="0"/>
        <w:keepLines w:val="0"/>
        <w:pageBreakBefore w:val="0"/>
        <w:widowControl w:val="0"/>
        <w:wordWrap/>
        <w:bidi w:val="0"/>
        <w:spacing w:after="0" w:line="500" w:lineRule="exact"/>
        <w:jc w:val="center"/>
        <w:rPr>
          <w:rFonts w:hint="eastAsia" w:ascii="黑体" w:hAnsi="黑体" w:eastAsia="黑体" w:cs="黑体"/>
          <w:color w:val="000000"/>
          <w:sz w:val="28"/>
          <w:szCs w:val="28"/>
        </w:rPr>
      </w:pPr>
      <w:r>
        <w:rPr>
          <w:rFonts w:hint="eastAsia" w:ascii="黑体" w:hAnsi="黑体" w:eastAsia="黑体" w:cs="黑体"/>
          <w:color w:val="000000"/>
          <w:sz w:val="28"/>
          <w:szCs w:val="28"/>
        </w:rPr>
        <w:t>第四章  调解程序</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第二十条</w:t>
      </w:r>
      <w:r>
        <w:rPr>
          <w:rFonts w:hint="eastAsia" w:ascii="仿宋_GB2312" w:hAnsi="仿宋" w:eastAsia="仿宋_GB2312" w:cs="仿宋"/>
          <w:color w:val="000000"/>
          <w:sz w:val="28"/>
          <w:szCs w:val="28"/>
        </w:rPr>
        <w:t xml:space="preserve">  律师调解员在收到调解机构的指派或当事人的委托后，应当在规定的期限内向各方当事人及时送达相关文书，告知调解规则。</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 xml:space="preserve">第二十一条 </w:t>
      </w:r>
      <w:r>
        <w:rPr>
          <w:rFonts w:hint="eastAsia" w:ascii="仿宋_GB2312" w:hAnsi="仿宋" w:eastAsia="仿宋_GB2312" w:cs="仿宋"/>
          <w:color w:val="000000"/>
          <w:sz w:val="28"/>
          <w:szCs w:val="28"/>
        </w:rPr>
        <w:t xml:space="preserve"> 各方当事人未事前向调解机构申请调解，调解机构直接受理后指派律师调解员的，律师调解员应在向其送达或告知相关调解规则时，一并告知其有权拒绝接受调解。当事人明确拒绝接受调解，调解程序应当终结。当事人同意律师调解员进行调解的，律师调解员应要求当事人向律师调解员或调解机构提交同意接受调解的书面声明或在相关笔录上签字确认。</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第二十二条</w:t>
      </w:r>
      <w:r>
        <w:rPr>
          <w:rFonts w:hint="eastAsia" w:ascii="仿宋_GB2312" w:hAnsi="仿宋" w:eastAsia="仿宋_GB2312" w:cs="仿宋"/>
          <w:color w:val="000000"/>
          <w:sz w:val="28"/>
          <w:szCs w:val="28"/>
        </w:rPr>
        <w:t xml:space="preserve">  律师调解员在开展调解工作前，可以要求各方当事人提供符合法律规定形式的证据材料与委托材料。当事人未提供证据材料、委托材料的，律师调解员有权决定是否继续进行调解。</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 xml:space="preserve">第二十三条  </w:t>
      </w:r>
      <w:r>
        <w:rPr>
          <w:rFonts w:hint="eastAsia" w:ascii="仿宋_GB2312" w:hAnsi="仿宋" w:eastAsia="仿宋_GB2312" w:cs="仿宋"/>
          <w:color w:val="000000"/>
          <w:sz w:val="28"/>
          <w:szCs w:val="28"/>
        </w:rPr>
        <w:t>律师调解员可以在开展调解工作前，就调解时间、调解地点征求各方当事人的意见。</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调解地点一般在调解机构所在地或接受委托调解协议的律师事务所所在地进行。经纠纷各方当事人同意，也可以在其它地点进行或互联网远程进行。</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 xml:space="preserve">第二十四条  </w:t>
      </w:r>
      <w:r>
        <w:rPr>
          <w:rFonts w:hint="eastAsia" w:ascii="仿宋_GB2312" w:hAnsi="仿宋" w:eastAsia="仿宋_GB2312" w:cs="仿宋"/>
          <w:color w:val="000000"/>
          <w:sz w:val="28"/>
          <w:szCs w:val="28"/>
        </w:rPr>
        <w:t>律师调解员在开展调解工作前，应当研究全部案卷材料，归纳争议焦点问题，拟定具体调解方案。</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第二十五条</w:t>
      </w:r>
      <w:r>
        <w:rPr>
          <w:rFonts w:hint="eastAsia" w:ascii="仿宋_GB2312" w:hAnsi="仿宋" w:eastAsia="仿宋_GB2312" w:cs="仿宋"/>
          <w:color w:val="000000"/>
          <w:sz w:val="28"/>
          <w:szCs w:val="28"/>
        </w:rPr>
        <w:t xml:space="preserve">  调解原则上不公开进行。未经各方当事人同意，任何第三方不得参与调解活动。</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第二十六条</w:t>
      </w:r>
      <w:r>
        <w:rPr>
          <w:rFonts w:hint="eastAsia" w:ascii="仿宋_GB2312" w:hAnsi="仿宋" w:eastAsia="仿宋_GB2312" w:cs="仿宋"/>
          <w:color w:val="000000"/>
          <w:sz w:val="28"/>
          <w:szCs w:val="28"/>
        </w:rPr>
        <w:t xml:space="preserve">  律师调解员可以组织当事人相互之间展示证据，并围绕证据的真实性、关联性、合法性，进行质证。</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 xml:space="preserve">第二十七条  </w:t>
      </w:r>
      <w:r>
        <w:rPr>
          <w:rFonts w:hint="eastAsia" w:ascii="仿宋_GB2312" w:hAnsi="仿宋" w:eastAsia="仿宋_GB2312" w:cs="仿宋"/>
          <w:color w:val="000000"/>
          <w:sz w:val="28"/>
          <w:szCs w:val="28"/>
        </w:rPr>
        <w:t>律师调解员可以建议当事人通知与调解活动有利害关系的第三人参加调解，但应取得另一方当事人同意。</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第二十八条</w:t>
      </w:r>
      <w:r>
        <w:rPr>
          <w:rFonts w:hint="eastAsia" w:ascii="仿宋_GB2312" w:hAnsi="仿宋" w:eastAsia="仿宋_GB2312" w:cs="仿宋"/>
          <w:color w:val="000000"/>
          <w:sz w:val="28"/>
          <w:szCs w:val="28"/>
        </w:rPr>
        <w:t xml:space="preserve">  律师调解时，应当制作调解笔录，通过书面形式记录争议事项和调解情况,并经各方当事人签字确认。鼓励和支持律师调解员在各方当事人签署调解笔录时，进行拍照或摄像留存。</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 xml:space="preserve">第二十九条  </w:t>
      </w:r>
      <w:r>
        <w:rPr>
          <w:rFonts w:hint="eastAsia" w:ascii="仿宋_GB2312" w:hAnsi="仿宋" w:eastAsia="仿宋_GB2312" w:cs="仿宋"/>
          <w:color w:val="000000"/>
          <w:sz w:val="28"/>
          <w:szCs w:val="28"/>
        </w:rPr>
        <w:t>律师调解员应当充分尊重当事人的意思自治，独立、公正地调解纠纷。各方当事人达成一致的，律师调解员一般应当制作书面调解协议，由各方当事人签字确认。鼓励和支持律师调解员在各方当事人签署调解协议时，进行拍照或摄像留存。但调解协议的内容不得损害国家利益、公共利益及第三人合法权益。</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第三十条</w:t>
      </w:r>
      <w:r>
        <w:rPr>
          <w:rFonts w:hint="eastAsia" w:ascii="仿宋_GB2312" w:hAnsi="仿宋" w:eastAsia="仿宋_GB2312" w:cs="仿宋"/>
          <w:color w:val="000000"/>
          <w:sz w:val="28"/>
          <w:szCs w:val="28"/>
        </w:rPr>
        <w:t xml:space="preserve">  律师调解员出具书面调解协议的，律师调解员应告知各方当事人可就调解协议向有管辖权的人民法院申请司法确认。</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第三十一条</w:t>
      </w:r>
      <w:r>
        <w:rPr>
          <w:rFonts w:hint="eastAsia" w:ascii="仿宋_GB2312" w:hAnsi="仿宋" w:eastAsia="仿宋_GB2312" w:cs="仿宋"/>
          <w:color w:val="000000"/>
          <w:sz w:val="28"/>
          <w:szCs w:val="28"/>
        </w:rPr>
        <w:t xml:space="preserve">  调解成功的，律师调解员应当提示各方当事人即时履行或及时履行谅解、和解、调解协议内容。</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 xml:space="preserve">第三十二条  </w:t>
      </w:r>
      <w:r>
        <w:rPr>
          <w:rFonts w:hint="eastAsia" w:ascii="仿宋_GB2312" w:hAnsi="仿宋" w:eastAsia="仿宋_GB2312" w:cs="仿宋"/>
          <w:color w:val="000000"/>
          <w:sz w:val="28"/>
          <w:szCs w:val="28"/>
        </w:rPr>
        <w:t>调解一方当事人经通知后，无正当理由不出席调解活动的，视为其拒绝调解。律师调解员应及时告知调解机构、各方当事人，并决定、建议终结调解程序。</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 xml:space="preserve">第三十三条  </w:t>
      </w:r>
      <w:r>
        <w:rPr>
          <w:rFonts w:hint="eastAsia" w:ascii="仿宋_GB2312" w:hAnsi="仿宋" w:eastAsia="仿宋_GB2312" w:cs="仿宋"/>
          <w:color w:val="000000"/>
          <w:sz w:val="28"/>
          <w:szCs w:val="28"/>
        </w:rPr>
        <w:t>律师调解员开展调解工作时，认为存在不适宜进行调解的情形或调解无成功可能性的，应及时将情况告知调解机构、各方当事人，并决定、建议调解机构终结调解程序。</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第三十四条</w:t>
      </w:r>
      <w:r>
        <w:rPr>
          <w:rFonts w:hint="eastAsia" w:ascii="仿宋_GB2312" w:hAnsi="仿宋" w:eastAsia="仿宋_GB2312" w:cs="仿宋"/>
          <w:color w:val="000000"/>
          <w:sz w:val="28"/>
          <w:szCs w:val="28"/>
        </w:rPr>
        <w:t xml:space="preserve">  律师调解员在开展调解活动中，发现各方当事人存在虚假事项申请调解情形的，应当中止调解，并根据情况向委托调解机构或律师事务所报告，并决定、建议终结调解程序。</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第三十五条</w:t>
      </w:r>
      <w:r>
        <w:rPr>
          <w:rFonts w:hint="eastAsia" w:ascii="仿宋_GB2312" w:hAnsi="仿宋" w:eastAsia="仿宋_GB2312" w:cs="仿宋"/>
          <w:color w:val="000000"/>
          <w:sz w:val="28"/>
          <w:szCs w:val="28"/>
        </w:rPr>
        <w:t xml:space="preserve">  调解一方当事人提供证据的，可以对证明对象和证明内容作简要说明。律师调解员要求当事人提供证据原件，当事人不能提供证据原件，且证据不充分导致有关事实认定有瑕疵的，律师调解员可以决定、建议终结调解程序。</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第三十六条</w:t>
      </w:r>
      <w:r>
        <w:rPr>
          <w:rFonts w:hint="eastAsia" w:ascii="仿宋_GB2312" w:hAnsi="仿宋" w:eastAsia="仿宋_GB2312" w:cs="仿宋"/>
          <w:color w:val="000000"/>
          <w:sz w:val="28"/>
          <w:szCs w:val="28"/>
        </w:rPr>
        <w:t xml:space="preserve">  调解程序终结时，当事人未达成调解协议的，律师调解员经各方当事人书面申请，并向各方当事人提示法律后果后，可以就调解过程中各方无争议的事实出具《无争议事实确认书》，并由当事人签字确认。但《无争议事实确认书》不得损害国家利益、社会公共利益和第三人的合法权益。</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第三十七条</w:t>
      </w:r>
      <w:r>
        <w:rPr>
          <w:rFonts w:hint="eastAsia" w:ascii="仿宋_GB2312" w:hAnsi="仿宋" w:eastAsia="仿宋_GB2312" w:cs="仿宋"/>
          <w:color w:val="000000"/>
          <w:sz w:val="28"/>
          <w:szCs w:val="28"/>
        </w:rPr>
        <w:t xml:space="preserve">  律师调解员开展调解活动，可以对收案时间、调解材料的送达情况、调解时间及次数、结案时间等内容制作调解工作记录。</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 xml:space="preserve">第三十八条  </w:t>
      </w:r>
      <w:r>
        <w:rPr>
          <w:rFonts w:hint="eastAsia" w:ascii="仿宋_GB2312" w:hAnsi="仿宋" w:eastAsia="仿宋_GB2312" w:cs="仿宋"/>
          <w:color w:val="000000"/>
          <w:sz w:val="28"/>
          <w:szCs w:val="28"/>
        </w:rPr>
        <w:t>律师调解过程中，出现以下情形之一的，律师调解员可以决定、建议终结调解程序：</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（一）各方当事人之间达成谅解的；</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（二）各方当事人之间达成和解、调解协议的；</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（三）各方或任何一方当事人终止调解程序的；</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（四）调解期限届满，各方当事人未一致同意延期的；</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（五）律师调解员认为调解存在虚假事项申请调解等不适宜情形或继续调解已无成功可能的；</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（六）根据调解机构调解规则或委托调解协议，应终结调解程序的；</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（七）当事人不能提供证据原件，且案件证据不充分导致有关事实认定有瑕疵的；</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（八）调解一方当事人经通知后，无正当理由不出席调解活动的。</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第三十九条</w:t>
      </w:r>
      <w:r>
        <w:rPr>
          <w:rFonts w:hint="eastAsia" w:ascii="仿宋_GB2312" w:hAnsi="仿宋" w:eastAsia="仿宋_GB2312" w:cs="仿宋"/>
          <w:color w:val="000000"/>
          <w:sz w:val="28"/>
          <w:szCs w:val="28"/>
        </w:rPr>
        <w:t xml:space="preserve">  各方当事人之间达成谅解、和解、调解协议的，律师调解员一般应出具调解协议。除各方当事人书面要求律师调解员无需出具调解协议的，律师调解员可以在将相关事实记入调解笔录，经各方当事人签字确认后，决定终结调解程序。</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 xml:space="preserve">第四十条  </w:t>
      </w:r>
      <w:r>
        <w:rPr>
          <w:rFonts w:hint="eastAsia" w:ascii="仿宋_GB2312" w:hAnsi="仿宋" w:eastAsia="仿宋_GB2312" w:cs="仿宋"/>
          <w:color w:val="000000"/>
          <w:sz w:val="28"/>
          <w:szCs w:val="28"/>
        </w:rPr>
        <w:t>调解期限届满的，律师调解员应决定终结调解程序。除调解机构调解规则、委托调解协议另有规定、约定外，调解期限的延期决定应由各方当事人一致作出。律师调解员不得以任何形式明示或暗示纠纷任何一方当事人作出延期决定。</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第四十一条</w:t>
      </w:r>
      <w:r>
        <w:rPr>
          <w:rFonts w:hint="eastAsia" w:ascii="仿宋_GB2312" w:hAnsi="仿宋" w:eastAsia="仿宋_GB2312" w:cs="仿宋"/>
          <w:b/>
          <w:color w:val="000000"/>
          <w:sz w:val="28"/>
          <w:szCs w:val="28"/>
          <w:lang w:val="en-US" w:eastAsia="zh-CN"/>
        </w:rPr>
        <w:t xml:space="preserve"> </w:t>
      </w:r>
      <w:r>
        <w:rPr>
          <w:rFonts w:hint="eastAsia" w:ascii="仿宋_GB2312" w:hAnsi="仿宋" w:eastAsia="仿宋_GB2312" w:cs="仿宋"/>
          <w:b/>
          <w:color w:val="000000"/>
          <w:sz w:val="28"/>
          <w:szCs w:val="28"/>
        </w:rPr>
        <w:t xml:space="preserve"> </w:t>
      </w:r>
      <w:r>
        <w:rPr>
          <w:rFonts w:hint="eastAsia" w:ascii="仿宋_GB2312" w:hAnsi="仿宋" w:eastAsia="仿宋_GB2312" w:cs="仿宋"/>
          <w:color w:val="000000"/>
          <w:sz w:val="28"/>
          <w:szCs w:val="28"/>
        </w:rPr>
        <w:t>律师调解员认为继续调解已无成功可能的，可以根据调解规则或委托调解协议，决定终结调解程序。但律师调解员应提前将该终结决定与基本事由告知纠纷各方当事人与调解机构，并可以向各方当事人释明其他合法、合理的纠纷解决方式。</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第四十二条</w:t>
      </w:r>
      <w:r>
        <w:rPr>
          <w:rFonts w:hint="eastAsia" w:ascii="仿宋_GB2312" w:hAnsi="仿宋" w:eastAsia="仿宋_GB2312" w:cs="仿宋"/>
          <w:b/>
          <w:color w:val="000000"/>
          <w:sz w:val="28"/>
          <w:szCs w:val="28"/>
          <w:lang w:val="en-US" w:eastAsia="zh-CN"/>
        </w:rPr>
        <w:t xml:space="preserve">  </w:t>
      </w:r>
      <w:r>
        <w:rPr>
          <w:rFonts w:hint="eastAsia" w:ascii="仿宋_GB2312" w:hAnsi="仿宋" w:eastAsia="仿宋_GB2312" w:cs="仿宋"/>
          <w:color w:val="000000"/>
          <w:sz w:val="28"/>
          <w:szCs w:val="28"/>
        </w:rPr>
        <w:t>调解程序终结后，律师调解员接受调解机构指派担任调解员的，应向调解机构移交全部调解纠纷的案卷材料。未经调解机构同意，律师调解员不得保留任何调解纠纷案卷材料的原件。</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第四十三条</w:t>
      </w:r>
      <w:r>
        <w:rPr>
          <w:rFonts w:hint="eastAsia" w:ascii="仿宋_GB2312" w:hAnsi="仿宋" w:eastAsia="仿宋_GB2312" w:cs="仿宋"/>
          <w:color w:val="000000"/>
          <w:sz w:val="28"/>
          <w:szCs w:val="28"/>
        </w:rPr>
        <w:t xml:space="preserve">  律师调解员接受当事人委托，担任调解员的，应在结案后30日内将案卷整理归档。除调解相关文书外，律师不得保留调解纠纷案卷材料的原件。</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第四十四条</w:t>
      </w:r>
      <w:r>
        <w:rPr>
          <w:rFonts w:hint="eastAsia" w:ascii="仿宋_GB2312" w:hAnsi="仿宋" w:eastAsia="仿宋_GB2312" w:cs="仿宋"/>
          <w:b/>
          <w:color w:val="000000"/>
          <w:sz w:val="28"/>
          <w:szCs w:val="28"/>
          <w:lang w:val="en-US" w:eastAsia="zh-CN"/>
        </w:rPr>
        <w:t xml:space="preserve"> </w:t>
      </w:r>
      <w:r>
        <w:rPr>
          <w:rFonts w:hint="eastAsia" w:ascii="仿宋_GB2312" w:hAnsi="仿宋" w:eastAsia="仿宋_GB2312" w:cs="仿宋"/>
          <w:color w:val="000000"/>
          <w:sz w:val="28"/>
          <w:szCs w:val="28"/>
        </w:rPr>
        <w:t xml:space="preserve"> 任何一方当事人因调解目的而披露、制作或提交的资料，均为保密资料。调解程序终结后，律师调解员不得对外公开纠纷的保密资料，也不得将纠纷的非保密资料用于律师其他业务的推广、宣传、广告等活动。</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第四十五条</w:t>
      </w:r>
      <w:r>
        <w:rPr>
          <w:rFonts w:hint="eastAsia" w:ascii="仿宋_GB2312" w:hAnsi="仿宋" w:eastAsia="仿宋_GB2312" w:cs="仿宋"/>
          <w:b/>
          <w:color w:val="000000"/>
          <w:sz w:val="28"/>
          <w:szCs w:val="28"/>
          <w:lang w:val="en-US" w:eastAsia="zh-CN"/>
        </w:rPr>
        <w:t xml:space="preserve"> </w:t>
      </w:r>
      <w:r>
        <w:rPr>
          <w:rFonts w:hint="eastAsia" w:ascii="仿宋_GB2312" w:hAnsi="仿宋" w:eastAsia="仿宋_GB2312" w:cs="仿宋"/>
          <w:color w:val="000000"/>
          <w:sz w:val="28"/>
          <w:szCs w:val="28"/>
        </w:rPr>
        <w:t xml:space="preserve"> 律师调解员调解纠纷，涉及利益冲突相关主体书面豁免的，律师调解员应在调解程序终结后，将程序终结的事实及时告知利益冲突相关主体。</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第四十六条</w:t>
      </w:r>
      <w:r>
        <w:rPr>
          <w:rFonts w:hint="eastAsia" w:ascii="仿宋_GB2312" w:hAnsi="仿宋" w:eastAsia="仿宋_GB2312" w:cs="仿宋"/>
          <w:b/>
          <w:color w:val="000000"/>
          <w:sz w:val="28"/>
          <w:szCs w:val="28"/>
          <w:lang w:val="en-US" w:eastAsia="zh-CN"/>
        </w:rPr>
        <w:t xml:space="preserve"> </w:t>
      </w:r>
      <w:r>
        <w:rPr>
          <w:rFonts w:hint="eastAsia" w:ascii="仿宋_GB2312" w:hAnsi="仿宋" w:eastAsia="仿宋_GB2312" w:cs="仿宋"/>
          <w:color w:val="000000"/>
          <w:sz w:val="28"/>
          <w:szCs w:val="28"/>
        </w:rPr>
        <w:t xml:space="preserve"> 调解程序终结后，除纠纷各方当事人一致同意外，律师调解员不得作为纠纷任何一方当事人在同一纠纷的后续任何程序中的仲裁员、代理人、顾问、证人。</w:t>
      </w:r>
    </w:p>
    <w:p>
      <w:pPr>
        <w:keepNext w:val="0"/>
        <w:keepLines w:val="0"/>
        <w:pageBreakBefore w:val="0"/>
        <w:widowControl w:val="0"/>
        <w:wordWrap/>
        <w:bidi w:val="0"/>
        <w:spacing w:after="0" w:line="500" w:lineRule="exact"/>
        <w:ind w:firstLine="522" w:firstLineChars="200"/>
        <w:jc w:val="both"/>
        <w:rPr>
          <w:rFonts w:hint="eastAsia" w:ascii="仿宋" w:hAnsi="仿宋" w:eastAsia="仿宋" w:cs="仿宋"/>
          <w:color w:val="000000"/>
          <w:sz w:val="28"/>
          <w:szCs w:val="28"/>
        </w:rPr>
      </w:pPr>
    </w:p>
    <w:p>
      <w:pPr>
        <w:keepNext w:val="0"/>
        <w:keepLines w:val="0"/>
        <w:pageBreakBefore w:val="0"/>
        <w:widowControl w:val="0"/>
        <w:wordWrap/>
        <w:bidi w:val="0"/>
        <w:spacing w:after="0" w:line="500" w:lineRule="exact"/>
        <w:jc w:val="center"/>
        <w:rPr>
          <w:rFonts w:hint="eastAsia" w:ascii="黑体" w:hAnsi="黑体" w:eastAsia="黑体" w:cs="黑体"/>
          <w:color w:val="000000"/>
          <w:sz w:val="28"/>
          <w:szCs w:val="28"/>
        </w:rPr>
      </w:pPr>
      <w:r>
        <w:rPr>
          <w:rFonts w:hint="eastAsia" w:ascii="黑体" w:hAnsi="黑体" w:eastAsia="黑体" w:cs="黑体"/>
          <w:color w:val="000000"/>
          <w:sz w:val="28"/>
          <w:szCs w:val="28"/>
        </w:rPr>
        <w:t>第五章 附则</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b/>
          <w:color w:val="000000"/>
          <w:sz w:val="28"/>
          <w:szCs w:val="28"/>
        </w:rPr>
        <w:t xml:space="preserve">第四十七条  </w:t>
      </w:r>
      <w:r>
        <w:rPr>
          <w:rFonts w:hint="eastAsia" w:ascii="仿宋_GB2312" w:hAnsi="仿宋" w:eastAsia="仿宋_GB2312" w:cs="仿宋"/>
          <w:color w:val="000000"/>
          <w:sz w:val="28"/>
          <w:szCs w:val="28"/>
        </w:rPr>
        <w:t>本操作指引由湖南省律师协会调解与仲裁事务专业委员会起草，并非强制性规定，仅供律师在主持或参与调解过程中参考。</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b/>
          <w:color w:val="000000"/>
          <w:sz w:val="28"/>
          <w:szCs w:val="28"/>
        </w:rPr>
      </w:pPr>
    </w:p>
    <w:p>
      <w:pPr>
        <w:keepNext w:val="0"/>
        <w:keepLines w:val="0"/>
        <w:pageBreakBefore w:val="0"/>
        <w:widowControl w:val="0"/>
        <w:wordWrap/>
        <w:bidi w:val="0"/>
        <w:spacing w:after="0" w:line="500" w:lineRule="exact"/>
        <w:ind w:firstLine="522" w:firstLineChars="200"/>
        <w:jc w:val="both"/>
        <w:outlineLvl w:val="0"/>
        <w:rPr>
          <w:rFonts w:hint="eastAsia" w:ascii="仿宋_GB2312" w:hAnsi="仿宋" w:eastAsia="仿宋_GB2312" w:cs="仿宋"/>
          <w:bCs/>
          <w:color w:val="000000"/>
          <w:sz w:val="28"/>
          <w:szCs w:val="28"/>
        </w:rPr>
      </w:pPr>
      <w:bookmarkStart w:id="371" w:name="_Toc21224"/>
      <w:r>
        <w:rPr>
          <w:rFonts w:hint="eastAsia" w:ascii="仿宋_GB2312" w:hAnsi="仿宋" w:eastAsia="仿宋_GB2312" w:cs="仿宋"/>
          <w:bCs/>
          <w:color w:val="000000"/>
          <w:sz w:val="28"/>
          <w:szCs w:val="28"/>
        </w:rPr>
        <w:t>附件：1.《委托调解协议》文书样式</w:t>
      </w:r>
      <w:bookmarkEnd w:id="371"/>
    </w:p>
    <w:p>
      <w:pPr>
        <w:keepNext w:val="0"/>
        <w:keepLines w:val="0"/>
        <w:pageBreakBefore w:val="0"/>
        <w:widowControl w:val="0"/>
        <w:wordWrap/>
        <w:bidi w:val="0"/>
        <w:spacing w:after="0" w:line="500" w:lineRule="exact"/>
        <w:ind w:firstLine="1305" w:firstLineChars="500"/>
        <w:jc w:val="both"/>
        <w:rPr>
          <w:rFonts w:hint="eastAsia" w:ascii="仿宋_GB2312" w:hAnsi="仿宋" w:eastAsia="仿宋_GB2312" w:cs="仿宋"/>
          <w:bCs/>
          <w:color w:val="000000"/>
          <w:sz w:val="28"/>
          <w:szCs w:val="28"/>
        </w:rPr>
      </w:pPr>
      <w:r>
        <w:rPr>
          <w:rFonts w:hint="eastAsia" w:ascii="仿宋_GB2312" w:hAnsi="仿宋" w:eastAsia="仿宋_GB2312" w:cs="仿宋"/>
          <w:bCs/>
          <w:color w:val="000000"/>
          <w:sz w:val="28"/>
          <w:szCs w:val="28"/>
        </w:rPr>
        <w:t>2.《调解笔录》文书样式</w:t>
      </w:r>
    </w:p>
    <w:p>
      <w:pPr>
        <w:keepNext w:val="0"/>
        <w:keepLines w:val="0"/>
        <w:pageBreakBefore w:val="0"/>
        <w:widowControl w:val="0"/>
        <w:wordWrap/>
        <w:bidi w:val="0"/>
        <w:spacing w:after="0" w:line="500" w:lineRule="exact"/>
        <w:ind w:firstLine="1305" w:firstLineChars="500"/>
        <w:jc w:val="both"/>
        <w:rPr>
          <w:rFonts w:hint="eastAsia" w:ascii="仿宋_GB2312" w:hAnsi="仿宋" w:eastAsia="仿宋_GB2312" w:cs="仿宋"/>
          <w:bCs/>
          <w:color w:val="000000"/>
          <w:sz w:val="28"/>
          <w:szCs w:val="28"/>
        </w:rPr>
      </w:pPr>
      <w:r>
        <w:rPr>
          <w:rFonts w:hint="eastAsia" w:ascii="仿宋_GB2312" w:hAnsi="仿宋" w:eastAsia="仿宋_GB2312" w:cs="仿宋"/>
          <w:bCs/>
          <w:color w:val="000000"/>
          <w:sz w:val="28"/>
          <w:szCs w:val="28"/>
        </w:rPr>
        <w:t>3.《调解协议》文书样式</w:t>
      </w:r>
    </w:p>
    <w:p>
      <w:pPr>
        <w:keepNext w:val="0"/>
        <w:keepLines w:val="0"/>
        <w:pageBreakBefore w:val="0"/>
        <w:widowControl w:val="0"/>
        <w:wordWrap/>
        <w:bidi w:val="0"/>
        <w:spacing w:line="500" w:lineRule="exact"/>
        <w:rPr>
          <w:rFonts w:hint="eastAsia" w:ascii="黑体" w:hAnsi="黑体" w:eastAsia="黑体" w:cs="宋体"/>
          <w:bCs/>
          <w:color w:val="000000"/>
          <w:sz w:val="28"/>
          <w:szCs w:val="28"/>
        </w:rPr>
      </w:pPr>
    </w:p>
    <w:p>
      <w:pPr>
        <w:keepNext w:val="0"/>
        <w:keepLines w:val="0"/>
        <w:pageBreakBefore w:val="0"/>
        <w:widowControl w:val="0"/>
        <w:wordWrap/>
        <w:bidi w:val="0"/>
        <w:spacing w:line="500" w:lineRule="exact"/>
        <w:rPr>
          <w:rFonts w:hint="eastAsia" w:ascii="黑体" w:hAnsi="黑体" w:eastAsia="黑体" w:cs="宋体"/>
          <w:b/>
          <w:color w:val="000000"/>
          <w:sz w:val="28"/>
          <w:szCs w:val="28"/>
        </w:rPr>
      </w:pPr>
    </w:p>
    <w:p>
      <w:pPr>
        <w:keepNext w:val="0"/>
        <w:keepLines w:val="0"/>
        <w:pageBreakBefore w:val="0"/>
        <w:widowControl w:val="0"/>
        <w:wordWrap/>
        <w:bidi w:val="0"/>
        <w:spacing w:line="500" w:lineRule="exact"/>
        <w:outlineLvl w:val="0"/>
        <w:rPr>
          <w:rFonts w:hint="eastAsia" w:ascii="黑体" w:hAnsi="黑体" w:eastAsia="黑体" w:cs="宋体"/>
          <w:b/>
          <w:color w:val="000000"/>
          <w:sz w:val="28"/>
          <w:szCs w:val="28"/>
        </w:rPr>
      </w:pPr>
      <w:r>
        <w:rPr>
          <w:rFonts w:ascii="仿宋" w:hAnsi="仿宋" w:eastAsia="仿宋" w:cs="仿宋"/>
          <w:bCs/>
          <w:color w:val="000000"/>
          <w:sz w:val="28"/>
          <w:szCs w:val="28"/>
        </w:rPr>
        <w:br w:type="page"/>
      </w:r>
      <w:bookmarkStart w:id="372" w:name="_Toc3860"/>
      <w:r>
        <w:rPr>
          <w:rFonts w:hint="eastAsia" w:ascii="黑体" w:hAnsi="黑体" w:eastAsia="黑体" w:cs="仿宋"/>
          <w:bCs/>
          <w:color w:val="000000"/>
          <w:sz w:val="28"/>
          <w:szCs w:val="28"/>
        </w:rPr>
        <w:t>附件1</w:t>
      </w:r>
      <w:bookmarkEnd w:id="372"/>
    </w:p>
    <w:p>
      <w:pPr>
        <w:keepNext w:val="0"/>
        <w:keepLines w:val="0"/>
        <w:pageBreakBefore w:val="0"/>
        <w:widowControl w:val="0"/>
        <w:wordWrap/>
        <w:bidi w:val="0"/>
        <w:spacing w:line="500" w:lineRule="exact"/>
        <w:jc w:val="center"/>
        <w:rPr>
          <w:rFonts w:hint="eastAsia" w:ascii="方正小标宋简体" w:hAnsi="方正小标宋简体" w:eastAsia="方正小标宋简体" w:cs="方正小标宋简体"/>
          <w:bCs/>
          <w:color w:val="000000"/>
          <w:sz w:val="40"/>
          <w:szCs w:val="40"/>
        </w:rPr>
      </w:pPr>
      <w:r>
        <w:rPr>
          <w:rFonts w:hint="eastAsia" w:ascii="方正小标宋简体" w:hAnsi="方正小标宋简体" w:eastAsia="方正小标宋简体" w:cs="方正小标宋简体"/>
          <w:bCs/>
          <w:color w:val="000000"/>
          <w:sz w:val="40"/>
          <w:szCs w:val="40"/>
        </w:rPr>
        <w:t>委托调解协议</w:t>
      </w:r>
    </w:p>
    <w:p>
      <w:pPr>
        <w:keepNext w:val="0"/>
        <w:keepLines w:val="0"/>
        <w:pageBreakBefore w:val="0"/>
        <w:widowControl w:val="0"/>
        <w:wordWrap/>
        <w:bidi w:val="0"/>
        <w:spacing w:line="500" w:lineRule="exact"/>
        <w:jc w:val="center"/>
        <w:rPr>
          <w:rFonts w:ascii="仿宋_GB2312" w:hAnsi="微软雅黑" w:eastAsia="仿宋_GB2312" w:cs="宋体"/>
          <w:color w:val="000000"/>
          <w:sz w:val="28"/>
          <w:szCs w:val="28"/>
        </w:rPr>
      </w:pPr>
      <w:r>
        <w:rPr>
          <w:rFonts w:hint="eastAsia" w:ascii="仿宋_GB2312" w:hAnsi="微软雅黑" w:eastAsia="仿宋_GB2312" w:cs="宋体"/>
          <w:color w:val="000000"/>
          <w:sz w:val="28"/>
          <w:szCs w:val="28"/>
        </w:rPr>
        <w:t>（各方</w:t>
      </w:r>
      <w:r>
        <w:rPr>
          <w:rFonts w:ascii="仿宋_GB2312" w:hAnsi="微软雅黑" w:eastAsia="仿宋_GB2312" w:cs="宋体"/>
          <w:color w:val="000000"/>
          <w:sz w:val="28"/>
          <w:szCs w:val="28"/>
        </w:rPr>
        <w:t>当事人委托</w:t>
      </w:r>
      <w:r>
        <w:rPr>
          <w:rFonts w:hint="eastAsia" w:ascii="仿宋_GB2312" w:hAnsi="微软雅黑" w:eastAsia="仿宋_GB2312" w:cs="宋体"/>
          <w:color w:val="000000"/>
          <w:sz w:val="28"/>
          <w:szCs w:val="28"/>
        </w:rPr>
        <w:t>调解用）</w:t>
      </w:r>
    </w:p>
    <w:p>
      <w:pPr>
        <w:keepNext w:val="0"/>
        <w:keepLines w:val="0"/>
        <w:pageBreakBefore w:val="0"/>
        <w:widowControl w:val="0"/>
        <w:wordWrap/>
        <w:bidi w:val="0"/>
        <w:spacing w:line="500" w:lineRule="exact"/>
        <w:jc w:val="right"/>
        <w:rPr>
          <w:rFonts w:hint="eastAsia" w:ascii="仿宋_GB2312" w:hAnsi="微软雅黑" w:eastAsia="仿宋_GB2312" w:cs="宋体"/>
          <w:color w:val="000000"/>
          <w:sz w:val="28"/>
          <w:szCs w:val="28"/>
        </w:rPr>
      </w:pPr>
      <w:r>
        <w:rPr>
          <w:rFonts w:hint="eastAsia" w:ascii="仿宋_GB2312" w:hAnsi="微软雅黑" w:eastAsia="仿宋_GB2312" w:cs="宋体"/>
          <w:color w:val="000000"/>
          <w:sz w:val="28"/>
          <w:szCs w:val="28"/>
        </w:rPr>
        <w:t>（××××）××民代字第××号</w:t>
      </w:r>
    </w:p>
    <w:p>
      <w:pPr>
        <w:keepNext w:val="0"/>
        <w:keepLines w:val="0"/>
        <w:pageBreakBefore w:val="0"/>
        <w:widowControl w:val="0"/>
        <w:wordWrap/>
        <w:bidi w:val="0"/>
        <w:spacing w:after="0" w:line="500" w:lineRule="exact"/>
        <w:jc w:val="both"/>
        <w:rPr>
          <w:rFonts w:hint="eastAsia" w:ascii="仿宋_GB2312" w:hAnsi="仿宋" w:eastAsia="仿宋_GB2312"/>
          <w:color w:val="000000"/>
          <w:sz w:val="28"/>
          <w:szCs w:val="28"/>
        </w:rPr>
      </w:pPr>
      <w:r>
        <w:rPr>
          <w:rFonts w:hint="eastAsia" w:ascii="仿宋_GB2312" w:hAnsi="微软雅黑" w:eastAsia="仿宋_GB2312" w:cs="宋体"/>
          <w:color w:val="000000"/>
          <w:sz w:val="28"/>
          <w:szCs w:val="28"/>
        </w:rPr>
        <w:t>委托方1（甲方1）：……</w:t>
      </w:r>
    </w:p>
    <w:p>
      <w:pPr>
        <w:keepNext w:val="0"/>
        <w:keepLines w:val="0"/>
        <w:pageBreakBefore w:val="0"/>
        <w:widowControl w:val="0"/>
        <w:wordWrap/>
        <w:bidi w:val="0"/>
        <w:spacing w:after="0" w:line="500" w:lineRule="exact"/>
        <w:jc w:val="both"/>
        <w:rPr>
          <w:rFonts w:hint="eastAsia" w:ascii="仿宋_GB2312" w:hAnsi="仿宋" w:eastAsia="仿宋_GB2312"/>
          <w:color w:val="000000"/>
          <w:sz w:val="28"/>
          <w:szCs w:val="28"/>
        </w:rPr>
      </w:pPr>
      <w:r>
        <w:rPr>
          <w:rFonts w:hint="eastAsia" w:ascii="仿宋_GB2312" w:hAnsi="微软雅黑" w:eastAsia="仿宋_GB2312" w:cs="宋体"/>
          <w:color w:val="000000"/>
          <w:sz w:val="28"/>
          <w:szCs w:val="28"/>
        </w:rPr>
        <w:t>身份</w:t>
      </w:r>
      <w:r>
        <w:rPr>
          <w:rFonts w:ascii="仿宋_GB2312" w:hAnsi="微软雅黑" w:eastAsia="仿宋_GB2312" w:cs="宋体"/>
          <w:color w:val="000000"/>
          <w:sz w:val="28"/>
          <w:szCs w:val="28"/>
        </w:rPr>
        <w:t>证</w:t>
      </w:r>
      <w:r>
        <w:rPr>
          <w:rFonts w:hint="eastAsia" w:ascii="仿宋_GB2312" w:hAnsi="微软雅黑" w:eastAsia="仿宋_GB2312" w:cs="宋体"/>
          <w:color w:val="000000"/>
          <w:sz w:val="28"/>
          <w:szCs w:val="28"/>
        </w:rPr>
        <w:t>号码/法定</w:t>
      </w:r>
      <w:r>
        <w:rPr>
          <w:rFonts w:ascii="仿宋_GB2312" w:hAnsi="微软雅黑" w:eastAsia="仿宋_GB2312" w:cs="宋体"/>
          <w:color w:val="000000"/>
          <w:sz w:val="28"/>
          <w:szCs w:val="28"/>
        </w:rPr>
        <w:t>代表人</w:t>
      </w:r>
      <w:r>
        <w:rPr>
          <w:rFonts w:hint="eastAsia" w:ascii="仿宋_GB2312" w:hAnsi="微软雅黑" w:eastAsia="仿宋_GB2312" w:cs="宋体"/>
          <w:color w:val="000000"/>
          <w:sz w:val="28"/>
          <w:szCs w:val="28"/>
        </w:rPr>
        <w:t>：……</w:t>
      </w:r>
    </w:p>
    <w:p>
      <w:pPr>
        <w:keepNext w:val="0"/>
        <w:keepLines w:val="0"/>
        <w:pageBreakBefore w:val="0"/>
        <w:widowControl w:val="0"/>
        <w:wordWrap/>
        <w:bidi w:val="0"/>
        <w:spacing w:after="0" w:line="500" w:lineRule="exact"/>
        <w:jc w:val="both"/>
        <w:rPr>
          <w:rFonts w:hint="eastAsia" w:ascii="仿宋_GB2312" w:hAnsi="仿宋" w:eastAsia="仿宋_GB2312"/>
          <w:color w:val="000000"/>
          <w:sz w:val="28"/>
          <w:szCs w:val="28"/>
        </w:rPr>
      </w:pPr>
      <w:r>
        <w:rPr>
          <w:rFonts w:hint="eastAsia" w:ascii="仿宋_GB2312" w:hAnsi="微软雅黑" w:eastAsia="仿宋_GB2312" w:cs="宋体"/>
          <w:color w:val="000000"/>
          <w:sz w:val="28"/>
          <w:szCs w:val="28"/>
        </w:rPr>
        <w:t>地址</w:t>
      </w:r>
      <w:r>
        <w:rPr>
          <w:rFonts w:ascii="仿宋_GB2312" w:hAnsi="微软雅黑" w:eastAsia="仿宋_GB2312" w:cs="宋体"/>
          <w:color w:val="000000"/>
          <w:sz w:val="28"/>
          <w:szCs w:val="28"/>
        </w:rPr>
        <w:t>：</w:t>
      </w:r>
      <w:r>
        <w:rPr>
          <w:rFonts w:hint="eastAsia" w:ascii="仿宋_GB2312" w:hAnsi="微软雅黑" w:eastAsia="仿宋_GB2312" w:cs="宋体"/>
          <w:color w:val="000000"/>
          <w:sz w:val="28"/>
          <w:szCs w:val="28"/>
        </w:rPr>
        <w:t>……</w:t>
      </w:r>
    </w:p>
    <w:p>
      <w:pPr>
        <w:keepNext w:val="0"/>
        <w:keepLines w:val="0"/>
        <w:pageBreakBefore w:val="0"/>
        <w:widowControl w:val="0"/>
        <w:wordWrap/>
        <w:bidi w:val="0"/>
        <w:spacing w:after="0" w:line="500" w:lineRule="exact"/>
        <w:jc w:val="both"/>
        <w:rPr>
          <w:rFonts w:hint="eastAsia" w:ascii="仿宋_GB2312" w:hAnsi="仿宋" w:eastAsia="仿宋_GB2312"/>
          <w:color w:val="000000"/>
          <w:sz w:val="28"/>
          <w:szCs w:val="28"/>
        </w:rPr>
      </w:pPr>
      <w:r>
        <w:rPr>
          <w:rFonts w:hint="eastAsia" w:ascii="仿宋_GB2312" w:hAnsi="微软雅黑" w:eastAsia="仿宋_GB2312" w:cs="宋体"/>
          <w:color w:val="000000"/>
          <w:sz w:val="28"/>
          <w:szCs w:val="28"/>
        </w:rPr>
        <w:t>联系</w:t>
      </w:r>
      <w:r>
        <w:rPr>
          <w:rFonts w:ascii="仿宋_GB2312" w:hAnsi="微软雅黑" w:eastAsia="仿宋_GB2312" w:cs="宋体"/>
          <w:color w:val="000000"/>
          <w:sz w:val="28"/>
          <w:szCs w:val="28"/>
        </w:rPr>
        <w:t>方式：</w:t>
      </w:r>
      <w:r>
        <w:rPr>
          <w:rFonts w:hint="eastAsia" w:ascii="仿宋_GB2312" w:hAnsi="微软雅黑" w:eastAsia="仿宋_GB2312" w:cs="宋体"/>
          <w:color w:val="000000"/>
          <w:sz w:val="28"/>
          <w:szCs w:val="28"/>
        </w:rPr>
        <w:t>……</w:t>
      </w:r>
    </w:p>
    <w:p>
      <w:pPr>
        <w:keepNext w:val="0"/>
        <w:keepLines w:val="0"/>
        <w:pageBreakBefore w:val="0"/>
        <w:widowControl w:val="0"/>
        <w:wordWrap/>
        <w:bidi w:val="0"/>
        <w:spacing w:after="0" w:line="500" w:lineRule="exact"/>
        <w:jc w:val="both"/>
        <w:rPr>
          <w:rFonts w:hint="eastAsia" w:ascii="仿宋_GB2312" w:hAnsi="仿宋" w:eastAsia="仿宋_GB2312"/>
          <w:color w:val="000000"/>
          <w:sz w:val="28"/>
          <w:szCs w:val="28"/>
        </w:rPr>
      </w:pPr>
      <w:r>
        <w:rPr>
          <w:rFonts w:hint="eastAsia" w:ascii="仿宋_GB2312" w:hAnsi="微软雅黑" w:eastAsia="仿宋_GB2312" w:cs="宋体"/>
          <w:color w:val="000000"/>
          <w:sz w:val="28"/>
          <w:szCs w:val="28"/>
        </w:rPr>
        <w:t>委托方</w:t>
      </w:r>
      <w:r>
        <w:rPr>
          <w:rFonts w:ascii="仿宋_GB2312" w:hAnsi="微软雅黑" w:eastAsia="仿宋_GB2312" w:cs="宋体"/>
          <w:color w:val="000000"/>
          <w:sz w:val="28"/>
          <w:szCs w:val="28"/>
        </w:rPr>
        <w:t>2</w:t>
      </w:r>
      <w:r>
        <w:rPr>
          <w:rFonts w:hint="eastAsia" w:ascii="仿宋_GB2312" w:hAnsi="微软雅黑" w:eastAsia="仿宋_GB2312" w:cs="宋体"/>
          <w:color w:val="000000"/>
          <w:sz w:val="28"/>
          <w:szCs w:val="28"/>
        </w:rPr>
        <w:t>（甲方2）：……</w:t>
      </w:r>
    </w:p>
    <w:p>
      <w:pPr>
        <w:keepNext w:val="0"/>
        <w:keepLines w:val="0"/>
        <w:pageBreakBefore w:val="0"/>
        <w:widowControl w:val="0"/>
        <w:wordWrap/>
        <w:bidi w:val="0"/>
        <w:spacing w:after="0" w:line="500" w:lineRule="exact"/>
        <w:jc w:val="both"/>
        <w:rPr>
          <w:rFonts w:hint="eastAsia" w:ascii="仿宋_GB2312" w:hAnsi="仿宋" w:eastAsia="仿宋_GB2312"/>
          <w:color w:val="000000"/>
          <w:sz w:val="28"/>
          <w:szCs w:val="28"/>
        </w:rPr>
      </w:pPr>
      <w:r>
        <w:rPr>
          <w:rFonts w:hint="eastAsia" w:ascii="仿宋_GB2312" w:hAnsi="微软雅黑" w:eastAsia="仿宋_GB2312" w:cs="宋体"/>
          <w:color w:val="000000"/>
          <w:sz w:val="28"/>
          <w:szCs w:val="28"/>
        </w:rPr>
        <w:t>身份</w:t>
      </w:r>
      <w:r>
        <w:rPr>
          <w:rFonts w:ascii="仿宋_GB2312" w:hAnsi="微软雅黑" w:eastAsia="仿宋_GB2312" w:cs="宋体"/>
          <w:color w:val="000000"/>
          <w:sz w:val="28"/>
          <w:szCs w:val="28"/>
        </w:rPr>
        <w:t>证</w:t>
      </w:r>
      <w:r>
        <w:rPr>
          <w:rFonts w:hint="eastAsia" w:ascii="仿宋_GB2312" w:hAnsi="微软雅黑" w:eastAsia="仿宋_GB2312" w:cs="宋体"/>
          <w:color w:val="000000"/>
          <w:sz w:val="28"/>
          <w:szCs w:val="28"/>
        </w:rPr>
        <w:t>号码/法定</w:t>
      </w:r>
      <w:r>
        <w:rPr>
          <w:rFonts w:ascii="仿宋_GB2312" w:hAnsi="微软雅黑" w:eastAsia="仿宋_GB2312" w:cs="宋体"/>
          <w:color w:val="000000"/>
          <w:sz w:val="28"/>
          <w:szCs w:val="28"/>
        </w:rPr>
        <w:t>代表人</w:t>
      </w:r>
      <w:r>
        <w:rPr>
          <w:rFonts w:hint="eastAsia" w:ascii="仿宋_GB2312" w:hAnsi="微软雅黑" w:eastAsia="仿宋_GB2312" w:cs="宋体"/>
          <w:color w:val="000000"/>
          <w:sz w:val="28"/>
          <w:szCs w:val="28"/>
        </w:rPr>
        <w:t>：……</w:t>
      </w:r>
    </w:p>
    <w:p>
      <w:pPr>
        <w:keepNext w:val="0"/>
        <w:keepLines w:val="0"/>
        <w:pageBreakBefore w:val="0"/>
        <w:widowControl w:val="0"/>
        <w:wordWrap/>
        <w:bidi w:val="0"/>
        <w:spacing w:after="0" w:line="500" w:lineRule="exact"/>
        <w:jc w:val="both"/>
        <w:rPr>
          <w:rFonts w:hint="eastAsia" w:ascii="仿宋_GB2312" w:hAnsi="仿宋" w:eastAsia="仿宋_GB2312"/>
          <w:color w:val="000000"/>
          <w:sz w:val="28"/>
          <w:szCs w:val="28"/>
        </w:rPr>
      </w:pPr>
      <w:r>
        <w:rPr>
          <w:rFonts w:hint="eastAsia" w:ascii="仿宋_GB2312" w:hAnsi="微软雅黑" w:eastAsia="仿宋_GB2312" w:cs="宋体"/>
          <w:color w:val="000000"/>
          <w:sz w:val="28"/>
          <w:szCs w:val="28"/>
        </w:rPr>
        <w:t>地址</w:t>
      </w:r>
      <w:r>
        <w:rPr>
          <w:rFonts w:ascii="仿宋_GB2312" w:hAnsi="微软雅黑" w:eastAsia="仿宋_GB2312" w:cs="宋体"/>
          <w:color w:val="000000"/>
          <w:sz w:val="28"/>
          <w:szCs w:val="28"/>
        </w:rPr>
        <w:t>：</w:t>
      </w:r>
      <w:r>
        <w:rPr>
          <w:rFonts w:hint="eastAsia" w:ascii="仿宋_GB2312" w:hAnsi="微软雅黑" w:eastAsia="仿宋_GB2312" w:cs="宋体"/>
          <w:color w:val="000000"/>
          <w:sz w:val="28"/>
          <w:szCs w:val="28"/>
        </w:rPr>
        <w:t>……</w:t>
      </w:r>
    </w:p>
    <w:p>
      <w:pPr>
        <w:keepNext w:val="0"/>
        <w:keepLines w:val="0"/>
        <w:pageBreakBefore w:val="0"/>
        <w:widowControl w:val="0"/>
        <w:wordWrap/>
        <w:bidi w:val="0"/>
        <w:spacing w:after="0" w:line="500" w:lineRule="exact"/>
        <w:jc w:val="both"/>
        <w:rPr>
          <w:rFonts w:hint="eastAsia" w:ascii="仿宋_GB2312" w:hAnsi="仿宋" w:eastAsia="仿宋_GB2312"/>
          <w:color w:val="000000"/>
          <w:sz w:val="28"/>
          <w:szCs w:val="28"/>
        </w:rPr>
      </w:pPr>
      <w:r>
        <w:rPr>
          <w:rFonts w:hint="eastAsia" w:ascii="仿宋_GB2312" w:hAnsi="微软雅黑" w:eastAsia="仿宋_GB2312" w:cs="宋体"/>
          <w:color w:val="000000"/>
          <w:sz w:val="28"/>
          <w:szCs w:val="28"/>
        </w:rPr>
        <w:t>联系</w:t>
      </w:r>
      <w:r>
        <w:rPr>
          <w:rFonts w:ascii="仿宋_GB2312" w:hAnsi="微软雅黑" w:eastAsia="仿宋_GB2312" w:cs="宋体"/>
          <w:color w:val="000000"/>
          <w:sz w:val="28"/>
          <w:szCs w:val="28"/>
        </w:rPr>
        <w:t>方式：</w:t>
      </w:r>
      <w:r>
        <w:rPr>
          <w:rFonts w:hint="eastAsia" w:ascii="仿宋_GB2312" w:hAnsi="微软雅黑" w:eastAsia="仿宋_GB2312" w:cs="宋体"/>
          <w:color w:val="000000"/>
          <w:sz w:val="28"/>
          <w:szCs w:val="28"/>
        </w:rPr>
        <w:t>……</w:t>
      </w:r>
    </w:p>
    <w:p>
      <w:pPr>
        <w:keepNext w:val="0"/>
        <w:keepLines w:val="0"/>
        <w:pageBreakBefore w:val="0"/>
        <w:widowControl w:val="0"/>
        <w:wordWrap/>
        <w:bidi w:val="0"/>
        <w:spacing w:after="0" w:line="500" w:lineRule="exact"/>
        <w:jc w:val="both"/>
        <w:rPr>
          <w:rFonts w:hint="eastAsia" w:ascii="仿宋_GB2312" w:hAnsi="仿宋" w:eastAsia="仿宋_GB2312"/>
          <w:color w:val="000000"/>
          <w:sz w:val="28"/>
          <w:szCs w:val="28"/>
        </w:rPr>
      </w:pPr>
      <w:r>
        <w:rPr>
          <w:rFonts w:hint="eastAsia" w:ascii="仿宋_GB2312" w:hAnsi="微软雅黑" w:eastAsia="仿宋_GB2312" w:cs="宋体"/>
          <w:color w:val="000000"/>
          <w:sz w:val="28"/>
          <w:szCs w:val="28"/>
        </w:rPr>
        <w:t>受托方</w:t>
      </w:r>
      <w:r>
        <w:rPr>
          <w:rFonts w:ascii="仿宋_GB2312" w:hAnsi="微软雅黑" w:eastAsia="仿宋_GB2312" w:cs="宋体"/>
          <w:color w:val="000000"/>
          <w:sz w:val="28"/>
          <w:szCs w:val="28"/>
        </w:rPr>
        <w:t>（</w:t>
      </w:r>
      <w:r>
        <w:rPr>
          <w:rFonts w:hint="eastAsia" w:ascii="仿宋_GB2312" w:hAnsi="微软雅黑" w:eastAsia="仿宋_GB2312" w:cs="宋体"/>
          <w:color w:val="000000"/>
          <w:sz w:val="28"/>
          <w:szCs w:val="28"/>
        </w:rPr>
        <w:t>乙方</w:t>
      </w:r>
      <w:r>
        <w:rPr>
          <w:rFonts w:ascii="仿宋_GB2312" w:hAnsi="微软雅黑" w:eastAsia="仿宋_GB2312" w:cs="宋体"/>
          <w:color w:val="000000"/>
          <w:sz w:val="28"/>
          <w:szCs w:val="28"/>
        </w:rPr>
        <w:t>）</w:t>
      </w:r>
      <w:r>
        <w:rPr>
          <w:rFonts w:hint="eastAsia" w:ascii="仿宋_GB2312" w:hAnsi="微软雅黑" w:eastAsia="仿宋_GB2312" w:cs="宋体"/>
          <w:color w:val="000000"/>
          <w:sz w:val="28"/>
          <w:szCs w:val="28"/>
        </w:rPr>
        <w:t>：……</w:t>
      </w:r>
    </w:p>
    <w:p>
      <w:pPr>
        <w:keepNext w:val="0"/>
        <w:keepLines w:val="0"/>
        <w:pageBreakBefore w:val="0"/>
        <w:widowControl w:val="0"/>
        <w:wordWrap/>
        <w:bidi w:val="0"/>
        <w:spacing w:after="0" w:line="500" w:lineRule="exact"/>
        <w:jc w:val="both"/>
        <w:rPr>
          <w:rFonts w:hint="eastAsia" w:ascii="仿宋_GB2312" w:hAnsi="仿宋" w:eastAsia="仿宋_GB2312"/>
          <w:color w:val="000000"/>
          <w:sz w:val="28"/>
          <w:szCs w:val="28"/>
        </w:rPr>
      </w:pPr>
      <w:r>
        <w:rPr>
          <w:rFonts w:hint="eastAsia" w:ascii="仿宋_GB2312" w:hAnsi="微软雅黑" w:eastAsia="仿宋_GB2312" w:cs="宋体"/>
          <w:color w:val="000000"/>
          <w:sz w:val="28"/>
          <w:szCs w:val="28"/>
        </w:rPr>
        <w:t>地址</w:t>
      </w:r>
      <w:r>
        <w:rPr>
          <w:rFonts w:ascii="仿宋_GB2312" w:hAnsi="微软雅黑" w:eastAsia="仿宋_GB2312" w:cs="宋体"/>
          <w:color w:val="000000"/>
          <w:sz w:val="28"/>
          <w:szCs w:val="28"/>
        </w:rPr>
        <w:t>：</w:t>
      </w:r>
      <w:r>
        <w:rPr>
          <w:rFonts w:hint="eastAsia" w:ascii="仿宋_GB2312" w:hAnsi="微软雅黑" w:eastAsia="仿宋_GB2312" w:cs="宋体"/>
          <w:color w:val="000000"/>
          <w:sz w:val="28"/>
          <w:szCs w:val="28"/>
        </w:rPr>
        <w:t>……</w:t>
      </w:r>
    </w:p>
    <w:p>
      <w:pPr>
        <w:keepNext w:val="0"/>
        <w:keepLines w:val="0"/>
        <w:pageBreakBefore w:val="0"/>
        <w:widowControl w:val="0"/>
        <w:wordWrap/>
        <w:bidi w:val="0"/>
        <w:spacing w:after="0" w:line="500" w:lineRule="exact"/>
        <w:jc w:val="both"/>
        <w:rPr>
          <w:rFonts w:hint="eastAsia" w:ascii="仿宋_GB2312" w:hAnsi="仿宋" w:eastAsia="仿宋_GB2312"/>
          <w:color w:val="000000"/>
          <w:sz w:val="28"/>
          <w:szCs w:val="28"/>
        </w:rPr>
      </w:pPr>
      <w:r>
        <w:rPr>
          <w:rFonts w:hint="eastAsia" w:ascii="仿宋_GB2312" w:hAnsi="微软雅黑" w:eastAsia="仿宋_GB2312" w:cs="宋体"/>
          <w:color w:val="000000"/>
          <w:sz w:val="28"/>
          <w:szCs w:val="28"/>
        </w:rPr>
        <w:t>联系</w:t>
      </w:r>
      <w:r>
        <w:rPr>
          <w:rFonts w:ascii="仿宋_GB2312" w:hAnsi="微软雅黑" w:eastAsia="仿宋_GB2312" w:cs="宋体"/>
          <w:color w:val="000000"/>
          <w:sz w:val="28"/>
          <w:szCs w:val="28"/>
        </w:rPr>
        <w:t>方式</w:t>
      </w:r>
      <w:r>
        <w:rPr>
          <w:rFonts w:hint="eastAsia" w:ascii="仿宋_GB2312" w:hAnsi="微软雅黑" w:eastAsia="仿宋_GB2312" w:cs="宋体"/>
          <w:color w:val="000000"/>
          <w:sz w:val="28"/>
          <w:szCs w:val="28"/>
        </w:rPr>
        <w:t>：……</w:t>
      </w:r>
    </w:p>
    <w:p>
      <w:pPr>
        <w:keepNext w:val="0"/>
        <w:keepLines w:val="0"/>
        <w:pageBreakBefore w:val="0"/>
        <w:widowControl w:val="0"/>
        <w:wordWrap/>
        <w:bidi w:val="0"/>
        <w:spacing w:after="0" w:line="500" w:lineRule="exact"/>
        <w:jc w:val="both"/>
        <w:rPr>
          <w:rFonts w:ascii="仿宋_GB2312" w:hAnsi="微软雅黑" w:eastAsia="仿宋_GB2312" w:cs="宋体"/>
          <w:color w:val="000000"/>
          <w:sz w:val="28"/>
          <w:szCs w:val="28"/>
        </w:rPr>
      </w:pPr>
    </w:p>
    <w:p>
      <w:pPr>
        <w:keepNext w:val="0"/>
        <w:keepLines w:val="0"/>
        <w:pageBreakBefore w:val="0"/>
        <w:widowControl w:val="0"/>
        <w:wordWrap/>
        <w:bidi w:val="0"/>
        <w:spacing w:after="0" w:line="500" w:lineRule="exact"/>
        <w:ind w:firstLine="522" w:firstLineChars="200"/>
        <w:jc w:val="both"/>
        <w:rPr>
          <w:rFonts w:hint="eastAsia" w:ascii="仿宋_GB2312" w:hAnsi="微软雅黑" w:eastAsia="仿宋_GB2312" w:cs="宋体"/>
          <w:color w:val="000000"/>
          <w:sz w:val="28"/>
          <w:szCs w:val="28"/>
        </w:rPr>
      </w:pPr>
      <w:r>
        <w:rPr>
          <w:rFonts w:hint="eastAsia" w:ascii="仿宋_GB2312" w:hAnsi="微软雅黑" w:eastAsia="仿宋_GB2312" w:cs="宋体"/>
          <w:color w:val="000000"/>
          <w:sz w:val="28"/>
          <w:szCs w:val="28"/>
        </w:rPr>
        <w:t>根据《中华人民共和国律师法》的规定，就甲方1与</w:t>
      </w:r>
      <w:r>
        <w:rPr>
          <w:rFonts w:ascii="仿宋_GB2312" w:hAnsi="微软雅黑" w:eastAsia="仿宋_GB2312" w:cs="宋体"/>
          <w:color w:val="000000"/>
          <w:sz w:val="28"/>
          <w:szCs w:val="28"/>
        </w:rPr>
        <w:t>甲方</w:t>
      </w:r>
      <w:r>
        <w:rPr>
          <w:rFonts w:hint="eastAsia" w:ascii="仿宋_GB2312" w:hAnsi="微软雅黑" w:eastAsia="仿宋_GB2312" w:cs="宋体"/>
          <w:color w:val="000000"/>
          <w:sz w:val="28"/>
          <w:szCs w:val="28"/>
        </w:rPr>
        <w:t>2之间因</w:t>
      </w:r>
      <w:r>
        <w:rPr>
          <w:rFonts w:hint="eastAsia" w:ascii="仿宋_GB2312" w:hAnsi="微软雅黑" w:eastAsia="仿宋_GB2312" w:cs="宋体"/>
          <w:color w:val="000000"/>
          <w:sz w:val="28"/>
          <w:szCs w:val="28"/>
          <w:u w:val="single"/>
        </w:rPr>
        <w:t>××××</w:t>
      </w:r>
      <w:r>
        <w:rPr>
          <w:rFonts w:hint="eastAsia" w:ascii="仿宋_GB2312" w:hAnsi="微软雅黑" w:eastAsia="仿宋_GB2312" w:cs="宋体"/>
          <w:color w:val="000000"/>
          <w:sz w:val="28"/>
          <w:szCs w:val="28"/>
        </w:rPr>
        <w:t>纠纷委托</w:t>
      </w:r>
      <w:r>
        <w:rPr>
          <w:rFonts w:hint="eastAsia" w:ascii="仿宋_GB2312" w:hAnsi="微软雅黑" w:eastAsia="仿宋_GB2312" w:cs="宋体"/>
          <w:color w:val="000000"/>
          <w:sz w:val="28"/>
          <w:szCs w:val="28"/>
          <w:u w:val="single"/>
        </w:rPr>
        <w:t>××××</w:t>
      </w:r>
      <w:r>
        <w:rPr>
          <w:rFonts w:hint="eastAsia" w:ascii="仿宋_GB2312" w:hAnsi="微软雅黑" w:eastAsia="仿宋_GB2312" w:cs="宋体"/>
          <w:color w:val="000000"/>
          <w:sz w:val="28"/>
          <w:szCs w:val="28"/>
        </w:rPr>
        <w:t>律师事务所（以下简称乙方）的律师作为其调解机构的相关事宜。经双方协商一致，达成以下合意，以资双方共同遵守。</w:t>
      </w:r>
    </w:p>
    <w:p>
      <w:pPr>
        <w:keepNext w:val="0"/>
        <w:keepLines w:val="0"/>
        <w:pageBreakBefore w:val="0"/>
        <w:widowControl w:val="0"/>
        <w:wordWrap/>
        <w:bidi w:val="0"/>
        <w:spacing w:after="0" w:line="500" w:lineRule="exact"/>
        <w:ind w:firstLine="522" w:firstLineChars="200"/>
        <w:jc w:val="both"/>
        <w:rPr>
          <w:rFonts w:hint="eastAsia" w:ascii="黑体" w:hAnsi="黑体" w:eastAsia="黑体" w:cs="宋体"/>
          <w:color w:val="000000"/>
          <w:sz w:val="28"/>
          <w:szCs w:val="28"/>
        </w:rPr>
      </w:pPr>
      <w:r>
        <w:rPr>
          <w:rFonts w:hint="eastAsia" w:ascii="黑体" w:hAnsi="黑体" w:eastAsia="黑体" w:cs="宋体"/>
          <w:color w:val="000000"/>
          <w:sz w:val="28"/>
          <w:szCs w:val="28"/>
        </w:rPr>
        <w:t>一、委托事项</w:t>
      </w:r>
    </w:p>
    <w:p>
      <w:pPr>
        <w:keepNext w:val="0"/>
        <w:keepLines w:val="0"/>
        <w:pageBreakBefore w:val="0"/>
        <w:widowControl w:val="0"/>
        <w:wordWrap/>
        <w:bidi w:val="0"/>
        <w:spacing w:after="0" w:line="500" w:lineRule="exact"/>
        <w:ind w:firstLine="522" w:firstLineChars="200"/>
        <w:jc w:val="both"/>
        <w:rPr>
          <w:rFonts w:hint="eastAsia" w:ascii="仿宋_GB2312" w:hAnsi="微软雅黑" w:eastAsia="仿宋_GB2312" w:cs="宋体"/>
          <w:color w:val="000000"/>
          <w:sz w:val="28"/>
          <w:szCs w:val="28"/>
        </w:rPr>
      </w:pPr>
      <w:r>
        <w:rPr>
          <w:rFonts w:hint="eastAsia" w:ascii="仿宋_GB2312" w:hAnsi="微软雅黑" w:eastAsia="仿宋_GB2312" w:cs="宋体"/>
          <w:color w:val="000000"/>
          <w:sz w:val="28"/>
          <w:szCs w:val="28"/>
        </w:rPr>
        <w:t>甲方1与</w:t>
      </w:r>
      <w:r>
        <w:rPr>
          <w:rFonts w:ascii="仿宋_GB2312" w:hAnsi="微软雅黑" w:eastAsia="仿宋_GB2312" w:cs="宋体"/>
          <w:color w:val="000000"/>
          <w:sz w:val="28"/>
          <w:szCs w:val="28"/>
        </w:rPr>
        <w:t>甲方</w:t>
      </w:r>
      <w:r>
        <w:rPr>
          <w:rFonts w:hint="eastAsia" w:ascii="仿宋_GB2312" w:hAnsi="微软雅黑" w:eastAsia="仿宋_GB2312" w:cs="宋体"/>
          <w:color w:val="000000"/>
          <w:sz w:val="28"/>
          <w:szCs w:val="28"/>
        </w:rPr>
        <w:t>2之间因</w:t>
      </w:r>
      <w:r>
        <w:rPr>
          <w:rFonts w:hint="eastAsia" w:ascii="仿宋_GB2312" w:hAnsi="微软雅黑" w:eastAsia="仿宋_GB2312" w:cs="宋体"/>
          <w:color w:val="000000"/>
          <w:sz w:val="28"/>
          <w:szCs w:val="28"/>
          <w:u w:val="single"/>
        </w:rPr>
        <w:t xml:space="preserve"> ××××</w:t>
      </w:r>
      <w:r>
        <w:rPr>
          <w:rFonts w:ascii="仿宋_GB2312" w:hAnsi="微软雅黑" w:eastAsia="仿宋_GB2312" w:cs="宋体"/>
          <w:color w:val="000000"/>
          <w:sz w:val="28"/>
          <w:szCs w:val="28"/>
          <w:u w:val="single"/>
        </w:rPr>
        <w:t xml:space="preserve"> </w:t>
      </w:r>
      <w:r>
        <w:rPr>
          <w:rFonts w:hint="eastAsia" w:ascii="仿宋_GB2312" w:hAnsi="微软雅黑" w:eastAsia="仿宋_GB2312" w:cs="宋体"/>
          <w:color w:val="000000"/>
          <w:sz w:val="28"/>
          <w:szCs w:val="28"/>
        </w:rPr>
        <w:t>纠纷一案，特委托乙方作为其调解机构</w:t>
      </w:r>
      <w:r>
        <w:rPr>
          <w:rFonts w:ascii="仿宋_GB2312" w:hAnsi="微软雅黑" w:eastAsia="仿宋_GB2312" w:cs="宋体"/>
          <w:color w:val="000000"/>
          <w:sz w:val="28"/>
          <w:szCs w:val="28"/>
        </w:rPr>
        <w:t>主持、</w:t>
      </w:r>
      <w:r>
        <w:rPr>
          <w:rFonts w:hint="eastAsia" w:ascii="仿宋_GB2312" w:hAnsi="微软雅黑" w:eastAsia="仿宋_GB2312" w:cs="宋体"/>
          <w:color w:val="000000"/>
          <w:sz w:val="28"/>
          <w:szCs w:val="28"/>
        </w:rPr>
        <w:t>参与调解，乙方接受甲方委托，指派</w:t>
      </w:r>
      <w:r>
        <w:rPr>
          <w:rFonts w:hint="eastAsia" w:ascii="仿宋_GB2312" w:hAnsi="微软雅黑" w:eastAsia="仿宋_GB2312" w:cs="宋体"/>
          <w:color w:val="000000"/>
          <w:sz w:val="28"/>
          <w:szCs w:val="28"/>
          <w:u w:val="single"/>
        </w:rPr>
        <w:t xml:space="preserve"> ×××</w:t>
      </w:r>
      <w:r>
        <w:rPr>
          <w:rFonts w:ascii="仿宋_GB2312" w:hAnsi="微软雅黑" w:eastAsia="仿宋_GB2312" w:cs="宋体"/>
          <w:color w:val="000000"/>
          <w:sz w:val="28"/>
          <w:szCs w:val="28"/>
          <w:u w:val="single"/>
        </w:rPr>
        <w:t xml:space="preserve"> </w:t>
      </w:r>
      <w:r>
        <w:rPr>
          <w:rFonts w:ascii="仿宋_GB2312" w:hAnsi="微软雅黑" w:eastAsia="仿宋_GB2312" w:cs="宋体"/>
          <w:color w:val="000000"/>
          <w:sz w:val="28"/>
          <w:szCs w:val="28"/>
        </w:rPr>
        <w:t xml:space="preserve"> </w:t>
      </w:r>
      <w:r>
        <w:rPr>
          <w:rFonts w:hint="eastAsia" w:ascii="仿宋_GB2312" w:hAnsi="微软雅黑" w:eastAsia="仿宋_GB2312" w:cs="宋体"/>
          <w:color w:val="000000"/>
          <w:sz w:val="28"/>
          <w:szCs w:val="28"/>
        </w:rPr>
        <w:t>律师为甲方1与甲方2纠纷一案甲方的律师调解员，主持、</w:t>
      </w:r>
      <w:r>
        <w:rPr>
          <w:rFonts w:ascii="仿宋_GB2312" w:hAnsi="微软雅黑" w:eastAsia="仿宋_GB2312" w:cs="宋体"/>
          <w:color w:val="000000"/>
          <w:sz w:val="28"/>
          <w:szCs w:val="28"/>
        </w:rPr>
        <w:t>参与</w:t>
      </w:r>
      <w:r>
        <w:rPr>
          <w:rFonts w:hint="eastAsia" w:ascii="仿宋_GB2312" w:hAnsi="微软雅黑" w:eastAsia="仿宋_GB2312" w:cs="宋体"/>
          <w:color w:val="000000"/>
          <w:sz w:val="28"/>
          <w:szCs w:val="28"/>
        </w:rPr>
        <w:t>双方</w:t>
      </w:r>
      <w:r>
        <w:rPr>
          <w:rFonts w:ascii="仿宋_GB2312" w:hAnsi="微软雅黑" w:eastAsia="仿宋_GB2312" w:cs="宋体"/>
          <w:color w:val="000000"/>
          <w:sz w:val="28"/>
          <w:szCs w:val="28"/>
        </w:rPr>
        <w:t>的民商事纠纷</w:t>
      </w:r>
      <w:r>
        <w:rPr>
          <w:rFonts w:hint="eastAsia" w:ascii="仿宋_GB2312" w:hAnsi="微软雅黑" w:eastAsia="仿宋_GB2312" w:cs="宋体"/>
          <w:color w:val="000000"/>
          <w:sz w:val="28"/>
          <w:szCs w:val="28"/>
        </w:rPr>
        <w:t>。</w:t>
      </w:r>
    </w:p>
    <w:p>
      <w:pPr>
        <w:keepNext w:val="0"/>
        <w:keepLines w:val="0"/>
        <w:pageBreakBefore w:val="0"/>
        <w:widowControl w:val="0"/>
        <w:wordWrap/>
        <w:bidi w:val="0"/>
        <w:spacing w:after="0" w:line="500" w:lineRule="exact"/>
        <w:ind w:firstLine="522" w:firstLineChars="200"/>
        <w:jc w:val="both"/>
        <w:rPr>
          <w:rFonts w:hint="eastAsia" w:ascii="黑体" w:hAnsi="黑体" w:eastAsia="黑体" w:cs="宋体"/>
          <w:color w:val="000000"/>
          <w:sz w:val="28"/>
          <w:szCs w:val="28"/>
        </w:rPr>
      </w:pPr>
      <w:r>
        <w:rPr>
          <w:rFonts w:hint="eastAsia" w:ascii="黑体" w:hAnsi="黑体" w:eastAsia="黑体" w:cs="宋体"/>
          <w:color w:val="000000"/>
          <w:sz w:val="28"/>
          <w:szCs w:val="28"/>
        </w:rPr>
        <w:t>二、委托期限</w:t>
      </w:r>
    </w:p>
    <w:p>
      <w:pPr>
        <w:keepNext w:val="0"/>
        <w:keepLines w:val="0"/>
        <w:pageBreakBefore w:val="0"/>
        <w:widowControl w:val="0"/>
        <w:wordWrap/>
        <w:bidi w:val="0"/>
        <w:spacing w:after="0" w:line="500" w:lineRule="exact"/>
        <w:ind w:firstLine="522" w:firstLineChars="200"/>
        <w:jc w:val="both"/>
        <w:rPr>
          <w:rFonts w:hint="eastAsia" w:ascii="仿宋_GB2312" w:hAnsi="微软雅黑" w:eastAsia="仿宋_GB2312" w:cs="宋体"/>
          <w:color w:val="000000"/>
          <w:sz w:val="28"/>
          <w:szCs w:val="28"/>
        </w:rPr>
      </w:pPr>
      <w:r>
        <w:rPr>
          <w:rFonts w:hint="eastAsia" w:ascii="仿宋_GB2312" w:hAnsi="微软雅黑" w:eastAsia="仿宋_GB2312" w:cs="宋体"/>
          <w:color w:val="000000"/>
          <w:sz w:val="28"/>
          <w:szCs w:val="28"/>
        </w:rPr>
        <w:t>经各方协商一致，委托期限自本合同签订之日起至之</w:t>
      </w:r>
      <w:r>
        <w:rPr>
          <w:rFonts w:hint="eastAsia" w:ascii="仿宋_GB2312" w:hAnsi="微软雅黑" w:eastAsia="仿宋_GB2312" w:cs="宋体"/>
          <w:color w:val="000000"/>
          <w:sz w:val="28"/>
          <w:szCs w:val="28"/>
          <w:u w:val="single"/>
        </w:rPr>
        <w:t>××××××</w:t>
      </w:r>
      <w:r>
        <w:rPr>
          <w:rFonts w:hint="eastAsia" w:ascii="仿宋_GB2312" w:hAnsi="微软雅黑" w:eastAsia="仿宋_GB2312" w:cs="宋体"/>
          <w:color w:val="000000"/>
          <w:sz w:val="28"/>
          <w:szCs w:val="28"/>
        </w:rPr>
        <w:t>止。</w:t>
      </w:r>
    </w:p>
    <w:p>
      <w:pPr>
        <w:keepNext w:val="0"/>
        <w:keepLines w:val="0"/>
        <w:pageBreakBefore w:val="0"/>
        <w:widowControl w:val="0"/>
        <w:wordWrap/>
        <w:bidi w:val="0"/>
        <w:spacing w:after="0" w:line="500" w:lineRule="exact"/>
        <w:ind w:firstLine="522" w:firstLineChars="200"/>
        <w:jc w:val="both"/>
        <w:rPr>
          <w:rFonts w:hint="eastAsia" w:ascii="黑体" w:hAnsi="黑体" w:eastAsia="黑体" w:cs="宋体"/>
          <w:color w:val="000000"/>
          <w:sz w:val="28"/>
          <w:szCs w:val="28"/>
        </w:rPr>
      </w:pPr>
      <w:r>
        <w:rPr>
          <w:rFonts w:hint="eastAsia" w:ascii="黑体" w:hAnsi="黑体" w:eastAsia="黑体" w:cs="宋体"/>
          <w:color w:val="000000"/>
          <w:sz w:val="28"/>
          <w:szCs w:val="28"/>
        </w:rPr>
        <w:t>三、委托调解</w:t>
      </w:r>
      <w:r>
        <w:rPr>
          <w:rFonts w:ascii="黑体" w:hAnsi="黑体" w:eastAsia="黑体" w:cs="宋体"/>
          <w:color w:val="000000"/>
          <w:sz w:val="28"/>
          <w:szCs w:val="28"/>
        </w:rPr>
        <w:t>费用</w:t>
      </w:r>
    </w:p>
    <w:p>
      <w:pPr>
        <w:keepNext w:val="0"/>
        <w:keepLines w:val="0"/>
        <w:pageBreakBefore w:val="0"/>
        <w:widowControl w:val="0"/>
        <w:wordWrap/>
        <w:bidi w:val="0"/>
        <w:spacing w:after="0" w:line="500" w:lineRule="exact"/>
        <w:ind w:firstLine="392" w:firstLineChars="150"/>
        <w:jc w:val="both"/>
        <w:rPr>
          <w:rFonts w:ascii="仿宋_GB2312" w:hAnsi="微软雅黑" w:eastAsia="仿宋_GB2312" w:cs="宋体"/>
          <w:color w:val="000000"/>
          <w:sz w:val="28"/>
          <w:szCs w:val="28"/>
        </w:rPr>
      </w:pPr>
      <w:r>
        <w:rPr>
          <w:rFonts w:hint="eastAsia" w:ascii="仿宋_GB2312" w:hAnsi="微软雅黑" w:eastAsia="仿宋_GB2312" w:cs="宋体"/>
          <w:color w:val="000000"/>
          <w:sz w:val="28"/>
          <w:szCs w:val="28"/>
        </w:rPr>
        <w:t>（一）根据《湖南省律师服务收费标准》的规定，经各方协商一致，甲方1和</w:t>
      </w:r>
      <w:r>
        <w:rPr>
          <w:rFonts w:ascii="仿宋_GB2312" w:hAnsi="微软雅黑" w:eastAsia="仿宋_GB2312" w:cs="宋体"/>
          <w:color w:val="000000"/>
          <w:sz w:val="28"/>
          <w:szCs w:val="28"/>
        </w:rPr>
        <w:t>甲方</w:t>
      </w:r>
      <w:r>
        <w:rPr>
          <w:rFonts w:hint="eastAsia" w:ascii="仿宋_GB2312" w:hAnsi="微软雅黑" w:eastAsia="仿宋_GB2312" w:cs="宋体"/>
          <w:color w:val="000000"/>
          <w:sz w:val="28"/>
          <w:szCs w:val="28"/>
        </w:rPr>
        <w:t>2在</w:t>
      </w:r>
      <w:r>
        <w:rPr>
          <w:rFonts w:ascii="仿宋_GB2312" w:hAnsi="微软雅黑" w:eastAsia="仿宋_GB2312" w:cs="宋体"/>
          <w:color w:val="000000"/>
          <w:sz w:val="28"/>
          <w:szCs w:val="28"/>
        </w:rPr>
        <w:t>本协议签订</w:t>
      </w:r>
      <w:r>
        <w:rPr>
          <w:rFonts w:hint="eastAsia" w:ascii="仿宋_GB2312" w:hAnsi="微软雅黑" w:eastAsia="仿宋_GB2312" w:cs="宋体"/>
          <w:color w:val="000000"/>
          <w:sz w:val="28"/>
          <w:szCs w:val="28"/>
        </w:rPr>
        <w:t>当日分别</w:t>
      </w:r>
      <w:r>
        <w:rPr>
          <w:rFonts w:ascii="仿宋_GB2312" w:hAnsi="微软雅黑" w:eastAsia="仿宋_GB2312" w:cs="宋体"/>
          <w:color w:val="000000"/>
          <w:sz w:val="28"/>
          <w:szCs w:val="28"/>
        </w:rPr>
        <w:t>向乙方</w:t>
      </w:r>
      <w:r>
        <w:rPr>
          <w:rFonts w:hint="eastAsia" w:ascii="仿宋_GB2312" w:hAnsi="微软雅黑" w:eastAsia="仿宋_GB2312" w:cs="宋体"/>
          <w:color w:val="000000"/>
          <w:sz w:val="28"/>
          <w:szCs w:val="28"/>
        </w:rPr>
        <w:t>支付全部</w:t>
      </w:r>
      <w:r>
        <w:rPr>
          <w:rFonts w:ascii="仿宋_GB2312" w:hAnsi="微软雅黑" w:eastAsia="仿宋_GB2312" w:cs="宋体"/>
          <w:color w:val="000000"/>
          <w:sz w:val="28"/>
          <w:szCs w:val="28"/>
        </w:rPr>
        <w:t>委托调解费用，</w:t>
      </w:r>
      <w:r>
        <w:rPr>
          <w:rFonts w:hint="eastAsia" w:ascii="仿宋_GB2312" w:hAnsi="微软雅黑" w:eastAsia="仿宋_GB2312" w:cs="宋体"/>
          <w:color w:val="000000"/>
          <w:sz w:val="28"/>
          <w:szCs w:val="28"/>
        </w:rPr>
        <w:t>本案的委托调解</w:t>
      </w:r>
      <w:r>
        <w:rPr>
          <w:rFonts w:ascii="仿宋_GB2312" w:hAnsi="微软雅黑" w:eastAsia="仿宋_GB2312" w:cs="宋体"/>
          <w:color w:val="000000"/>
          <w:sz w:val="28"/>
          <w:szCs w:val="28"/>
        </w:rPr>
        <w:t>费用</w:t>
      </w:r>
      <w:r>
        <w:rPr>
          <w:rFonts w:hint="eastAsia" w:ascii="仿宋_GB2312" w:hAnsi="微软雅黑" w:eastAsia="仿宋_GB2312" w:cs="宋体"/>
          <w:color w:val="000000"/>
          <w:sz w:val="28"/>
          <w:szCs w:val="28"/>
        </w:rPr>
        <w:t>按照以下标准收取：</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olor w:val="000000"/>
          <w:sz w:val="28"/>
          <w:szCs w:val="28"/>
        </w:rPr>
      </w:pPr>
      <w:r>
        <w:rPr>
          <w:rFonts w:hint="eastAsia" w:ascii="仿宋_GB2312" w:hAnsi="微软雅黑" w:eastAsia="仿宋_GB2312" w:cs="宋体"/>
          <w:color w:val="000000"/>
          <w:sz w:val="28"/>
          <w:szCs w:val="28"/>
        </w:rPr>
        <w:t>………………</w:t>
      </w:r>
    </w:p>
    <w:p>
      <w:pPr>
        <w:keepNext w:val="0"/>
        <w:keepLines w:val="0"/>
        <w:pageBreakBefore w:val="0"/>
        <w:widowControl w:val="0"/>
        <w:wordWrap/>
        <w:bidi w:val="0"/>
        <w:spacing w:after="0" w:line="500" w:lineRule="exact"/>
        <w:ind w:firstLine="392" w:firstLineChars="150"/>
        <w:jc w:val="both"/>
        <w:rPr>
          <w:rFonts w:hint="eastAsia" w:ascii="仿宋_GB2312" w:hAnsi="微软雅黑" w:eastAsia="仿宋_GB2312" w:cs="宋体"/>
          <w:color w:val="000000"/>
          <w:sz w:val="28"/>
          <w:szCs w:val="28"/>
        </w:rPr>
      </w:pPr>
      <w:r>
        <w:rPr>
          <w:rFonts w:hint="eastAsia" w:ascii="仿宋_GB2312" w:hAnsi="微软雅黑" w:eastAsia="仿宋_GB2312" w:cs="宋体"/>
          <w:color w:val="000000"/>
          <w:sz w:val="28"/>
          <w:szCs w:val="28"/>
        </w:rPr>
        <w:t>（二）乙方指定收款账户：</w:t>
      </w:r>
    </w:p>
    <w:p>
      <w:pPr>
        <w:keepNext w:val="0"/>
        <w:keepLines w:val="0"/>
        <w:pageBreakBefore w:val="0"/>
        <w:widowControl w:val="0"/>
        <w:wordWrap/>
        <w:bidi w:val="0"/>
        <w:spacing w:after="0" w:line="500" w:lineRule="exact"/>
        <w:ind w:firstLine="522" w:firstLineChars="200"/>
        <w:jc w:val="both"/>
        <w:rPr>
          <w:rFonts w:hint="eastAsia" w:ascii="仿宋_GB2312" w:hAnsi="微软雅黑" w:eastAsia="仿宋_GB2312" w:cs="宋体"/>
          <w:color w:val="000000"/>
          <w:sz w:val="28"/>
          <w:szCs w:val="28"/>
        </w:rPr>
      </w:pPr>
      <w:r>
        <w:rPr>
          <w:rFonts w:hint="eastAsia" w:ascii="仿宋_GB2312" w:hAnsi="微软雅黑" w:eastAsia="仿宋_GB2312" w:cs="宋体"/>
          <w:color w:val="000000"/>
          <w:sz w:val="28"/>
          <w:szCs w:val="28"/>
        </w:rPr>
        <w:t>开户名： ……</w:t>
      </w:r>
    </w:p>
    <w:p>
      <w:pPr>
        <w:keepNext w:val="0"/>
        <w:keepLines w:val="0"/>
        <w:pageBreakBefore w:val="0"/>
        <w:widowControl w:val="0"/>
        <w:wordWrap/>
        <w:bidi w:val="0"/>
        <w:spacing w:after="0" w:line="500" w:lineRule="exact"/>
        <w:ind w:firstLine="522" w:firstLineChars="200"/>
        <w:jc w:val="both"/>
        <w:rPr>
          <w:rFonts w:hint="eastAsia" w:ascii="仿宋_GB2312" w:hAnsi="微软雅黑" w:eastAsia="仿宋_GB2312" w:cs="宋体"/>
          <w:color w:val="000000"/>
          <w:sz w:val="28"/>
          <w:szCs w:val="28"/>
        </w:rPr>
      </w:pPr>
      <w:r>
        <w:rPr>
          <w:rFonts w:hint="eastAsia" w:ascii="仿宋_GB2312" w:hAnsi="微软雅黑" w:eastAsia="仿宋_GB2312" w:cs="宋体"/>
          <w:color w:val="000000"/>
          <w:sz w:val="28"/>
          <w:szCs w:val="28"/>
        </w:rPr>
        <w:t>账  户：</w:t>
      </w:r>
      <w:r>
        <w:rPr>
          <w:rFonts w:ascii="仿宋_GB2312" w:hAnsi="微软雅黑" w:eastAsia="仿宋_GB2312" w:cs="宋体"/>
          <w:color w:val="000000"/>
          <w:sz w:val="28"/>
          <w:szCs w:val="28"/>
        </w:rPr>
        <w:t xml:space="preserve"> </w:t>
      </w:r>
      <w:r>
        <w:rPr>
          <w:rFonts w:hint="eastAsia" w:ascii="仿宋_GB2312" w:hAnsi="微软雅黑" w:eastAsia="仿宋_GB2312" w:cs="宋体"/>
          <w:color w:val="000000"/>
          <w:sz w:val="28"/>
          <w:szCs w:val="28"/>
        </w:rPr>
        <w:t>……</w:t>
      </w:r>
    </w:p>
    <w:p>
      <w:pPr>
        <w:keepNext w:val="0"/>
        <w:keepLines w:val="0"/>
        <w:pageBreakBefore w:val="0"/>
        <w:widowControl w:val="0"/>
        <w:wordWrap/>
        <w:bidi w:val="0"/>
        <w:spacing w:after="0" w:line="500" w:lineRule="exact"/>
        <w:ind w:firstLine="522" w:firstLineChars="200"/>
        <w:jc w:val="both"/>
        <w:rPr>
          <w:rFonts w:ascii="仿宋_GB2312" w:hAnsi="微软雅黑" w:eastAsia="仿宋_GB2312" w:cs="宋体"/>
          <w:color w:val="000000"/>
          <w:sz w:val="28"/>
          <w:szCs w:val="28"/>
        </w:rPr>
      </w:pPr>
      <w:r>
        <w:rPr>
          <w:rFonts w:hint="eastAsia" w:ascii="仿宋_GB2312" w:hAnsi="微软雅黑" w:eastAsia="仿宋_GB2312" w:cs="宋体"/>
          <w:color w:val="000000"/>
          <w:sz w:val="28"/>
          <w:szCs w:val="28"/>
        </w:rPr>
        <w:t>开户行： ……</w:t>
      </w:r>
    </w:p>
    <w:p>
      <w:pPr>
        <w:keepNext w:val="0"/>
        <w:keepLines w:val="0"/>
        <w:pageBreakBefore w:val="0"/>
        <w:widowControl w:val="0"/>
        <w:wordWrap/>
        <w:bidi w:val="0"/>
        <w:spacing w:after="0" w:line="500" w:lineRule="exact"/>
        <w:ind w:firstLine="522" w:firstLineChars="200"/>
        <w:jc w:val="both"/>
        <w:rPr>
          <w:rFonts w:hint="eastAsia" w:ascii="黑体" w:hAnsi="黑体" w:eastAsia="黑体" w:cs="宋体"/>
          <w:color w:val="000000"/>
          <w:sz w:val="28"/>
          <w:szCs w:val="28"/>
        </w:rPr>
      </w:pPr>
      <w:r>
        <w:rPr>
          <w:rFonts w:hint="eastAsia" w:ascii="黑体" w:hAnsi="黑体" w:eastAsia="黑体" w:cs="宋体"/>
          <w:color w:val="000000"/>
          <w:sz w:val="28"/>
          <w:szCs w:val="28"/>
        </w:rPr>
        <w:t>四、解除</w:t>
      </w:r>
      <w:r>
        <w:rPr>
          <w:rFonts w:ascii="黑体" w:hAnsi="黑体" w:eastAsia="黑体" w:cs="宋体"/>
          <w:color w:val="000000"/>
          <w:sz w:val="28"/>
          <w:szCs w:val="28"/>
        </w:rPr>
        <w:t>委托、终止</w:t>
      </w:r>
      <w:r>
        <w:rPr>
          <w:rFonts w:hint="eastAsia" w:ascii="黑体" w:hAnsi="黑体" w:eastAsia="黑体" w:cs="宋体"/>
          <w:color w:val="000000"/>
          <w:sz w:val="28"/>
          <w:szCs w:val="28"/>
        </w:rPr>
        <w:t>情形</w:t>
      </w:r>
    </w:p>
    <w:p>
      <w:pPr>
        <w:keepNext w:val="0"/>
        <w:keepLines w:val="0"/>
        <w:pageBreakBefore w:val="0"/>
        <w:widowControl w:val="0"/>
        <w:wordWrap/>
        <w:bidi w:val="0"/>
        <w:spacing w:after="0" w:line="500" w:lineRule="exact"/>
        <w:ind w:firstLine="392" w:firstLineChars="150"/>
        <w:jc w:val="both"/>
        <w:rPr>
          <w:rFonts w:hint="eastAsia" w:ascii="仿宋_GB2312" w:hAnsi="微软雅黑" w:eastAsia="仿宋_GB2312" w:cs="宋体"/>
          <w:color w:val="000000"/>
          <w:sz w:val="28"/>
          <w:szCs w:val="28"/>
        </w:rPr>
      </w:pPr>
      <w:r>
        <w:rPr>
          <w:rFonts w:hint="eastAsia" w:ascii="仿宋_GB2312" w:hAnsi="微软雅黑" w:eastAsia="仿宋_GB2312" w:cs="宋体"/>
          <w:color w:val="000000"/>
          <w:sz w:val="28"/>
          <w:szCs w:val="28"/>
        </w:rPr>
        <w:t>（一）纠纷各方当事人之间达成谅解的；</w:t>
      </w:r>
    </w:p>
    <w:p>
      <w:pPr>
        <w:keepNext w:val="0"/>
        <w:keepLines w:val="0"/>
        <w:pageBreakBefore w:val="0"/>
        <w:widowControl w:val="0"/>
        <w:wordWrap/>
        <w:bidi w:val="0"/>
        <w:spacing w:after="0" w:line="500" w:lineRule="exact"/>
        <w:ind w:firstLine="392" w:firstLineChars="150"/>
        <w:jc w:val="both"/>
        <w:rPr>
          <w:rFonts w:hint="eastAsia" w:ascii="仿宋_GB2312" w:hAnsi="微软雅黑" w:eastAsia="仿宋_GB2312" w:cs="宋体"/>
          <w:color w:val="000000"/>
          <w:sz w:val="28"/>
          <w:szCs w:val="28"/>
        </w:rPr>
      </w:pPr>
      <w:r>
        <w:rPr>
          <w:rFonts w:hint="eastAsia" w:ascii="仿宋_GB2312" w:hAnsi="微软雅黑" w:eastAsia="仿宋_GB2312" w:cs="宋体"/>
          <w:color w:val="000000"/>
          <w:sz w:val="28"/>
          <w:szCs w:val="28"/>
        </w:rPr>
        <w:t>（二）纠纷各方当事人之间达成和解、调解协议的；</w:t>
      </w:r>
    </w:p>
    <w:p>
      <w:pPr>
        <w:keepNext w:val="0"/>
        <w:keepLines w:val="0"/>
        <w:pageBreakBefore w:val="0"/>
        <w:widowControl w:val="0"/>
        <w:wordWrap/>
        <w:bidi w:val="0"/>
        <w:spacing w:after="0" w:line="500" w:lineRule="exact"/>
        <w:ind w:firstLine="392" w:firstLineChars="150"/>
        <w:jc w:val="both"/>
        <w:rPr>
          <w:rFonts w:hint="eastAsia" w:ascii="仿宋_GB2312" w:hAnsi="微软雅黑" w:eastAsia="仿宋_GB2312" w:cs="宋体"/>
          <w:color w:val="000000"/>
          <w:sz w:val="28"/>
          <w:szCs w:val="28"/>
        </w:rPr>
      </w:pPr>
      <w:r>
        <w:rPr>
          <w:rFonts w:hint="eastAsia" w:ascii="仿宋_GB2312" w:hAnsi="微软雅黑" w:eastAsia="仿宋_GB2312" w:cs="宋体"/>
          <w:color w:val="000000"/>
          <w:sz w:val="28"/>
          <w:szCs w:val="28"/>
        </w:rPr>
        <w:t>（三）纠纷各方或任何一方当事人终止调解程序的；</w:t>
      </w:r>
    </w:p>
    <w:p>
      <w:pPr>
        <w:keepNext w:val="0"/>
        <w:keepLines w:val="0"/>
        <w:pageBreakBefore w:val="0"/>
        <w:widowControl w:val="0"/>
        <w:wordWrap/>
        <w:bidi w:val="0"/>
        <w:spacing w:after="0" w:line="500" w:lineRule="exact"/>
        <w:ind w:firstLine="392" w:firstLineChars="150"/>
        <w:jc w:val="both"/>
        <w:rPr>
          <w:rFonts w:ascii="仿宋_GB2312" w:hAnsi="微软雅黑" w:eastAsia="仿宋_GB2312" w:cs="宋体"/>
          <w:color w:val="000000"/>
          <w:sz w:val="28"/>
          <w:szCs w:val="28"/>
        </w:rPr>
      </w:pPr>
      <w:r>
        <w:rPr>
          <w:rFonts w:hint="eastAsia" w:ascii="仿宋_GB2312" w:hAnsi="微软雅黑" w:eastAsia="仿宋_GB2312" w:cs="宋体"/>
          <w:color w:val="000000"/>
          <w:sz w:val="28"/>
          <w:szCs w:val="28"/>
        </w:rPr>
        <w:t>（四）律师调解员认为调解存在不适宜情形或继续调解已无成功可能的；</w:t>
      </w:r>
    </w:p>
    <w:p>
      <w:pPr>
        <w:keepNext w:val="0"/>
        <w:keepLines w:val="0"/>
        <w:pageBreakBefore w:val="0"/>
        <w:widowControl w:val="0"/>
        <w:wordWrap/>
        <w:bidi w:val="0"/>
        <w:spacing w:after="0" w:line="500" w:lineRule="exact"/>
        <w:ind w:firstLine="392" w:firstLineChars="150"/>
        <w:jc w:val="both"/>
        <w:rPr>
          <w:rFonts w:hint="eastAsia" w:ascii="仿宋_GB2312" w:hAnsi="微软雅黑" w:eastAsia="仿宋_GB2312" w:cs="宋体"/>
          <w:color w:val="000000"/>
          <w:sz w:val="28"/>
          <w:szCs w:val="28"/>
        </w:rPr>
      </w:pPr>
      <w:r>
        <w:rPr>
          <w:rFonts w:hint="eastAsia" w:ascii="仿宋_GB2312" w:hAnsi="微软雅黑" w:eastAsia="仿宋_GB2312" w:cs="宋体"/>
          <w:color w:val="000000"/>
          <w:sz w:val="28"/>
          <w:szCs w:val="28"/>
        </w:rPr>
        <w:t>（五）捏造事实，弄虚作假，存在</w:t>
      </w:r>
      <w:r>
        <w:rPr>
          <w:rFonts w:ascii="仿宋_GB2312" w:hAnsi="微软雅黑" w:eastAsia="仿宋_GB2312" w:cs="宋体"/>
          <w:color w:val="000000"/>
          <w:sz w:val="28"/>
          <w:szCs w:val="28"/>
        </w:rPr>
        <w:t>虚假诉讼可能的；</w:t>
      </w:r>
    </w:p>
    <w:p>
      <w:pPr>
        <w:keepNext w:val="0"/>
        <w:keepLines w:val="0"/>
        <w:pageBreakBefore w:val="0"/>
        <w:widowControl w:val="0"/>
        <w:wordWrap/>
        <w:bidi w:val="0"/>
        <w:spacing w:after="0" w:line="500" w:lineRule="exact"/>
        <w:ind w:firstLine="392" w:firstLineChars="150"/>
        <w:jc w:val="both"/>
        <w:rPr>
          <w:rFonts w:ascii="仿宋_GB2312" w:hAnsi="微软雅黑" w:eastAsia="仿宋_GB2312" w:cs="宋体"/>
          <w:color w:val="000000"/>
          <w:sz w:val="28"/>
          <w:szCs w:val="28"/>
        </w:rPr>
      </w:pPr>
      <w:r>
        <w:rPr>
          <w:rFonts w:hint="eastAsia" w:ascii="仿宋_GB2312" w:hAnsi="微软雅黑" w:eastAsia="仿宋_GB2312" w:cs="宋体"/>
          <w:color w:val="000000"/>
          <w:sz w:val="28"/>
          <w:szCs w:val="28"/>
        </w:rPr>
        <w:t>（六）根据调解机构调解规则或委托调解协议，应终结调解程序的。</w:t>
      </w:r>
    </w:p>
    <w:p>
      <w:pPr>
        <w:keepNext w:val="0"/>
        <w:keepLines w:val="0"/>
        <w:pageBreakBefore w:val="0"/>
        <w:widowControl w:val="0"/>
        <w:wordWrap/>
        <w:bidi w:val="0"/>
        <w:spacing w:after="0" w:line="500" w:lineRule="exact"/>
        <w:ind w:firstLine="522" w:firstLineChars="200"/>
        <w:jc w:val="both"/>
        <w:rPr>
          <w:rFonts w:hint="eastAsia" w:ascii="黑体" w:hAnsi="黑体" w:eastAsia="黑体" w:cs="宋体"/>
          <w:color w:val="000000"/>
          <w:sz w:val="28"/>
          <w:szCs w:val="28"/>
        </w:rPr>
      </w:pPr>
      <w:r>
        <w:rPr>
          <w:rFonts w:hint="eastAsia" w:ascii="黑体" w:hAnsi="黑体" w:eastAsia="黑体" w:cs="宋体"/>
          <w:color w:val="000000"/>
          <w:sz w:val="28"/>
          <w:szCs w:val="28"/>
        </w:rPr>
        <w:t>五、其他</w:t>
      </w:r>
    </w:p>
    <w:p>
      <w:pPr>
        <w:keepNext w:val="0"/>
        <w:keepLines w:val="0"/>
        <w:pageBreakBefore w:val="0"/>
        <w:widowControl w:val="0"/>
        <w:wordWrap/>
        <w:bidi w:val="0"/>
        <w:spacing w:after="0" w:line="500" w:lineRule="exact"/>
        <w:ind w:firstLine="392" w:firstLineChars="150"/>
        <w:jc w:val="both"/>
        <w:rPr>
          <w:rFonts w:hint="eastAsia" w:ascii="仿宋_GB2312" w:hAnsi="微软雅黑" w:eastAsia="仿宋_GB2312" w:cs="宋体"/>
          <w:color w:val="000000"/>
          <w:sz w:val="28"/>
          <w:szCs w:val="28"/>
        </w:rPr>
      </w:pPr>
      <w:r>
        <w:rPr>
          <w:rFonts w:hint="eastAsia" w:ascii="仿宋_GB2312" w:hAnsi="微软雅黑" w:eastAsia="仿宋_GB2312" w:cs="宋体"/>
          <w:color w:val="000000"/>
          <w:sz w:val="28"/>
          <w:szCs w:val="28"/>
        </w:rPr>
        <w:t>（一）本合同自甲乙双方签字盖章之日起生效。</w:t>
      </w:r>
    </w:p>
    <w:p>
      <w:pPr>
        <w:keepNext w:val="0"/>
        <w:keepLines w:val="0"/>
        <w:pageBreakBefore w:val="0"/>
        <w:widowControl w:val="0"/>
        <w:wordWrap/>
        <w:bidi w:val="0"/>
        <w:spacing w:after="0" w:line="500" w:lineRule="exact"/>
        <w:ind w:firstLine="392" w:firstLineChars="150"/>
        <w:jc w:val="both"/>
        <w:rPr>
          <w:rFonts w:hint="eastAsia" w:ascii="仿宋_GB2312" w:hAnsi="微软雅黑" w:eastAsia="仿宋_GB2312" w:cs="宋体"/>
          <w:color w:val="000000"/>
          <w:sz w:val="28"/>
          <w:szCs w:val="28"/>
        </w:rPr>
      </w:pPr>
      <w:r>
        <w:rPr>
          <w:rFonts w:hint="eastAsia" w:ascii="仿宋_GB2312" w:hAnsi="微软雅黑" w:eastAsia="仿宋_GB2312" w:cs="宋体"/>
          <w:color w:val="000000"/>
          <w:sz w:val="28"/>
          <w:szCs w:val="28"/>
        </w:rPr>
        <w:t>（二）本合同一式两份，甲乙双方各持一份，具有同等的法律效力。</w:t>
      </w:r>
    </w:p>
    <w:p>
      <w:pPr>
        <w:keepNext w:val="0"/>
        <w:keepLines w:val="0"/>
        <w:pageBreakBefore w:val="0"/>
        <w:widowControl w:val="0"/>
        <w:wordWrap/>
        <w:bidi w:val="0"/>
        <w:spacing w:after="0" w:line="500" w:lineRule="exact"/>
        <w:ind w:firstLine="392" w:firstLineChars="150"/>
        <w:jc w:val="both"/>
        <w:rPr>
          <w:rFonts w:hint="eastAsia" w:ascii="仿宋_GB2312" w:hAnsi="微软雅黑" w:eastAsia="仿宋_GB2312" w:cs="宋体"/>
          <w:color w:val="000000"/>
          <w:sz w:val="28"/>
          <w:szCs w:val="28"/>
        </w:rPr>
      </w:pPr>
      <w:r>
        <w:rPr>
          <w:rFonts w:hint="eastAsia" w:ascii="仿宋_GB2312" w:hAnsi="微软雅黑" w:eastAsia="仿宋_GB2312" w:cs="宋体"/>
          <w:color w:val="000000"/>
          <w:sz w:val="28"/>
          <w:szCs w:val="28"/>
        </w:rPr>
        <w:t>（三）本合同在履行中发生争议时，双方应协商解决。协商不成时，双方一致同意交由</w:t>
      </w:r>
      <w:r>
        <w:rPr>
          <w:rFonts w:hint="eastAsia" w:ascii="仿宋_GB2312" w:hAnsi="微软雅黑" w:eastAsia="仿宋_GB2312" w:cs="宋体"/>
          <w:color w:val="000000"/>
          <w:sz w:val="28"/>
          <w:szCs w:val="28"/>
          <w:u w:val="single"/>
        </w:rPr>
        <w:t xml:space="preserve"> ××××××</w:t>
      </w:r>
      <w:r>
        <w:rPr>
          <w:rFonts w:ascii="仿宋_GB2312" w:hAnsi="微软雅黑" w:eastAsia="仿宋_GB2312" w:cs="宋体"/>
          <w:color w:val="000000"/>
          <w:sz w:val="28"/>
          <w:szCs w:val="28"/>
          <w:u w:val="single"/>
        </w:rPr>
        <w:t xml:space="preserve"> </w:t>
      </w:r>
      <w:r>
        <w:rPr>
          <w:rFonts w:hint="eastAsia" w:ascii="仿宋_GB2312" w:hAnsi="微软雅黑" w:eastAsia="仿宋_GB2312" w:cs="宋体"/>
          <w:color w:val="000000"/>
          <w:sz w:val="28"/>
          <w:szCs w:val="28"/>
        </w:rPr>
        <w:t>裁决。</w:t>
      </w:r>
    </w:p>
    <w:p>
      <w:pPr>
        <w:keepNext w:val="0"/>
        <w:keepLines w:val="0"/>
        <w:pageBreakBefore w:val="0"/>
        <w:widowControl w:val="0"/>
        <w:wordWrap/>
        <w:bidi w:val="0"/>
        <w:spacing w:after="0" w:line="500" w:lineRule="exact"/>
        <w:jc w:val="both"/>
        <w:rPr>
          <w:rFonts w:ascii="仿宋_GB2312" w:hAnsi="微软雅黑" w:eastAsia="仿宋_GB2312" w:cs="宋体"/>
          <w:color w:val="000000"/>
          <w:sz w:val="28"/>
          <w:szCs w:val="28"/>
        </w:rPr>
      </w:pPr>
    </w:p>
    <w:p>
      <w:pPr>
        <w:keepNext w:val="0"/>
        <w:keepLines w:val="0"/>
        <w:pageBreakBefore w:val="0"/>
        <w:widowControl w:val="0"/>
        <w:wordWrap/>
        <w:bidi w:val="0"/>
        <w:spacing w:after="0" w:line="500" w:lineRule="exact"/>
        <w:jc w:val="both"/>
        <w:rPr>
          <w:rFonts w:hint="eastAsia" w:ascii="仿宋_GB2312" w:hAnsi="微软雅黑" w:eastAsia="仿宋_GB2312" w:cs="宋体"/>
          <w:color w:val="000000"/>
          <w:sz w:val="28"/>
          <w:szCs w:val="28"/>
        </w:rPr>
      </w:pPr>
      <w:r>
        <w:rPr>
          <w:rFonts w:hint="eastAsia" w:ascii="仿宋_GB2312" w:hAnsi="微软雅黑" w:eastAsia="仿宋_GB2312" w:cs="宋体"/>
          <w:color w:val="000000"/>
          <w:sz w:val="28"/>
          <w:szCs w:val="28"/>
        </w:rPr>
        <w:t xml:space="preserve">甲方1：    </w:t>
      </w:r>
      <w:r>
        <w:rPr>
          <w:rFonts w:ascii="仿宋_GB2312" w:hAnsi="微软雅黑" w:eastAsia="仿宋_GB2312" w:cs="宋体"/>
          <w:color w:val="000000"/>
          <w:sz w:val="28"/>
          <w:szCs w:val="28"/>
        </w:rPr>
        <w:t xml:space="preserve">        </w:t>
      </w:r>
      <w:r>
        <w:rPr>
          <w:rFonts w:hint="eastAsia" w:ascii="仿宋_GB2312" w:hAnsi="微软雅黑" w:eastAsia="仿宋_GB2312" w:cs="宋体"/>
          <w:color w:val="000000"/>
          <w:sz w:val="28"/>
          <w:szCs w:val="28"/>
        </w:rPr>
        <w:t xml:space="preserve">     </w:t>
      </w:r>
    </w:p>
    <w:p>
      <w:pPr>
        <w:keepNext w:val="0"/>
        <w:keepLines w:val="0"/>
        <w:pageBreakBefore w:val="0"/>
        <w:widowControl w:val="0"/>
        <w:wordWrap/>
        <w:bidi w:val="0"/>
        <w:spacing w:after="0" w:line="500" w:lineRule="exact"/>
        <w:jc w:val="both"/>
        <w:rPr>
          <w:rFonts w:ascii="仿宋_GB2312" w:hAnsi="微软雅黑" w:eastAsia="仿宋_GB2312" w:cs="宋体"/>
          <w:color w:val="000000"/>
          <w:sz w:val="28"/>
          <w:szCs w:val="28"/>
        </w:rPr>
      </w:pPr>
      <w:r>
        <w:rPr>
          <w:rFonts w:hint="eastAsia" w:ascii="仿宋_GB2312" w:hAnsi="微软雅黑" w:eastAsia="仿宋_GB2312" w:cs="宋体"/>
          <w:color w:val="000000"/>
          <w:sz w:val="28"/>
          <w:szCs w:val="28"/>
        </w:rPr>
        <w:t xml:space="preserve">代表：  </w:t>
      </w:r>
      <w:r>
        <w:rPr>
          <w:rFonts w:ascii="仿宋_GB2312" w:hAnsi="微软雅黑" w:eastAsia="仿宋_GB2312" w:cs="宋体"/>
          <w:color w:val="000000"/>
          <w:sz w:val="28"/>
          <w:szCs w:val="28"/>
        </w:rPr>
        <w:t xml:space="preserve">           </w:t>
      </w:r>
    </w:p>
    <w:p>
      <w:pPr>
        <w:keepNext w:val="0"/>
        <w:keepLines w:val="0"/>
        <w:pageBreakBefore w:val="0"/>
        <w:widowControl w:val="0"/>
        <w:wordWrap/>
        <w:bidi w:val="0"/>
        <w:spacing w:after="0" w:line="500" w:lineRule="exact"/>
        <w:jc w:val="both"/>
        <w:rPr>
          <w:rFonts w:ascii="仿宋_GB2312" w:hAnsi="微软雅黑" w:eastAsia="仿宋_GB2312" w:cs="宋体"/>
          <w:color w:val="000000"/>
          <w:sz w:val="28"/>
          <w:szCs w:val="28"/>
        </w:rPr>
      </w:pPr>
      <w:r>
        <w:rPr>
          <w:rFonts w:hint="eastAsia" w:ascii="仿宋_GB2312" w:hAnsi="微软雅黑" w:eastAsia="仿宋_GB2312" w:cs="宋体"/>
          <w:color w:val="000000"/>
          <w:sz w:val="28"/>
          <w:szCs w:val="28"/>
        </w:rPr>
        <w:t>年 月 日</w:t>
      </w:r>
    </w:p>
    <w:p>
      <w:pPr>
        <w:keepNext w:val="0"/>
        <w:keepLines w:val="0"/>
        <w:pageBreakBefore w:val="0"/>
        <w:widowControl w:val="0"/>
        <w:wordWrap/>
        <w:bidi w:val="0"/>
        <w:spacing w:after="0" w:line="500" w:lineRule="exact"/>
        <w:jc w:val="both"/>
        <w:rPr>
          <w:rFonts w:ascii="仿宋_GB2312" w:hAnsi="微软雅黑" w:eastAsia="仿宋_GB2312" w:cs="宋体"/>
          <w:color w:val="000000"/>
          <w:sz w:val="28"/>
          <w:szCs w:val="28"/>
        </w:rPr>
      </w:pPr>
    </w:p>
    <w:p>
      <w:pPr>
        <w:keepNext w:val="0"/>
        <w:keepLines w:val="0"/>
        <w:pageBreakBefore w:val="0"/>
        <w:widowControl w:val="0"/>
        <w:wordWrap/>
        <w:bidi w:val="0"/>
        <w:spacing w:after="0" w:line="500" w:lineRule="exact"/>
        <w:jc w:val="both"/>
        <w:rPr>
          <w:rFonts w:hint="eastAsia" w:ascii="仿宋_GB2312" w:hAnsi="微软雅黑" w:eastAsia="仿宋_GB2312" w:cs="宋体"/>
          <w:color w:val="000000"/>
          <w:sz w:val="28"/>
          <w:szCs w:val="28"/>
        </w:rPr>
      </w:pPr>
    </w:p>
    <w:p>
      <w:pPr>
        <w:keepNext w:val="0"/>
        <w:keepLines w:val="0"/>
        <w:pageBreakBefore w:val="0"/>
        <w:widowControl w:val="0"/>
        <w:wordWrap/>
        <w:bidi w:val="0"/>
        <w:spacing w:after="0" w:line="500" w:lineRule="exact"/>
        <w:jc w:val="both"/>
        <w:rPr>
          <w:rFonts w:ascii="仿宋_GB2312" w:hAnsi="微软雅黑" w:eastAsia="仿宋_GB2312" w:cs="宋体"/>
          <w:color w:val="000000"/>
          <w:sz w:val="28"/>
          <w:szCs w:val="28"/>
        </w:rPr>
      </w:pPr>
      <w:r>
        <w:rPr>
          <w:rFonts w:hint="eastAsia" w:ascii="仿宋_GB2312" w:hAnsi="微软雅黑" w:eastAsia="仿宋_GB2312" w:cs="宋体"/>
          <w:color w:val="000000"/>
          <w:sz w:val="28"/>
          <w:szCs w:val="28"/>
        </w:rPr>
        <w:t>甲方2：</w:t>
      </w:r>
    </w:p>
    <w:p>
      <w:pPr>
        <w:keepNext w:val="0"/>
        <w:keepLines w:val="0"/>
        <w:pageBreakBefore w:val="0"/>
        <w:widowControl w:val="0"/>
        <w:wordWrap/>
        <w:bidi w:val="0"/>
        <w:spacing w:after="0" w:line="500" w:lineRule="exact"/>
        <w:jc w:val="both"/>
        <w:rPr>
          <w:rFonts w:ascii="仿宋_GB2312" w:hAnsi="微软雅黑" w:eastAsia="仿宋_GB2312" w:cs="宋体"/>
          <w:color w:val="000000"/>
          <w:sz w:val="28"/>
          <w:szCs w:val="28"/>
        </w:rPr>
      </w:pPr>
      <w:r>
        <w:rPr>
          <w:rFonts w:hint="eastAsia" w:ascii="仿宋_GB2312" w:hAnsi="微软雅黑" w:eastAsia="仿宋_GB2312" w:cs="宋体"/>
          <w:color w:val="000000"/>
          <w:sz w:val="28"/>
          <w:szCs w:val="28"/>
        </w:rPr>
        <w:t>代表：</w:t>
      </w:r>
    </w:p>
    <w:p>
      <w:pPr>
        <w:keepNext w:val="0"/>
        <w:keepLines w:val="0"/>
        <w:pageBreakBefore w:val="0"/>
        <w:widowControl w:val="0"/>
        <w:wordWrap/>
        <w:bidi w:val="0"/>
        <w:spacing w:after="0" w:line="500" w:lineRule="exact"/>
        <w:jc w:val="both"/>
        <w:rPr>
          <w:rFonts w:ascii="黑体" w:hAnsi="黑体" w:eastAsia="黑体" w:cs="宋体"/>
          <w:b/>
          <w:color w:val="000000"/>
          <w:sz w:val="28"/>
          <w:szCs w:val="28"/>
        </w:rPr>
      </w:pPr>
      <w:r>
        <w:rPr>
          <w:rFonts w:hint="eastAsia" w:ascii="仿宋_GB2312" w:hAnsi="微软雅黑" w:eastAsia="仿宋_GB2312" w:cs="宋体"/>
          <w:color w:val="000000"/>
          <w:sz w:val="28"/>
          <w:szCs w:val="28"/>
        </w:rPr>
        <w:t>年 月 日</w:t>
      </w:r>
    </w:p>
    <w:p>
      <w:pPr>
        <w:keepNext w:val="0"/>
        <w:keepLines w:val="0"/>
        <w:pageBreakBefore w:val="0"/>
        <w:widowControl w:val="0"/>
        <w:wordWrap/>
        <w:bidi w:val="0"/>
        <w:spacing w:after="0" w:line="500" w:lineRule="exact"/>
        <w:jc w:val="both"/>
        <w:rPr>
          <w:rFonts w:ascii="黑体" w:hAnsi="黑体" w:eastAsia="黑体" w:cs="宋体"/>
          <w:b/>
          <w:color w:val="000000"/>
          <w:sz w:val="28"/>
          <w:szCs w:val="28"/>
        </w:rPr>
      </w:pPr>
    </w:p>
    <w:p>
      <w:pPr>
        <w:keepNext w:val="0"/>
        <w:keepLines w:val="0"/>
        <w:pageBreakBefore w:val="0"/>
        <w:widowControl w:val="0"/>
        <w:wordWrap/>
        <w:bidi w:val="0"/>
        <w:spacing w:after="0" w:line="500" w:lineRule="exact"/>
        <w:jc w:val="both"/>
        <w:rPr>
          <w:rFonts w:ascii="仿宋_GB2312" w:hAnsi="微软雅黑" w:eastAsia="仿宋_GB2312" w:cs="宋体"/>
          <w:color w:val="000000"/>
          <w:sz w:val="28"/>
          <w:szCs w:val="28"/>
        </w:rPr>
      </w:pPr>
      <w:r>
        <w:rPr>
          <w:rFonts w:hint="eastAsia" w:ascii="仿宋_GB2312" w:hAnsi="微软雅黑" w:eastAsia="仿宋_GB2312" w:cs="宋体"/>
          <w:color w:val="000000"/>
          <w:sz w:val="28"/>
          <w:szCs w:val="28"/>
        </w:rPr>
        <w:t>乙方：</w:t>
      </w:r>
    </w:p>
    <w:p>
      <w:pPr>
        <w:keepNext w:val="0"/>
        <w:keepLines w:val="0"/>
        <w:pageBreakBefore w:val="0"/>
        <w:widowControl w:val="0"/>
        <w:wordWrap/>
        <w:bidi w:val="0"/>
        <w:spacing w:after="0" w:line="500" w:lineRule="exact"/>
        <w:jc w:val="both"/>
        <w:rPr>
          <w:rFonts w:ascii="仿宋_GB2312" w:hAnsi="微软雅黑" w:eastAsia="仿宋_GB2312" w:cs="宋体"/>
          <w:color w:val="000000"/>
          <w:sz w:val="28"/>
          <w:szCs w:val="28"/>
        </w:rPr>
      </w:pPr>
      <w:r>
        <w:rPr>
          <w:rFonts w:hint="eastAsia" w:ascii="仿宋_GB2312" w:hAnsi="微软雅黑" w:eastAsia="仿宋_GB2312" w:cs="宋体"/>
          <w:color w:val="000000"/>
          <w:sz w:val="28"/>
          <w:szCs w:val="28"/>
        </w:rPr>
        <w:t>代表：</w:t>
      </w:r>
    </w:p>
    <w:p>
      <w:pPr>
        <w:keepNext w:val="0"/>
        <w:keepLines w:val="0"/>
        <w:pageBreakBefore w:val="0"/>
        <w:widowControl w:val="0"/>
        <w:wordWrap/>
        <w:bidi w:val="0"/>
        <w:spacing w:after="0" w:line="500" w:lineRule="exact"/>
        <w:jc w:val="both"/>
        <w:rPr>
          <w:rFonts w:ascii="黑体" w:hAnsi="黑体" w:eastAsia="黑体" w:cs="宋体"/>
          <w:b/>
          <w:color w:val="000000"/>
          <w:sz w:val="28"/>
          <w:szCs w:val="28"/>
        </w:rPr>
      </w:pPr>
      <w:r>
        <w:rPr>
          <w:rFonts w:hint="eastAsia" w:ascii="仿宋_GB2312" w:hAnsi="微软雅黑" w:eastAsia="仿宋_GB2312" w:cs="宋体"/>
          <w:color w:val="000000"/>
          <w:sz w:val="28"/>
          <w:szCs w:val="28"/>
        </w:rPr>
        <w:t>年 月 日</w:t>
      </w:r>
    </w:p>
    <w:p>
      <w:pPr>
        <w:keepNext w:val="0"/>
        <w:keepLines w:val="0"/>
        <w:pageBreakBefore w:val="0"/>
        <w:widowControl w:val="0"/>
        <w:wordWrap/>
        <w:bidi w:val="0"/>
        <w:spacing w:line="500" w:lineRule="exact"/>
        <w:rPr>
          <w:rFonts w:ascii="黑体" w:hAnsi="黑体" w:eastAsia="黑体" w:cs="宋体"/>
          <w:b/>
          <w:color w:val="000000"/>
          <w:sz w:val="28"/>
          <w:szCs w:val="28"/>
        </w:rPr>
      </w:pPr>
    </w:p>
    <w:p>
      <w:pPr>
        <w:keepNext w:val="0"/>
        <w:keepLines w:val="0"/>
        <w:pageBreakBefore w:val="0"/>
        <w:widowControl w:val="0"/>
        <w:wordWrap/>
        <w:bidi w:val="0"/>
        <w:spacing w:line="500" w:lineRule="exact"/>
        <w:rPr>
          <w:rFonts w:ascii="黑体" w:hAnsi="黑体" w:eastAsia="黑体" w:cs="宋体"/>
          <w:b/>
          <w:color w:val="000000"/>
          <w:sz w:val="28"/>
          <w:szCs w:val="28"/>
        </w:rPr>
      </w:pPr>
    </w:p>
    <w:p>
      <w:pPr>
        <w:keepNext w:val="0"/>
        <w:keepLines w:val="0"/>
        <w:pageBreakBefore w:val="0"/>
        <w:widowControl w:val="0"/>
        <w:wordWrap/>
        <w:bidi w:val="0"/>
        <w:spacing w:line="500" w:lineRule="exact"/>
        <w:outlineLvl w:val="0"/>
        <w:rPr>
          <w:rFonts w:hint="eastAsia" w:ascii="黑体" w:hAnsi="黑体" w:eastAsia="黑体" w:cs="仿宋"/>
          <w:color w:val="000000"/>
          <w:sz w:val="28"/>
          <w:szCs w:val="28"/>
        </w:rPr>
      </w:pPr>
      <w:r>
        <w:rPr>
          <w:rFonts w:hint="eastAsia" w:ascii="仿宋" w:hAnsi="仿宋" w:eastAsia="仿宋" w:cs="仿宋"/>
          <w:b/>
          <w:color w:val="000000"/>
          <w:sz w:val="28"/>
          <w:szCs w:val="28"/>
        </w:rPr>
        <w:br w:type="page"/>
      </w:r>
      <w:bookmarkStart w:id="373" w:name="_Toc20617"/>
      <w:r>
        <w:rPr>
          <w:rFonts w:hint="eastAsia" w:ascii="黑体" w:hAnsi="黑体" w:eastAsia="黑体" w:cs="仿宋"/>
          <w:bCs/>
          <w:color w:val="000000"/>
          <w:sz w:val="28"/>
          <w:szCs w:val="28"/>
        </w:rPr>
        <w:t>附件</w:t>
      </w:r>
      <w:r>
        <w:rPr>
          <w:rFonts w:hint="eastAsia" w:ascii="黑体" w:hAnsi="黑体" w:eastAsia="黑体" w:cs="仿宋"/>
          <w:color w:val="000000"/>
          <w:sz w:val="28"/>
          <w:szCs w:val="28"/>
        </w:rPr>
        <w:t>2</w:t>
      </w:r>
      <w:bookmarkEnd w:id="373"/>
    </w:p>
    <w:p>
      <w:pPr>
        <w:keepNext w:val="0"/>
        <w:keepLines w:val="0"/>
        <w:pageBreakBefore w:val="0"/>
        <w:widowControl w:val="0"/>
        <w:wordWrap/>
        <w:bidi w:val="0"/>
        <w:spacing w:line="500" w:lineRule="exact"/>
        <w:jc w:val="center"/>
        <w:rPr>
          <w:rFonts w:hint="eastAsia" w:ascii="方正小标宋简体" w:hAnsi="方正小标宋简体" w:eastAsia="方正小标宋简体" w:cs="方正小标宋简体"/>
          <w:bCs/>
          <w:color w:val="000000"/>
          <w:sz w:val="40"/>
          <w:szCs w:val="40"/>
        </w:rPr>
      </w:pPr>
      <w:r>
        <w:rPr>
          <w:rFonts w:hint="eastAsia" w:ascii="方正小标宋简体" w:hAnsi="方正小标宋简体" w:eastAsia="方正小标宋简体" w:cs="方正小标宋简体"/>
          <w:bCs/>
          <w:color w:val="000000"/>
          <w:sz w:val="40"/>
          <w:szCs w:val="40"/>
        </w:rPr>
        <w:t>调解笔录</w:t>
      </w:r>
    </w:p>
    <w:p>
      <w:pPr>
        <w:keepNext w:val="0"/>
        <w:keepLines w:val="0"/>
        <w:pageBreakBefore w:val="0"/>
        <w:widowControl w:val="0"/>
        <w:wordWrap/>
        <w:bidi w:val="0"/>
        <w:spacing w:line="500" w:lineRule="exact"/>
        <w:jc w:val="center"/>
        <w:rPr>
          <w:rFonts w:ascii="仿宋_GB2312" w:hAnsi="微软雅黑" w:eastAsia="仿宋_GB2312" w:cs="宋体"/>
          <w:color w:val="000000"/>
          <w:sz w:val="28"/>
          <w:szCs w:val="28"/>
        </w:rPr>
      </w:pPr>
      <w:r>
        <w:rPr>
          <w:rFonts w:hint="eastAsia" w:ascii="仿宋_GB2312" w:hAnsi="微软雅黑" w:eastAsia="仿宋_GB2312" w:cs="宋体"/>
          <w:color w:val="000000"/>
          <w:sz w:val="28"/>
          <w:szCs w:val="28"/>
        </w:rPr>
        <w:t>（第×次）</w:t>
      </w:r>
    </w:p>
    <w:p>
      <w:pPr>
        <w:keepNext w:val="0"/>
        <w:keepLines w:val="0"/>
        <w:pageBreakBefore w:val="0"/>
        <w:widowControl w:val="0"/>
        <w:wordWrap/>
        <w:bidi w:val="0"/>
        <w:spacing w:line="500" w:lineRule="exact"/>
        <w:jc w:val="right"/>
        <w:rPr>
          <w:rFonts w:hint="eastAsia" w:ascii="仿宋_GB2312" w:hAnsi="微软雅黑" w:eastAsia="仿宋_GB2312" w:cs="宋体"/>
          <w:color w:val="000000"/>
          <w:sz w:val="28"/>
          <w:szCs w:val="28"/>
        </w:rPr>
      </w:pPr>
      <w:r>
        <w:rPr>
          <w:rFonts w:hint="eastAsia" w:ascii="仿宋_GB2312" w:hAnsi="微软雅黑" w:eastAsia="仿宋_GB2312" w:cs="宋体"/>
          <w:color w:val="000000"/>
          <w:sz w:val="28"/>
          <w:szCs w:val="28"/>
        </w:rPr>
        <w:t>（××××）××第××号</w:t>
      </w:r>
    </w:p>
    <w:p>
      <w:pPr>
        <w:keepNext w:val="0"/>
        <w:keepLines w:val="0"/>
        <w:pageBreakBefore w:val="0"/>
        <w:widowControl w:val="0"/>
        <w:wordWrap/>
        <w:bidi w:val="0"/>
        <w:spacing w:line="500" w:lineRule="exact"/>
        <w:rPr>
          <w:rFonts w:ascii="仿宋_GB2312" w:hAnsi="微软雅黑" w:eastAsia="仿宋_GB2312" w:cs="宋体"/>
          <w:color w:val="000000"/>
          <w:sz w:val="28"/>
          <w:szCs w:val="28"/>
        </w:rPr>
      </w:pP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时间：    年  月  日  时  分至   时   分</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地点： ……</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调解员：……</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记录员：……</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当事人（甲方）：……</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当事人（乙方）：……</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事由：……</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调解过程记录如下：</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调解员：我是×××（告知调解员身份），依据（调解机构的指派/各方当事人共同委托）现组织各方进行调解。</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首先核对参加调解各方的基本信息。(请当事人提交身份证明原件供调解员核对，并请提交上述身份证明的复印件供调解机构归档备查)</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甲方：××× ，……（当事人为自然人的，应载明姓名、出生年月、公民身份号码、住址、联系方式、委托代理人信息等。当事人为法人的，应载明法人名称、法定代表人姓名及职务、社会统一信用代码、注册地址、联系方式、委托代理人信息等。）</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委托代理人：……，××律师事务所律师，代理权限：（一般代理/特别代理）, 联系电话: ××××。</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乙方：××× ，……（当事人为自然人的，应载明姓名、出生年月、公民身份号码、住址、联系方式、委托代理人信息等。当事人为法人的，应载明法人名称、法定代表人姓名及职务、社会统一信用代码、注册地址、联系方式、委托代理人信息等。）</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委托代理人：……，××律师事务所律师，代理权限：（一般代理/特别代理），联系电话: ××××。</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调解员：（告知各方当事人权利义务）各方是否愿意在合法自愿平等的基础上参与调解，并及时履行调解协议确定的义务？</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甲方：同意。</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乙方：同意。</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调解员：对××××担任调解员，××××担任调解记录员是否有异议？是否申请回避？</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甲方：无异议，不申请回避。</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乙方：无异议，不申请回避。</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调解员：各方对对方参加本次调解的人员身份是否有异议？</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甲方：无异议。</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乙方：无异议。</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调解员：根据××××××法院的指派或双方的委托，由律师×××作为调解员，记录员×××担任本次调解的记录。本调解员已对各方当事人及代理人进行了核对，上述人员符合法律规定，可以参加本案调解活动。</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调解员：首先由甲方陈述自己的诉求、事实和理由。</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甲方：甲方提出如下诉求：1、——————————；2、————————————3、——————————。</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调解员：甲方对诉求、事实和理由还有补充吗？</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甲方：</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调解员：现在由乙方陈述自己的诉求、事实和理由。</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乙方：</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调解员：甲方对诉求、事实和理由还有补充吗？</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甲方：</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调解员：下面进行举证、质证，告知举证、质证义务（略）。请甲方举证。</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甲方：甲方有如下证据：1、——————————；2、————————————3、——————————。</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调解员：请甲方提供证据原件进行核对，并请乙方予以质证。</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乙方：</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调解员：请乙方进行举证。</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乙方：乙方有如下证据：1、——————————；2、————————————3、——————————。</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调解员：请乙方提供证据原件进行核对，并请甲方予以质证。</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甲方：</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…………根据具体纠纷，如实记录调解情况和调解过程，对涉及个人隐私、商业秘密等信息或应各方当事人要求不记录的，可以在调解笔录中省略。</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调解员：双方当事人自愿达成如下协议：</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三、……</w:t>
      </w:r>
    </w:p>
    <w:p>
      <w:pPr>
        <w:keepNext w:val="0"/>
        <w:keepLines w:val="0"/>
        <w:pageBreakBefore w:val="0"/>
        <w:widowControl w:val="0"/>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双方无其他争议。</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调解员：双方当事人对上述协议还有无异议？</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甲方：无异议。</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乙方：无异议。</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调解员：双方当事人是否同意本调解协议自双方当事人在笔录上签名或者盖章？</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甲方：同意。</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乙方：同意。</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调解员：双方当事人自愿达成的调解协议不违反法律规定，双方可向××××××法院进行司法确认，请求××××××法院确认本调解协议的效力。</w:t>
      </w:r>
    </w:p>
    <w:p>
      <w:pPr>
        <w:keepNext w:val="0"/>
        <w:keepLines w:val="0"/>
        <w:pageBreakBefore w:val="0"/>
        <w:widowControl w:val="0"/>
        <w:wordWrap/>
        <w:bidi w:val="0"/>
        <w:spacing w:after="0" w:line="500" w:lineRule="exact"/>
        <w:ind w:left="150" w:hanging="131" w:hangingChars="5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现在调解完毕。</w:t>
      </w:r>
    </w:p>
    <w:p>
      <w:pPr>
        <w:keepNext w:val="0"/>
        <w:keepLines w:val="0"/>
        <w:pageBreakBefore w:val="0"/>
        <w:widowControl w:val="0"/>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甲方：                          乙方:</w:t>
      </w:r>
    </w:p>
    <w:p>
      <w:pPr>
        <w:keepNext w:val="0"/>
        <w:keepLines w:val="0"/>
        <w:pageBreakBefore w:val="0"/>
        <w:widowControl w:val="0"/>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调解员：                        记录员：</w:t>
      </w:r>
    </w:p>
    <w:p>
      <w:pPr>
        <w:keepNext w:val="0"/>
        <w:keepLines w:val="0"/>
        <w:pageBreakBefore w:val="0"/>
        <w:widowControl w:val="0"/>
        <w:wordWrap/>
        <w:bidi w:val="0"/>
        <w:spacing w:after="0" w:line="500" w:lineRule="exact"/>
        <w:ind w:firstLine="4698" w:firstLineChars="18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年  月  日</w:t>
      </w:r>
    </w:p>
    <w:p>
      <w:pPr>
        <w:keepNext w:val="0"/>
        <w:keepLines w:val="0"/>
        <w:pageBreakBefore w:val="0"/>
        <w:widowControl w:val="0"/>
        <w:wordWrap/>
        <w:bidi w:val="0"/>
        <w:spacing w:line="500" w:lineRule="exact"/>
        <w:outlineLvl w:val="0"/>
        <w:rPr>
          <w:rFonts w:ascii="黑体" w:hAnsi="黑体" w:eastAsia="黑体" w:cs="宋体"/>
          <w:b/>
          <w:color w:val="000000"/>
          <w:sz w:val="28"/>
          <w:szCs w:val="28"/>
        </w:rPr>
      </w:pPr>
      <w:r>
        <w:rPr>
          <w:rFonts w:hint="eastAsia" w:ascii="仿宋_GB2312" w:hAnsi="黑体" w:eastAsia="仿宋_GB2312" w:cs="宋体"/>
          <w:b/>
          <w:color w:val="000000"/>
          <w:sz w:val="28"/>
          <w:szCs w:val="28"/>
        </w:rPr>
        <w:br w:type="page"/>
      </w:r>
      <w:bookmarkStart w:id="374" w:name="_Toc15344"/>
      <w:r>
        <w:rPr>
          <w:rFonts w:hint="eastAsia" w:ascii="黑体" w:hAnsi="黑体" w:eastAsia="黑体" w:cs="仿宋"/>
          <w:bCs/>
          <w:color w:val="000000"/>
          <w:sz w:val="28"/>
          <w:szCs w:val="28"/>
        </w:rPr>
        <w:t>附件3</w:t>
      </w:r>
      <w:bookmarkEnd w:id="374"/>
    </w:p>
    <w:p>
      <w:pPr>
        <w:keepNext w:val="0"/>
        <w:keepLines w:val="0"/>
        <w:pageBreakBefore w:val="0"/>
        <w:widowControl w:val="0"/>
        <w:wordWrap/>
        <w:bidi w:val="0"/>
        <w:spacing w:line="500" w:lineRule="exact"/>
        <w:jc w:val="center"/>
        <w:rPr>
          <w:rFonts w:hint="eastAsia" w:ascii="方正小标宋简体" w:hAnsi="方正小标宋简体" w:eastAsia="方正小标宋简体" w:cs="方正小标宋简体"/>
          <w:color w:val="000000"/>
          <w:sz w:val="40"/>
          <w:szCs w:val="40"/>
        </w:rPr>
      </w:pPr>
      <w:r>
        <w:rPr>
          <w:rFonts w:hint="eastAsia" w:ascii="方正小标宋简体" w:hAnsi="方正小标宋简体" w:eastAsia="方正小标宋简体" w:cs="方正小标宋简体"/>
          <w:color w:val="000000"/>
          <w:sz w:val="40"/>
          <w:szCs w:val="40"/>
        </w:rPr>
        <w:t>调解协议</w:t>
      </w:r>
    </w:p>
    <w:p>
      <w:pPr>
        <w:keepNext w:val="0"/>
        <w:keepLines w:val="0"/>
        <w:pageBreakBefore w:val="0"/>
        <w:widowControl w:val="0"/>
        <w:wordWrap/>
        <w:bidi w:val="0"/>
        <w:spacing w:line="500" w:lineRule="exact"/>
        <w:jc w:val="right"/>
        <w:rPr>
          <w:rFonts w:hint="eastAsia" w:ascii="仿宋_GB2312" w:hAnsi="微软雅黑" w:eastAsia="仿宋_GB2312" w:cs="宋体"/>
          <w:color w:val="000000"/>
          <w:sz w:val="28"/>
          <w:szCs w:val="28"/>
        </w:rPr>
      </w:pPr>
      <w:r>
        <w:rPr>
          <w:rFonts w:hint="eastAsia" w:ascii="仿宋_GB2312" w:hAnsi="微软雅黑" w:eastAsia="仿宋_GB2312" w:cs="宋体"/>
          <w:color w:val="000000"/>
          <w:sz w:val="28"/>
          <w:szCs w:val="28"/>
        </w:rPr>
        <w:t>（××××）××第××号</w:t>
      </w:r>
    </w:p>
    <w:p>
      <w:pPr>
        <w:keepNext w:val="0"/>
        <w:keepLines w:val="0"/>
        <w:pageBreakBefore w:val="0"/>
        <w:widowControl w:val="0"/>
        <w:wordWrap/>
        <w:bidi w:val="0"/>
        <w:spacing w:line="500" w:lineRule="exact"/>
        <w:rPr>
          <w:rFonts w:ascii="仿宋_GB2312" w:hAnsi="微软雅黑" w:eastAsia="仿宋_GB2312" w:cs="宋体"/>
          <w:color w:val="000000"/>
          <w:sz w:val="28"/>
          <w:szCs w:val="28"/>
        </w:rPr>
      </w:pP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甲方×××，……(写明姓名或名称、住所等基本信息)。</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法定代表人（或代表人）×××，……(写明姓名、职务)。</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法定代理人（或指定代理人）×××，……(写明姓名或名称、住所等基本信息)</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委托代理人×××，……(写明姓名等基本信息)。</w:t>
      </w:r>
    </w:p>
    <w:p>
      <w:pPr>
        <w:keepNext w:val="0"/>
        <w:keepLines w:val="0"/>
        <w:pageBreakBefore w:val="0"/>
        <w:widowControl w:val="0"/>
        <w:wordWrap/>
        <w:bidi w:val="0"/>
        <w:spacing w:after="0" w:line="500" w:lineRule="exact"/>
        <w:jc w:val="both"/>
        <w:rPr>
          <w:rFonts w:hint="eastAsia" w:ascii="仿宋_GB2312" w:hAnsi="仿宋" w:eastAsia="仿宋_GB2312" w:cs="仿宋"/>
          <w:color w:val="000000"/>
          <w:sz w:val="28"/>
          <w:szCs w:val="28"/>
        </w:rPr>
      </w:pP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乙方×××，……(写明姓名或名称、住所等基本信息)。</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法定代表人（代表人）×××，……(写明姓名、职务)。</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法定代理人（或指定代理人）×××，……(写明姓名或名称、住所等基本信息)</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委托代理人×××，……(写明姓名等基本信息)。</w:t>
      </w:r>
    </w:p>
    <w:p>
      <w:pPr>
        <w:keepNext w:val="0"/>
        <w:keepLines w:val="0"/>
        <w:pageBreakBefore w:val="0"/>
        <w:widowControl w:val="0"/>
        <w:wordWrap/>
        <w:bidi w:val="0"/>
        <w:spacing w:after="0" w:line="500" w:lineRule="exact"/>
        <w:jc w:val="both"/>
        <w:rPr>
          <w:rFonts w:hint="eastAsia" w:ascii="仿宋_GB2312" w:hAnsi="仿宋" w:eastAsia="仿宋_GB2312" w:cs="仿宋"/>
          <w:color w:val="000000"/>
          <w:sz w:val="28"/>
          <w:szCs w:val="28"/>
        </w:rPr>
      </w:pP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第三人×××，……(写明姓名或名称、住所等基本信息)。</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法定代表人×××，……(写明姓名、职务)。</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法定代理人（或指定代理人）×××，……(写明姓名或名称、住所等基本信息)</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委托代理人×××，……(写明姓名等基本信息)。</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……（写明纠纷的主要事实、争议事项）。</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双方（各方）当事人自愿达成如下调解协议：</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……（写明协议内容、履行方式、期限）。</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……（写明调解费用的负担）。</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……（调解协议即时履行完毕的，应予以注明）。</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调解协议自各方当事人签字或盖章或按捺手印之日起生效。</w:t>
      </w:r>
    </w:p>
    <w:p>
      <w:pPr>
        <w:keepNext w:val="0"/>
        <w:keepLines w:val="0"/>
        <w:pageBreakBefore w:val="0"/>
        <w:widowControl w:val="0"/>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w:t>
      </w:r>
    </w:p>
    <w:p>
      <w:pPr>
        <w:keepNext w:val="0"/>
        <w:keepLines w:val="0"/>
        <w:pageBreakBefore w:val="0"/>
        <w:widowControl w:val="0"/>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甲方：</w:t>
      </w:r>
    </w:p>
    <w:p>
      <w:pPr>
        <w:keepNext w:val="0"/>
        <w:keepLines w:val="0"/>
        <w:pageBreakBefore w:val="0"/>
        <w:widowControl w:val="0"/>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年   月   日</w:t>
      </w:r>
    </w:p>
    <w:p>
      <w:pPr>
        <w:keepNext w:val="0"/>
        <w:keepLines w:val="0"/>
        <w:pageBreakBefore w:val="0"/>
        <w:widowControl w:val="0"/>
        <w:wordWrap/>
        <w:bidi w:val="0"/>
        <w:spacing w:after="0" w:line="500" w:lineRule="exact"/>
        <w:jc w:val="both"/>
        <w:rPr>
          <w:rFonts w:hint="eastAsia" w:ascii="仿宋_GB2312" w:hAnsi="仿宋" w:eastAsia="仿宋_GB2312" w:cs="仿宋"/>
          <w:color w:val="000000"/>
          <w:sz w:val="28"/>
          <w:szCs w:val="28"/>
        </w:rPr>
      </w:pPr>
    </w:p>
    <w:p>
      <w:pPr>
        <w:keepNext w:val="0"/>
        <w:keepLines w:val="0"/>
        <w:pageBreakBefore w:val="0"/>
        <w:widowControl w:val="0"/>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乙方：</w:t>
      </w:r>
    </w:p>
    <w:p>
      <w:pPr>
        <w:keepNext w:val="0"/>
        <w:keepLines w:val="0"/>
        <w:pageBreakBefore w:val="0"/>
        <w:widowControl w:val="0"/>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年   月   日</w:t>
      </w:r>
    </w:p>
    <w:p>
      <w:pPr>
        <w:keepNext w:val="0"/>
        <w:keepLines w:val="0"/>
        <w:pageBreakBefore w:val="0"/>
        <w:widowControl w:val="0"/>
        <w:wordWrap/>
        <w:bidi w:val="0"/>
        <w:spacing w:after="0" w:line="500" w:lineRule="exact"/>
        <w:jc w:val="both"/>
        <w:rPr>
          <w:rFonts w:hint="eastAsia" w:ascii="仿宋_GB2312" w:hAnsi="仿宋" w:eastAsia="仿宋_GB2312" w:cs="仿宋"/>
          <w:color w:val="000000"/>
          <w:sz w:val="28"/>
          <w:szCs w:val="28"/>
        </w:rPr>
      </w:pPr>
    </w:p>
    <w:p>
      <w:pPr>
        <w:keepNext w:val="0"/>
        <w:keepLines w:val="0"/>
        <w:pageBreakBefore w:val="0"/>
        <w:widowControl w:val="0"/>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第三方：</w:t>
      </w:r>
    </w:p>
    <w:p>
      <w:pPr>
        <w:keepNext w:val="0"/>
        <w:keepLines w:val="0"/>
        <w:pageBreakBefore w:val="0"/>
        <w:widowControl w:val="0"/>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年   月   日</w:t>
      </w:r>
    </w:p>
    <w:p>
      <w:pPr>
        <w:keepNext w:val="0"/>
        <w:keepLines w:val="0"/>
        <w:pageBreakBefore w:val="0"/>
        <w:widowControl w:val="0"/>
        <w:wordWrap/>
        <w:bidi w:val="0"/>
        <w:spacing w:line="500" w:lineRule="exact"/>
        <w:jc w:val="both"/>
        <w:rPr>
          <w:rFonts w:ascii="仿宋_GB2312" w:hAnsi="微软雅黑" w:eastAsia="仿宋_GB2312" w:cs="宋体"/>
          <w:color w:val="000000"/>
          <w:sz w:val="28"/>
          <w:szCs w:val="28"/>
        </w:rPr>
      </w:pPr>
      <w:r>
        <w:rPr>
          <w:rFonts w:hint="eastAsia" w:ascii="仿宋_GB2312" w:hAnsi="微软雅黑" w:eastAsia="仿宋_GB2312" w:cs="宋体"/>
          <w:color w:val="000000"/>
          <w:sz w:val="28"/>
          <w:szCs w:val="28"/>
        </w:rPr>
        <w:t xml:space="preserve">                                                    </w:t>
      </w:r>
    </w:p>
    <w:p>
      <w:pPr>
        <w:keepNext w:val="0"/>
        <w:keepLines w:val="0"/>
        <w:pageBreakBefore w:val="0"/>
        <w:widowControl w:val="0"/>
        <w:wordWrap/>
        <w:bidi w:val="0"/>
        <w:spacing w:line="500" w:lineRule="exact"/>
        <w:rPr>
          <w:rFonts w:ascii="仿宋_GB2312" w:hAnsi="微软雅黑" w:eastAsia="仿宋_GB2312" w:cs="宋体"/>
          <w:color w:val="000000"/>
          <w:sz w:val="28"/>
          <w:szCs w:val="28"/>
        </w:rPr>
      </w:pPr>
    </w:p>
    <w:p>
      <w:pPr>
        <w:keepNext w:val="0"/>
        <w:keepLines w:val="0"/>
        <w:pageBreakBefore w:val="0"/>
        <w:widowControl w:val="0"/>
        <w:wordWrap/>
        <w:bidi w:val="0"/>
        <w:spacing w:line="500" w:lineRule="exact"/>
        <w:rPr>
          <w:rFonts w:ascii="仿宋_GB2312" w:hAnsi="微软雅黑" w:eastAsia="仿宋_GB2312" w:cs="宋体"/>
          <w:color w:val="000000"/>
          <w:sz w:val="28"/>
          <w:szCs w:val="28"/>
        </w:rPr>
      </w:pPr>
    </w:p>
    <w:p>
      <w:pPr>
        <w:keepNext w:val="0"/>
        <w:keepLines w:val="0"/>
        <w:pageBreakBefore w:val="0"/>
        <w:widowControl w:val="0"/>
        <w:wordWrap/>
        <w:bidi w:val="0"/>
        <w:spacing w:line="500" w:lineRule="exact"/>
        <w:rPr>
          <w:rFonts w:hint="eastAsia" w:ascii="仿宋_GB2312" w:hAnsi="微软雅黑" w:eastAsia="仿宋_GB2312" w:cs="宋体"/>
          <w:color w:val="000000"/>
          <w:sz w:val="28"/>
          <w:szCs w:val="28"/>
        </w:rPr>
      </w:pPr>
    </w:p>
    <w:p>
      <w:pPr>
        <w:keepNext w:val="0"/>
        <w:keepLines w:val="0"/>
        <w:pageBreakBefore w:val="0"/>
        <w:widowControl w:val="0"/>
        <w:wordWrap/>
        <w:bidi w:val="0"/>
        <w:spacing w:line="500" w:lineRule="exact"/>
        <w:jc w:val="center"/>
        <w:rPr>
          <w:rFonts w:ascii="仿宋_GB2312" w:hAnsi="仿宋" w:eastAsia="仿宋_GB2312"/>
          <w:b/>
          <w:bCs/>
          <w:color w:val="000000"/>
          <w:sz w:val="28"/>
          <w:szCs w:val="28"/>
        </w:rPr>
      </w:pPr>
      <w:r>
        <w:rPr>
          <w:sz w:val="28"/>
        </w:rPr>
        <mc:AlternateContent>
          <mc:Choice Requires="wps">
            <w:drawing>
              <wp:anchor distT="0" distB="0" distL="114300" distR="114300" simplePos="0" relativeHeight="251743232" behindDoc="0" locked="0" layoutInCell="1" allowOverlap="1">
                <wp:simplePos x="0" y="0"/>
                <wp:positionH relativeFrom="column">
                  <wp:posOffset>-269875</wp:posOffset>
                </wp:positionH>
                <wp:positionV relativeFrom="paragraph">
                  <wp:posOffset>6372860</wp:posOffset>
                </wp:positionV>
                <wp:extent cx="1227455" cy="751205"/>
                <wp:effectExtent l="0" t="0" r="10795" b="10795"/>
                <wp:wrapNone/>
                <wp:docPr id="65" name="文本框 65"/>
                <wp:cNvGraphicFramePr/>
                <a:graphic xmlns:a="http://schemas.openxmlformats.org/drawingml/2006/main">
                  <a:graphicData uri="http://schemas.microsoft.com/office/word/2010/wordprocessingShape">
                    <wps:wsp>
                      <wps:cNvSpPr txBox="1"/>
                      <wps:spPr>
                        <a:xfrm>
                          <a:off x="0" y="0"/>
                          <a:ext cx="1227455" cy="751205"/>
                        </a:xfrm>
                        <a:prstGeom prst="rect">
                          <a:avLst/>
                        </a:prstGeom>
                        <a:solidFill>
                          <a:srgbClr val="FFFFFF"/>
                        </a:solidFill>
                        <a:ln>
                          <a:noFill/>
                        </a:ln>
                      </wps:spPr>
                      <wps:txbx>
                        <w:txbxContent>
                          <w:p/>
                        </w:txbxContent>
                      </wps:txbx>
                      <wps:bodyPr upright="1"/>
                    </wps:wsp>
                  </a:graphicData>
                </a:graphic>
              </wp:anchor>
            </w:drawing>
          </mc:Choice>
          <mc:Fallback>
            <w:pict>
              <v:shape id="_x0000_s1026" o:spid="_x0000_s1026" o:spt="202" type="#_x0000_t202" style="position:absolute;left:0pt;margin-left:-21.25pt;margin-top:501.8pt;height:59.15pt;width:96.65pt;z-index:251743232;mso-width-relative:page;mso-height-relative:page;" fillcolor="#FFFFFF" filled="t" stroked="f" coordsize="21600,21600" o:gfxdata="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ho/ib2QAAAA0BAAAPAAAAAAAAAAEAIAAAACIAAABkcnMvZG93bnJl&#10;di54bWxQSwECFAAUAAAACACHTuJAYqydQcMBAAB5AwAADgAAAAAAAAABACAAAAAoAQAAZHJzL2Uy&#10;b0RvYy54bWxQSwUGAAAAAAYABgBZAQAAXQUAAAAA&#10;">
                <v:fill on="t" focussize="0,0"/>
                <v:stroke on="f"/>
                <v:imagedata o:title=""/>
                <o:lock v:ext="edit" aspectratio="f"/>
                <v:textbox>
                  <w:txbxContent>
                    <w:p/>
                  </w:txbxContent>
                </v:textbox>
              </v:shape>
            </w:pict>
          </mc:Fallback>
        </mc:AlternateContent>
      </w:r>
      <w:r>
        <w:rPr>
          <w:rFonts w:ascii="仿宋_GB2312" w:hAnsi="仿宋" w:eastAsia="仿宋_GB2312"/>
          <w:b/>
          <w:bCs/>
          <w:color w:val="000000"/>
          <w:sz w:val="28"/>
          <w:szCs w:val="28"/>
        </w:rPr>
        <w:br w:type="page"/>
      </w:r>
    </w:p>
    <w:p>
      <w:pPr>
        <w:keepNext w:val="0"/>
        <w:keepLines w:val="0"/>
        <w:pageBreakBefore w:val="0"/>
        <w:widowControl w:val="0"/>
        <w:wordWrap/>
        <w:bidi w:val="0"/>
        <w:spacing w:line="500" w:lineRule="exact"/>
        <w:jc w:val="center"/>
        <w:rPr>
          <w:rFonts w:ascii="仿宋_GB2312" w:hAnsi="仿宋" w:eastAsia="仿宋_GB2312"/>
          <w:b/>
          <w:bCs/>
          <w:color w:val="000000"/>
          <w:sz w:val="28"/>
          <w:szCs w:val="28"/>
        </w:rPr>
      </w:pPr>
    </w:p>
    <w:p>
      <w:pPr>
        <w:keepNext w:val="0"/>
        <w:keepLines w:val="0"/>
        <w:pageBreakBefore w:val="0"/>
        <w:widowControl w:val="0"/>
        <w:wordWrap/>
        <w:bidi w:val="0"/>
        <w:spacing w:line="500" w:lineRule="exact"/>
        <w:jc w:val="center"/>
        <w:rPr>
          <w:rFonts w:ascii="仿宋_GB2312" w:hAnsi="仿宋" w:eastAsia="仿宋_GB2312"/>
          <w:b/>
          <w:bCs/>
          <w:color w:val="000000"/>
          <w:sz w:val="28"/>
          <w:szCs w:val="28"/>
        </w:rPr>
      </w:pPr>
    </w:p>
    <w:p>
      <w:pPr>
        <w:keepNext w:val="0"/>
        <w:keepLines w:val="0"/>
        <w:pageBreakBefore w:val="0"/>
        <w:widowControl w:val="0"/>
        <w:wordWrap/>
        <w:bidi w:val="0"/>
        <w:spacing w:line="500" w:lineRule="exact"/>
        <w:jc w:val="center"/>
        <w:rPr>
          <w:rFonts w:ascii="仿宋_GB2312" w:hAnsi="仿宋" w:eastAsia="仿宋_GB2312"/>
          <w:b/>
          <w:bCs/>
          <w:color w:val="000000"/>
          <w:sz w:val="28"/>
          <w:szCs w:val="28"/>
        </w:rPr>
      </w:pPr>
    </w:p>
    <w:p>
      <w:pPr>
        <w:keepNext w:val="0"/>
        <w:keepLines w:val="0"/>
        <w:pageBreakBefore w:val="0"/>
        <w:widowControl w:val="0"/>
        <w:wordWrap/>
        <w:bidi w:val="0"/>
        <w:spacing w:line="500" w:lineRule="exact"/>
        <w:jc w:val="center"/>
        <w:rPr>
          <w:rFonts w:ascii="仿宋_GB2312" w:hAnsi="仿宋" w:eastAsia="仿宋_GB2312"/>
          <w:b/>
          <w:bCs/>
          <w:color w:val="000000"/>
          <w:sz w:val="28"/>
          <w:szCs w:val="28"/>
        </w:rPr>
      </w:pPr>
    </w:p>
    <w:p>
      <w:pPr>
        <w:keepNext w:val="0"/>
        <w:keepLines w:val="0"/>
        <w:pageBreakBefore w:val="0"/>
        <w:widowControl w:val="0"/>
        <w:wordWrap/>
        <w:bidi w:val="0"/>
        <w:spacing w:line="500" w:lineRule="exact"/>
        <w:jc w:val="center"/>
        <w:rPr>
          <w:rFonts w:ascii="仿宋_GB2312" w:hAnsi="仿宋" w:eastAsia="仿宋_GB2312"/>
          <w:b/>
          <w:bCs/>
          <w:color w:val="000000"/>
          <w:sz w:val="28"/>
          <w:szCs w:val="28"/>
        </w:rPr>
      </w:pPr>
    </w:p>
    <w:p>
      <w:pPr>
        <w:keepNext w:val="0"/>
        <w:keepLines w:val="0"/>
        <w:pageBreakBefore w:val="0"/>
        <w:widowControl w:val="0"/>
        <w:wordWrap/>
        <w:bidi w:val="0"/>
        <w:spacing w:after="0" w:line="240" w:lineRule="auto"/>
        <w:jc w:val="center"/>
        <w:rPr>
          <w:rFonts w:hint="eastAsia" w:ascii="方正小标宋简体" w:hAnsi="宋体" w:eastAsia="方正小标宋简体"/>
          <w:bCs/>
          <w:color w:val="000000"/>
          <w:sz w:val="48"/>
          <w:szCs w:val="48"/>
        </w:rPr>
      </w:pPr>
      <w:r>
        <w:rPr>
          <w:rFonts w:hint="eastAsia" w:ascii="方正小标宋简体" w:hAnsi="宋体" w:eastAsia="方正小标宋简体"/>
          <w:bCs/>
          <w:color w:val="000000"/>
          <w:sz w:val="48"/>
          <w:szCs w:val="48"/>
        </w:rPr>
        <w:t>法律援助值班律师工作</w:t>
      </w:r>
    </w:p>
    <w:p>
      <w:pPr>
        <w:keepNext w:val="0"/>
        <w:keepLines w:val="0"/>
        <w:pageBreakBefore w:val="0"/>
        <w:widowControl w:val="0"/>
        <w:wordWrap/>
        <w:bidi w:val="0"/>
        <w:spacing w:after="0" w:line="240" w:lineRule="auto"/>
        <w:jc w:val="center"/>
        <w:rPr>
          <w:rFonts w:hint="eastAsia" w:ascii="方正小标宋简体" w:hAnsi="宋体" w:eastAsia="方正小标宋简体"/>
          <w:bCs/>
          <w:color w:val="000000"/>
          <w:sz w:val="48"/>
          <w:szCs w:val="48"/>
        </w:rPr>
      </w:pPr>
      <w:r>
        <w:rPr>
          <w:rFonts w:hint="eastAsia" w:ascii="方正小标宋简体" w:hAnsi="宋体" w:eastAsia="方正小标宋简体"/>
          <w:bCs/>
          <w:color w:val="000000"/>
          <w:sz w:val="48"/>
          <w:szCs w:val="48"/>
        </w:rPr>
        <w:t>业务操作指引</w:t>
      </w:r>
    </w:p>
    <w:p>
      <w:pPr>
        <w:keepNext w:val="0"/>
        <w:keepLines w:val="0"/>
        <w:pageBreakBefore w:val="0"/>
        <w:widowControl w:val="0"/>
        <w:wordWrap/>
        <w:bidi w:val="0"/>
        <w:spacing w:after="0" w:line="240" w:lineRule="auto"/>
        <w:jc w:val="center"/>
        <w:rPr>
          <w:rFonts w:hint="eastAsia" w:ascii="方正小标宋简体" w:eastAsia="方正小标宋简体"/>
          <w:bCs/>
          <w:color w:val="000000"/>
          <w:sz w:val="40"/>
          <w:szCs w:val="40"/>
        </w:rPr>
      </w:pPr>
      <w:r>
        <w:rPr>
          <w:rFonts w:hint="eastAsia" w:ascii="方正小标宋简体" w:hAnsi="宋体" w:eastAsia="方正小标宋简体"/>
          <w:bCs/>
          <w:color w:val="000000"/>
          <w:sz w:val="48"/>
          <w:szCs w:val="48"/>
        </w:rPr>
        <w:br w:type="page"/>
      </w:r>
    </w:p>
    <w:p>
      <w:pPr>
        <w:keepNext w:val="0"/>
        <w:keepLines w:val="0"/>
        <w:pageBreakBefore w:val="0"/>
        <w:widowControl w:val="0"/>
        <w:wordWrap/>
        <w:bidi w:val="0"/>
        <w:spacing w:after="0" w:line="500" w:lineRule="exact"/>
        <w:jc w:val="center"/>
        <w:rPr>
          <w:rFonts w:hint="eastAsia" w:ascii="方正小标宋简体" w:eastAsia="仿宋_GB2312"/>
          <w:bCs/>
          <w:color w:val="000000"/>
          <w:sz w:val="40"/>
          <w:szCs w:val="40"/>
        </w:rPr>
      </w:pPr>
      <w:r>
        <w:rPr>
          <w:sz w:val="28"/>
        </w:rPr>
        <mc:AlternateContent>
          <mc:Choice Requires="wps">
            <w:drawing>
              <wp:anchor distT="0" distB="0" distL="114300" distR="114300" simplePos="0" relativeHeight="251744256" behindDoc="0" locked="0" layoutInCell="1" allowOverlap="1">
                <wp:simplePos x="0" y="0"/>
                <wp:positionH relativeFrom="column">
                  <wp:posOffset>-269875</wp:posOffset>
                </wp:positionH>
                <wp:positionV relativeFrom="paragraph">
                  <wp:posOffset>6112510</wp:posOffset>
                </wp:positionV>
                <wp:extent cx="1227455" cy="751205"/>
                <wp:effectExtent l="0" t="0" r="10795" b="10795"/>
                <wp:wrapNone/>
                <wp:docPr id="75" name="文本框 75"/>
                <wp:cNvGraphicFramePr/>
                <a:graphic xmlns:a="http://schemas.openxmlformats.org/drawingml/2006/main">
                  <a:graphicData uri="http://schemas.microsoft.com/office/word/2010/wordprocessingShape">
                    <wps:wsp>
                      <wps:cNvSpPr txBox="1"/>
                      <wps:spPr>
                        <a:xfrm>
                          <a:off x="0" y="0"/>
                          <a:ext cx="1227455" cy="751205"/>
                        </a:xfrm>
                        <a:prstGeom prst="rect">
                          <a:avLst/>
                        </a:prstGeom>
                        <a:solidFill>
                          <a:srgbClr val="FFFFFF"/>
                        </a:solidFill>
                        <a:ln>
                          <a:noFill/>
                        </a:ln>
                      </wps:spPr>
                      <wps:txbx>
                        <w:txbxContent>
                          <w:p/>
                        </w:txbxContent>
                      </wps:txbx>
                      <wps:bodyPr upright="1"/>
                    </wps:wsp>
                  </a:graphicData>
                </a:graphic>
              </wp:anchor>
            </w:drawing>
          </mc:Choice>
          <mc:Fallback>
            <w:pict>
              <v:shape id="_x0000_s1026" o:spid="_x0000_s1026" o:spt="202" type="#_x0000_t202" style="position:absolute;left:0pt;margin-left:-21.25pt;margin-top:481.3pt;height:59.15pt;width:96.65pt;z-index:251744256;mso-width-relative:page;mso-height-relative:page;" fillcolor="#FFFFFF" filled="t" stroked="f" coordsize="21600,21600" o:gfxdata="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YM+R/ZAAAADAEAAA8AAAAAAAAAAQAgAAAAIgAAAGRycy9kb3ducmV2&#10;LnhtbFBLAQIUABQAAAAIAIdO4kBlRqlewgEAAHkDAAAOAAAAAAAAAAEAIAAAACgBAABkcnMvZTJv&#10;RG9jLnhtbFBLBQYAAAAABgAGAFkBAABcBQAAAAA=&#10;">
                <v:fill on="t" focussize="0,0"/>
                <v:stroke on="f"/>
                <v:imagedata o:title=""/>
                <o:lock v:ext="edit" aspectratio="f"/>
                <v:textbox>
                  <w:txbxContent>
                    <w:p/>
                  </w:txbxContent>
                </v:textbox>
              </v:shape>
            </w:pict>
          </mc:Fallback>
        </mc:AlternateContent>
      </w:r>
      <w:r>
        <w:rPr>
          <w:sz w:val="28"/>
          <w:szCs w:val="21"/>
        </w:rPr>
        <mc:AlternateContent>
          <mc:Choice Requires="wps">
            <w:drawing>
              <wp:anchor distT="0" distB="0" distL="114300" distR="114300" simplePos="0" relativeHeight="251684864" behindDoc="0" locked="0" layoutInCell="1" allowOverlap="1">
                <wp:simplePos x="0" y="0"/>
                <wp:positionH relativeFrom="column">
                  <wp:posOffset>-340995</wp:posOffset>
                </wp:positionH>
                <wp:positionV relativeFrom="paragraph">
                  <wp:posOffset>7665085</wp:posOffset>
                </wp:positionV>
                <wp:extent cx="1452880" cy="809625"/>
                <wp:effectExtent l="4445" t="4445" r="9525" b="5080"/>
                <wp:wrapNone/>
                <wp:docPr id="76" name="矩形 76"/>
                <wp:cNvGraphicFramePr/>
                <a:graphic xmlns:a="http://schemas.openxmlformats.org/drawingml/2006/main">
                  <a:graphicData uri="http://schemas.microsoft.com/office/word/2010/wordprocessingShape">
                    <wps:wsp>
                      <wps:cNvSpPr/>
                      <wps:spPr>
                        <a:xfrm>
                          <a:off x="0" y="0"/>
                          <a:ext cx="1452880" cy="809625"/>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6.85pt;margin-top:603.55pt;height:63.75pt;width:114.4pt;z-index:251684864;mso-width-relative:page;mso-height-relative:page;" fillcolor="#FFFFFF" filled="t" stroked="t" coordsize="21600,21600" o:gfxdata="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RXiXo2gAAAA0BAAAPAAAAAAAAAAEAIAAAACIAAABkcnMvZG93bnJldi54&#10;bWxQSwECFAAUAAAACACHTuJA+GtqmvgBAAAgBAAADgAAAAAAAAABACAAAAApAQAAZHJzL2Uyb0Rv&#10;Yy54bWxQSwUGAAAAAAYABgBZAQAAkwUAAAAA&#10;">
                <v:fill on="t" focussize="0,0"/>
                <v:stroke color="#FFFFFF" joinstyle="miter"/>
                <v:imagedata o:title=""/>
                <o:lock v:ext="edit" aspectratio="f"/>
              </v:rect>
            </w:pict>
          </mc:Fallback>
        </mc:AlternateContent>
      </w:r>
      <w:r>
        <w:rPr>
          <w:rFonts w:ascii="仿宋_GB2312" w:hAnsi="仿宋" w:eastAsia="仿宋_GB2312"/>
          <w:b/>
          <w:bCs/>
          <w:color w:val="000000"/>
          <w:sz w:val="28"/>
          <w:szCs w:val="28"/>
        </w:rPr>
        <w:br w:type="page"/>
      </w:r>
      <w:r>
        <w:rPr>
          <w:rFonts w:hint="eastAsia" w:ascii="方正小标宋简体" w:hAnsi="宋体" w:eastAsia="方正小标宋简体"/>
          <w:bCs/>
          <w:color w:val="000000"/>
          <w:sz w:val="40"/>
          <w:szCs w:val="40"/>
        </w:rPr>
        <w:t>目    录</w:t>
      </w:r>
    </w:p>
    <w:p>
      <w:pPr>
        <w:keepNext w:val="0"/>
        <w:keepLines w:val="0"/>
        <w:pageBreakBefore w:val="0"/>
        <w:widowControl w:val="0"/>
        <w:wordWrap/>
        <w:bidi w:val="0"/>
        <w:spacing w:after="0" w:line="500" w:lineRule="exact"/>
        <w:ind w:firstLine="522" w:firstLineChars="200"/>
        <w:jc w:val="both"/>
        <w:rPr>
          <w:rFonts w:hint="eastAsia" w:ascii="仿宋" w:hAnsi="仿宋" w:eastAsia="仿宋" w:cs="仿宋"/>
          <w:bCs/>
          <w:color w:val="000000"/>
          <w:sz w:val="28"/>
          <w:szCs w:val="28"/>
        </w:rPr>
      </w:pP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bCs/>
          <w:color w:val="000000"/>
          <w:sz w:val="28"/>
          <w:szCs w:val="28"/>
        </w:rPr>
      </w:pPr>
      <w:r>
        <w:rPr>
          <w:rFonts w:hint="eastAsia" w:ascii="仿宋_GB2312" w:hAnsi="仿宋" w:eastAsia="仿宋_GB2312" w:cs="仿宋"/>
          <w:bCs/>
          <w:color w:val="000000"/>
          <w:sz w:val="28"/>
          <w:szCs w:val="28"/>
        </w:rPr>
        <w:t>一、值班律师定义</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bCs/>
          <w:color w:val="000000"/>
          <w:sz w:val="28"/>
          <w:szCs w:val="28"/>
        </w:rPr>
      </w:pPr>
      <w:r>
        <w:rPr>
          <w:rFonts w:hint="eastAsia" w:ascii="仿宋_GB2312" w:hAnsi="仿宋" w:eastAsia="仿宋_GB2312" w:cs="仿宋"/>
          <w:bCs/>
          <w:color w:val="000000"/>
          <w:sz w:val="28"/>
          <w:szCs w:val="28"/>
        </w:rPr>
        <w:t>二、值班律师条件</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bCs/>
          <w:color w:val="000000"/>
          <w:sz w:val="28"/>
          <w:szCs w:val="28"/>
        </w:rPr>
      </w:pPr>
      <w:r>
        <w:rPr>
          <w:rFonts w:hint="eastAsia" w:ascii="仿宋_GB2312" w:hAnsi="仿宋" w:eastAsia="仿宋_GB2312" w:cs="仿宋"/>
          <w:bCs/>
          <w:color w:val="000000"/>
          <w:sz w:val="28"/>
          <w:szCs w:val="28"/>
        </w:rPr>
        <w:t>三、值班律师安排</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bCs/>
          <w:color w:val="000000"/>
          <w:sz w:val="28"/>
          <w:szCs w:val="28"/>
        </w:rPr>
      </w:pPr>
      <w:r>
        <w:rPr>
          <w:rFonts w:hint="eastAsia" w:ascii="仿宋_GB2312" w:hAnsi="仿宋" w:eastAsia="仿宋_GB2312" w:cs="仿宋"/>
          <w:bCs/>
          <w:color w:val="000000"/>
          <w:sz w:val="28"/>
          <w:szCs w:val="28"/>
        </w:rPr>
        <w:t>四、值班律师“值班”形式</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bCs/>
          <w:color w:val="000000"/>
          <w:sz w:val="28"/>
          <w:szCs w:val="28"/>
        </w:rPr>
      </w:pPr>
      <w:r>
        <w:rPr>
          <w:rFonts w:hint="eastAsia" w:ascii="仿宋_GB2312" w:hAnsi="仿宋" w:eastAsia="仿宋_GB2312" w:cs="仿宋"/>
          <w:bCs/>
          <w:color w:val="000000"/>
          <w:sz w:val="28"/>
          <w:szCs w:val="28"/>
        </w:rPr>
        <w:t>五、值班律师提供法律帮助条件</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bCs/>
          <w:color w:val="000000"/>
          <w:sz w:val="28"/>
          <w:szCs w:val="28"/>
        </w:rPr>
      </w:pPr>
      <w:r>
        <w:rPr>
          <w:rFonts w:hint="eastAsia" w:ascii="仿宋_GB2312" w:hAnsi="仿宋" w:eastAsia="仿宋_GB2312" w:cs="仿宋"/>
          <w:bCs/>
          <w:color w:val="000000"/>
          <w:sz w:val="28"/>
          <w:szCs w:val="28"/>
        </w:rPr>
        <w:t>六、值班律师工作职责</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bCs/>
          <w:color w:val="000000"/>
          <w:sz w:val="28"/>
          <w:szCs w:val="28"/>
        </w:rPr>
      </w:pPr>
      <w:r>
        <w:rPr>
          <w:rFonts w:hint="eastAsia" w:ascii="仿宋_GB2312" w:hAnsi="仿宋" w:eastAsia="仿宋_GB2312" w:cs="仿宋"/>
          <w:bCs/>
          <w:color w:val="000000"/>
          <w:sz w:val="28"/>
          <w:szCs w:val="28"/>
        </w:rPr>
        <w:t>七、值班律师提供法律帮助</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bCs/>
          <w:color w:val="000000"/>
          <w:sz w:val="28"/>
          <w:szCs w:val="28"/>
        </w:rPr>
      </w:pPr>
      <w:r>
        <w:rPr>
          <w:rFonts w:hint="eastAsia" w:ascii="仿宋_GB2312" w:hAnsi="仿宋" w:eastAsia="仿宋_GB2312" w:cs="仿宋"/>
          <w:bCs/>
          <w:color w:val="000000"/>
          <w:sz w:val="28"/>
          <w:szCs w:val="28"/>
        </w:rPr>
        <w:t>八、值班律师注意事项</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bCs/>
          <w:color w:val="000000"/>
          <w:sz w:val="28"/>
          <w:szCs w:val="28"/>
        </w:rPr>
      </w:pPr>
      <w:r>
        <w:rPr>
          <w:rFonts w:hint="eastAsia" w:ascii="仿宋_GB2312" w:hAnsi="仿宋" w:eastAsia="仿宋_GB2312" w:cs="仿宋"/>
          <w:bCs/>
          <w:color w:val="000000"/>
          <w:sz w:val="28"/>
          <w:szCs w:val="28"/>
        </w:rPr>
        <w:t>九、值班律师权利</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bCs/>
          <w:color w:val="000000"/>
          <w:sz w:val="28"/>
          <w:szCs w:val="28"/>
        </w:rPr>
      </w:pPr>
      <w:r>
        <w:rPr>
          <w:rFonts w:hint="eastAsia" w:ascii="仿宋_GB2312" w:hAnsi="仿宋" w:eastAsia="仿宋_GB2312" w:cs="仿宋"/>
          <w:bCs/>
          <w:color w:val="000000"/>
          <w:sz w:val="28"/>
          <w:szCs w:val="28"/>
        </w:rPr>
        <w:t>十、值班律师义务</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bCs/>
          <w:color w:val="000000"/>
          <w:sz w:val="28"/>
          <w:szCs w:val="28"/>
        </w:rPr>
      </w:pPr>
      <w:r>
        <w:rPr>
          <w:rFonts w:hint="eastAsia" w:ascii="仿宋_GB2312" w:hAnsi="仿宋" w:eastAsia="仿宋_GB2312" w:cs="仿宋"/>
          <w:bCs/>
          <w:color w:val="000000"/>
          <w:sz w:val="28"/>
          <w:szCs w:val="28"/>
        </w:rPr>
        <w:t>十一、附则</w:t>
      </w:r>
    </w:p>
    <w:p>
      <w:pPr>
        <w:keepNext w:val="0"/>
        <w:keepLines w:val="0"/>
        <w:pageBreakBefore w:val="0"/>
        <w:widowControl w:val="0"/>
        <w:wordWrap/>
        <w:bidi w:val="0"/>
        <w:spacing w:after="0" w:line="500" w:lineRule="exact"/>
        <w:jc w:val="center"/>
        <w:rPr>
          <w:rFonts w:hint="eastAsia" w:ascii="方正小标宋简体" w:eastAsia="方正小标宋简体"/>
          <w:bCs/>
          <w:color w:val="000000"/>
          <w:sz w:val="40"/>
          <w:szCs w:val="40"/>
        </w:rPr>
      </w:pPr>
      <w:r>
        <w:rPr>
          <w:rFonts w:hint="eastAsia" w:ascii="仿宋" w:hAnsi="仿宋" w:eastAsia="仿宋" w:cs="仿宋"/>
          <w:bCs/>
          <w:color w:val="000000"/>
          <w:sz w:val="28"/>
          <w:szCs w:val="28"/>
        </w:rPr>
        <w:br w:type="page"/>
      </w:r>
      <w:r>
        <w:rPr>
          <w:rFonts w:hint="eastAsia" w:ascii="方正小标宋简体" w:hAnsi="宋体" w:eastAsia="方正小标宋简体"/>
          <w:bCs/>
          <w:color w:val="000000"/>
          <w:sz w:val="40"/>
          <w:szCs w:val="40"/>
        </w:rPr>
        <w:t>法律援助值班律师工作业务操作指引</w:t>
      </w:r>
    </w:p>
    <w:p>
      <w:pPr>
        <w:keepNext w:val="0"/>
        <w:keepLines w:val="0"/>
        <w:pageBreakBefore w:val="0"/>
        <w:widowControl w:val="0"/>
        <w:wordWrap/>
        <w:autoSpaceDE w:val="0"/>
        <w:bidi w:val="0"/>
        <w:spacing w:before="227" w:beforeLines="50" w:after="227" w:afterLines="50" w:line="500" w:lineRule="exact"/>
        <w:ind w:right="-1" w:firstLine="522" w:firstLineChars="200"/>
        <w:rPr>
          <w:rFonts w:hint="eastAsia" w:ascii="仿宋_GB2312" w:hAnsi="宋体" w:eastAsia="仿宋_GB2312"/>
          <w:b/>
          <w:color w:val="000000"/>
          <w:sz w:val="28"/>
          <w:szCs w:val="28"/>
        </w:rPr>
      </w:pPr>
    </w:p>
    <w:p>
      <w:pPr>
        <w:keepNext w:val="0"/>
        <w:keepLines w:val="0"/>
        <w:pageBreakBefore w:val="0"/>
        <w:widowControl w:val="0"/>
        <w:wordWrap/>
        <w:autoSpaceDE w:val="0"/>
        <w:bidi w:val="0"/>
        <w:spacing w:after="0" w:line="500" w:lineRule="exact"/>
        <w:ind w:firstLine="522" w:firstLineChars="200"/>
        <w:jc w:val="both"/>
        <w:rPr>
          <w:rFonts w:hint="eastAsia" w:ascii="仿宋_GB2312" w:hAnsi="仿宋" w:eastAsia="仿宋_GB2312" w:cs="仿宋"/>
          <w:bCs/>
          <w:color w:val="000000"/>
          <w:sz w:val="28"/>
          <w:szCs w:val="28"/>
        </w:rPr>
      </w:pPr>
      <w:r>
        <w:rPr>
          <w:rFonts w:hint="eastAsia" w:ascii="仿宋_GB2312" w:hAnsi="仿宋" w:eastAsia="仿宋_GB2312" w:cs="仿宋"/>
          <w:color w:val="000000"/>
          <w:sz w:val="28"/>
          <w:szCs w:val="28"/>
        </w:rPr>
        <w:t>为明确值班律师的权利和责任，规范值班律师工作，保障犯罪嫌疑人、被告人依法享有的诉讼权利，根据《中华人民共和国刑事诉讼法》、《中华人民共和国律师法》、《中华人民共和国法律援助法》、</w:t>
      </w:r>
      <w:r>
        <w:rPr>
          <w:rFonts w:hint="eastAsia" w:ascii="仿宋_GB2312" w:hAnsi="仿宋" w:eastAsia="仿宋_GB2312" w:cs="仿宋"/>
          <w:bCs/>
          <w:color w:val="000000"/>
          <w:sz w:val="28"/>
          <w:szCs w:val="28"/>
        </w:rPr>
        <w:t>最高人民法院、最高人民检察院、公安部、国家安全部、司法部《法律援助值班律师工作办法》等规定，制定本业务指引。</w:t>
      </w:r>
    </w:p>
    <w:p>
      <w:pPr>
        <w:keepNext w:val="0"/>
        <w:keepLines w:val="0"/>
        <w:pageBreakBefore w:val="0"/>
        <w:widowControl w:val="0"/>
        <w:wordWrap/>
        <w:bidi w:val="0"/>
        <w:spacing w:after="0" w:line="500" w:lineRule="exact"/>
        <w:ind w:firstLine="522" w:firstLineChars="200"/>
        <w:jc w:val="both"/>
        <w:rPr>
          <w:rFonts w:hint="eastAsia" w:ascii="仿宋" w:hAnsi="仿宋" w:eastAsia="仿宋" w:cs="仿宋"/>
          <w:b/>
          <w:color w:val="000000"/>
          <w:sz w:val="28"/>
          <w:szCs w:val="28"/>
        </w:rPr>
      </w:pPr>
      <w:r>
        <w:rPr>
          <w:rFonts w:hint="eastAsia" w:ascii="仿宋" w:hAnsi="仿宋" w:eastAsia="仿宋" w:cs="仿宋"/>
          <w:b/>
          <w:color w:val="000000"/>
          <w:sz w:val="28"/>
          <w:szCs w:val="28"/>
        </w:rPr>
        <w:t>一</w:t>
      </w:r>
      <w:r>
        <w:rPr>
          <w:rFonts w:hint="eastAsia" w:ascii="黑体" w:hAnsi="黑体" w:eastAsia="黑体" w:cs="黑体"/>
          <w:bCs/>
          <w:color w:val="000000"/>
          <w:sz w:val="28"/>
          <w:szCs w:val="28"/>
        </w:rPr>
        <w:t>、值班律师定义</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值班律师，是指法律援助机构在看守所、人民检察院、人民法院等场所设立法律援助工作站，通过派驻或安排的方式，为没有辩护人的犯罪嫌疑人、被告人提供法律帮助的律师。</w:t>
      </w:r>
    </w:p>
    <w:p>
      <w:pPr>
        <w:keepNext w:val="0"/>
        <w:keepLines w:val="0"/>
        <w:pageBreakBefore w:val="0"/>
        <w:widowControl w:val="0"/>
        <w:wordWrap/>
        <w:bidi w:val="0"/>
        <w:spacing w:after="0" w:line="500" w:lineRule="exact"/>
        <w:ind w:firstLine="522" w:firstLineChars="200"/>
        <w:jc w:val="both"/>
        <w:rPr>
          <w:rFonts w:hint="eastAsia" w:ascii="黑体" w:hAnsi="黑体" w:eastAsia="黑体" w:cs="黑体"/>
          <w:bCs/>
          <w:color w:val="000000"/>
          <w:sz w:val="28"/>
          <w:szCs w:val="28"/>
        </w:rPr>
      </w:pPr>
      <w:r>
        <w:rPr>
          <w:rFonts w:hint="eastAsia" w:ascii="黑体" w:hAnsi="黑体" w:eastAsia="黑体" w:cs="黑体"/>
          <w:bCs/>
          <w:color w:val="000000"/>
          <w:sz w:val="28"/>
          <w:szCs w:val="28"/>
        </w:rPr>
        <w:t>二、值班律师条件</w:t>
      </w:r>
    </w:p>
    <w:p>
      <w:pPr>
        <w:keepNext w:val="0"/>
        <w:keepLines w:val="0"/>
        <w:pageBreakBefore w:val="0"/>
        <w:widowControl w:val="0"/>
        <w:numPr>
          <w:ilvl w:val="0"/>
          <w:numId w:val="194"/>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有效注册的执业律师；</w:t>
      </w:r>
    </w:p>
    <w:p>
      <w:pPr>
        <w:keepNext w:val="0"/>
        <w:keepLines w:val="0"/>
        <w:pageBreakBefore w:val="0"/>
        <w:widowControl w:val="0"/>
        <w:numPr>
          <w:ilvl w:val="0"/>
          <w:numId w:val="194"/>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从事律师执业二年以上，且具有办理刑事案件的经历；</w:t>
      </w:r>
    </w:p>
    <w:p>
      <w:pPr>
        <w:keepNext w:val="0"/>
        <w:keepLines w:val="0"/>
        <w:pageBreakBefore w:val="0"/>
        <w:widowControl w:val="0"/>
        <w:numPr>
          <w:ilvl w:val="0"/>
          <w:numId w:val="194"/>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已被法律援助机构编入值班律师名册或值班律师库。</w:t>
      </w:r>
    </w:p>
    <w:p>
      <w:pPr>
        <w:keepNext w:val="0"/>
        <w:keepLines w:val="0"/>
        <w:pageBreakBefore w:val="0"/>
        <w:widowControl w:val="0"/>
        <w:wordWrap/>
        <w:bidi w:val="0"/>
        <w:spacing w:after="0" w:line="500" w:lineRule="exact"/>
        <w:ind w:firstLine="522" w:firstLineChars="200"/>
        <w:jc w:val="both"/>
        <w:rPr>
          <w:rFonts w:hint="eastAsia" w:ascii="黑体" w:hAnsi="黑体" w:eastAsia="黑体" w:cs="黑体"/>
          <w:bCs/>
          <w:color w:val="000000"/>
          <w:sz w:val="28"/>
          <w:szCs w:val="28"/>
        </w:rPr>
      </w:pPr>
      <w:r>
        <w:rPr>
          <w:rFonts w:hint="eastAsia" w:ascii="黑体" w:hAnsi="黑体" w:eastAsia="黑体" w:cs="黑体"/>
          <w:bCs/>
          <w:color w:val="000000"/>
          <w:sz w:val="28"/>
          <w:szCs w:val="28"/>
        </w:rPr>
        <w:t>三、值班律师安排</w:t>
      </w:r>
    </w:p>
    <w:p>
      <w:pPr>
        <w:keepNext w:val="0"/>
        <w:keepLines w:val="0"/>
        <w:pageBreakBefore w:val="0"/>
        <w:widowControl w:val="0"/>
        <w:numPr>
          <w:ilvl w:val="0"/>
          <w:numId w:val="195"/>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派驻或安排值班的主体是法律援助机构；</w:t>
      </w:r>
    </w:p>
    <w:p>
      <w:pPr>
        <w:keepNext w:val="0"/>
        <w:keepLines w:val="0"/>
        <w:pageBreakBefore w:val="0"/>
        <w:widowControl w:val="0"/>
        <w:numPr>
          <w:ilvl w:val="0"/>
          <w:numId w:val="195"/>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派驻或安排值班的地点是看守所、人民检察院、人民法院等场所的法律援助工作站。</w:t>
      </w:r>
    </w:p>
    <w:p>
      <w:pPr>
        <w:keepNext w:val="0"/>
        <w:keepLines w:val="0"/>
        <w:pageBreakBefore w:val="0"/>
        <w:widowControl w:val="0"/>
        <w:wordWrap/>
        <w:bidi w:val="0"/>
        <w:spacing w:after="0" w:line="500" w:lineRule="exact"/>
        <w:ind w:firstLine="522" w:firstLineChars="200"/>
        <w:jc w:val="both"/>
        <w:rPr>
          <w:rFonts w:hint="eastAsia" w:ascii="黑体" w:hAnsi="黑体" w:eastAsia="黑体" w:cs="黑体"/>
          <w:bCs/>
          <w:color w:val="000000"/>
          <w:sz w:val="28"/>
          <w:szCs w:val="28"/>
        </w:rPr>
      </w:pPr>
      <w:r>
        <w:rPr>
          <w:rFonts w:hint="eastAsia" w:ascii="黑体" w:hAnsi="黑体" w:eastAsia="黑体" w:cs="黑体"/>
          <w:bCs/>
          <w:color w:val="000000"/>
          <w:sz w:val="28"/>
          <w:szCs w:val="28"/>
        </w:rPr>
        <w:t>四、值班律师“值班”形式</w:t>
      </w:r>
    </w:p>
    <w:p>
      <w:pPr>
        <w:keepNext w:val="0"/>
        <w:keepLines w:val="0"/>
        <w:pageBreakBefore w:val="0"/>
        <w:widowControl w:val="0"/>
        <w:numPr>
          <w:ilvl w:val="0"/>
          <w:numId w:val="196"/>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现场值班（可以采取固定专人或轮流值班，也可以采取预约值班）；</w:t>
      </w:r>
    </w:p>
    <w:p>
      <w:pPr>
        <w:keepNext w:val="0"/>
        <w:keepLines w:val="0"/>
        <w:pageBreakBefore w:val="0"/>
        <w:widowControl w:val="0"/>
        <w:numPr>
          <w:ilvl w:val="0"/>
          <w:numId w:val="196"/>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电话值班；</w:t>
      </w:r>
    </w:p>
    <w:p>
      <w:pPr>
        <w:keepNext w:val="0"/>
        <w:keepLines w:val="0"/>
        <w:pageBreakBefore w:val="0"/>
        <w:widowControl w:val="0"/>
        <w:numPr>
          <w:ilvl w:val="0"/>
          <w:numId w:val="196"/>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网络值班；</w:t>
      </w:r>
    </w:p>
    <w:p>
      <w:pPr>
        <w:keepNext w:val="0"/>
        <w:keepLines w:val="0"/>
        <w:pageBreakBefore w:val="0"/>
        <w:widowControl w:val="0"/>
        <w:numPr>
          <w:ilvl w:val="0"/>
          <w:numId w:val="196"/>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上述三种值班方式的结合。</w:t>
      </w:r>
    </w:p>
    <w:p>
      <w:pPr>
        <w:keepNext w:val="0"/>
        <w:keepLines w:val="0"/>
        <w:pageBreakBefore w:val="0"/>
        <w:widowControl w:val="0"/>
        <w:wordWrap/>
        <w:bidi w:val="0"/>
        <w:spacing w:after="0" w:line="500" w:lineRule="exact"/>
        <w:ind w:firstLine="522" w:firstLineChars="200"/>
        <w:jc w:val="both"/>
        <w:rPr>
          <w:rFonts w:hint="eastAsia" w:ascii="黑体" w:hAnsi="黑体" w:eastAsia="黑体" w:cs="黑体"/>
          <w:bCs/>
          <w:color w:val="000000"/>
          <w:sz w:val="28"/>
          <w:szCs w:val="28"/>
        </w:rPr>
      </w:pPr>
      <w:r>
        <w:rPr>
          <w:rFonts w:hint="eastAsia" w:ascii="黑体" w:hAnsi="黑体" w:eastAsia="黑体" w:cs="黑体"/>
          <w:bCs/>
          <w:color w:val="000000"/>
          <w:sz w:val="28"/>
          <w:szCs w:val="28"/>
        </w:rPr>
        <w:t>五、值班律师提供法律帮助条件</w:t>
      </w:r>
    </w:p>
    <w:p>
      <w:pPr>
        <w:keepNext w:val="0"/>
        <w:keepLines w:val="0"/>
        <w:pageBreakBefore w:val="0"/>
        <w:widowControl w:val="0"/>
        <w:numPr>
          <w:ilvl w:val="0"/>
          <w:numId w:val="197"/>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bCs/>
          <w:color w:val="000000"/>
          <w:sz w:val="28"/>
          <w:szCs w:val="28"/>
        </w:rPr>
        <w:t>犯罪嫌疑人、被告人</w:t>
      </w:r>
      <w:r>
        <w:rPr>
          <w:rFonts w:hint="eastAsia" w:ascii="仿宋_GB2312" w:hAnsi="仿宋" w:eastAsia="仿宋_GB2312" w:cs="仿宋"/>
          <w:color w:val="000000"/>
          <w:sz w:val="28"/>
          <w:szCs w:val="28"/>
        </w:rPr>
        <w:t xml:space="preserve">没有委托辩护人； </w:t>
      </w:r>
    </w:p>
    <w:p>
      <w:pPr>
        <w:keepNext w:val="0"/>
        <w:keepLines w:val="0"/>
        <w:pageBreakBefore w:val="0"/>
        <w:widowControl w:val="0"/>
        <w:numPr>
          <w:ilvl w:val="0"/>
          <w:numId w:val="197"/>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法律援助机构没有指派律师为犯罪嫌疑人、被告人提供辩护的。</w:t>
      </w:r>
    </w:p>
    <w:p>
      <w:pPr>
        <w:keepNext w:val="0"/>
        <w:keepLines w:val="0"/>
        <w:pageBreakBefore w:val="0"/>
        <w:widowControl w:val="0"/>
        <w:wordWrap/>
        <w:bidi w:val="0"/>
        <w:spacing w:after="0" w:line="500" w:lineRule="exact"/>
        <w:ind w:firstLine="522" w:firstLineChars="200"/>
        <w:jc w:val="both"/>
        <w:rPr>
          <w:rFonts w:hint="eastAsia" w:ascii="黑体" w:hAnsi="黑体" w:eastAsia="黑体" w:cs="黑体"/>
          <w:bCs/>
          <w:color w:val="000000"/>
          <w:sz w:val="28"/>
          <w:szCs w:val="28"/>
        </w:rPr>
      </w:pPr>
      <w:r>
        <w:rPr>
          <w:rFonts w:hint="eastAsia" w:ascii="黑体" w:hAnsi="黑体" w:eastAsia="黑体" w:cs="黑体"/>
          <w:bCs/>
          <w:color w:val="000000"/>
          <w:sz w:val="28"/>
          <w:szCs w:val="28"/>
        </w:rPr>
        <w:t>六、值班律师工作职责</w:t>
      </w:r>
    </w:p>
    <w:p>
      <w:pPr>
        <w:keepNext w:val="0"/>
        <w:keepLines w:val="0"/>
        <w:pageBreakBefore w:val="0"/>
        <w:widowControl w:val="0"/>
        <w:numPr>
          <w:ilvl w:val="0"/>
          <w:numId w:val="198"/>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为犯罪嫌疑人、被告人提供法律咨询、程序选择建议、申请变更强制措施、案件处理提出意见、帮助申请法律援助等法律帮助；</w:t>
      </w:r>
    </w:p>
    <w:p>
      <w:pPr>
        <w:keepNext w:val="0"/>
        <w:keepLines w:val="0"/>
        <w:pageBreakBefore w:val="0"/>
        <w:widowControl w:val="0"/>
        <w:numPr>
          <w:ilvl w:val="0"/>
          <w:numId w:val="198"/>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在认罪认罚案件中为犯罪嫌疑人、被告人提供与认罪认罚相关的法律帮助。</w:t>
      </w:r>
    </w:p>
    <w:p>
      <w:pPr>
        <w:keepNext w:val="0"/>
        <w:keepLines w:val="0"/>
        <w:pageBreakBefore w:val="0"/>
        <w:widowControl w:val="0"/>
        <w:wordWrap/>
        <w:bidi w:val="0"/>
        <w:spacing w:after="0" w:line="500" w:lineRule="exact"/>
        <w:ind w:firstLine="522" w:firstLineChars="200"/>
        <w:jc w:val="both"/>
        <w:rPr>
          <w:rFonts w:hint="eastAsia" w:ascii="黑体" w:hAnsi="黑体" w:eastAsia="黑体" w:cs="黑体"/>
          <w:bCs/>
          <w:color w:val="000000"/>
          <w:sz w:val="28"/>
          <w:szCs w:val="28"/>
        </w:rPr>
      </w:pPr>
      <w:r>
        <w:rPr>
          <w:rFonts w:hint="eastAsia" w:ascii="黑体" w:hAnsi="黑体" w:eastAsia="黑体" w:cs="黑体"/>
          <w:bCs/>
          <w:color w:val="000000"/>
          <w:sz w:val="28"/>
          <w:szCs w:val="28"/>
        </w:rPr>
        <w:t>七、值班律师提供法律帮助</w:t>
      </w:r>
    </w:p>
    <w:p>
      <w:pPr>
        <w:keepNext w:val="0"/>
        <w:keepLines w:val="0"/>
        <w:pageBreakBefore w:val="0"/>
        <w:widowControl w:val="0"/>
        <w:numPr>
          <w:ilvl w:val="0"/>
          <w:numId w:val="199"/>
        </w:numPr>
        <w:wordWrap/>
        <w:bidi w:val="0"/>
        <w:spacing w:after="0" w:line="500" w:lineRule="exact"/>
        <w:jc w:val="both"/>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提供法律咨询</w:t>
      </w:r>
    </w:p>
    <w:p>
      <w:pPr>
        <w:keepNext w:val="0"/>
        <w:keepLines w:val="0"/>
        <w:pageBreakBefore w:val="0"/>
        <w:widowControl w:val="0"/>
        <w:numPr>
          <w:ilvl w:val="0"/>
          <w:numId w:val="200"/>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解答犯罪嫌疑人、被告人咨询的法律问题。</w:t>
      </w:r>
    </w:p>
    <w:p>
      <w:pPr>
        <w:keepNext w:val="0"/>
        <w:keepLines w:val="0"/>
        <w:pageBreakBefore w:val="0"/>
        <w:widowControl w:val="0"/>
        <w:numPr>
          <w:ilvl w:val="0"/>
          <w:numId w:val="200"/>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向犯罪嫌疑人、被告人介绍有关法律帮助的相关规定。</w:t>
      </w:r>
    </w:p>
    <w:p>
      <w:pPr>
        <w:keepNext w:val="0"/>
        <w:keepLines w:val="0"/>
        <w:pageBreakBefore w:val="0"/>
        <w:widowControl w:val="0"/>
        <w:numPr>
          <w:ilvl w:val="0"/>
          <w:numId w:val="200"/>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结合案件所在的诉讼阶段解释相关诉讼权利和程序规定。</w:t>
      </w:r>
    </w:p>
    <w:p>
      <w:pPr>
        <w:keepNext w:val="0"/>
        <w:keepLines w:val="0"/>
        <w:pageBreakBefore w:val="0"/>
        <w:widowControl w:val="0"/>
        <w:numPr>
          <w:ilvl w:val="0"/>
          <w:numId w:val="200"/>
        </w:numPr>
        <w:wordWrap/>
        <w:bidi w:val="0"/>
        <w:spacing w:after="0" w:line="500" w:lineRule="exact"/>
        <w:ind w:firstLine="522" w:firstLineChars="200"/>
        <w:jc w:val="both"/>
        <w:rPr>
          <w:rFonts w:hint="eastAsia" w:ascii="仿宋" w:hAnsi="仿宋" w:eastAsia="仿宋" w:cs="仿宋"/>
          <w:color w:val="000000"/>
          <w:sz w:val="28"/>
          <w:szCs w:val="28"/>
        </w:rPr>
      </w:pPr>
      <w:r>
        <w:rPr>
          <w:rFonts w:hint="eastAsia" w:ascii="仿宋_GB2312" w:hAnsi="仿宋" w:eastAsia="仿宋_GB2312" w:cs="仿宋"/>
          <w:color w:val="000000"/>
          <w:sz w:val="28"/>
          <w:szCs w:val="28"/>
        </w:rPr>
        <w:t>值班律师提供法律咨询时，应当记录犯罪嫌疑人、被告人涉嫌的罪名、咨询的法律问题、提供的法律解答。</w:t>
      </w:r>
      <w:r>
        <w:rPr>
          <w:rFonts w:hint="eastAsia" w:ascii="仿宋" w:hAnsi="仿宋" w:eastAsia="仿宋" w:cs="仿宋"/>
          <w:color w:val="000000"/>
          <w:sz w:val="28"/>
          <w:szCs w:val="28"/>
        </w:rPr>
        <w:t xml:space="preserve">      </w:t>
      </w:r>
    </w:p>
    <w:p>
      <w:pPr>
        <w:keepNext w:val="0"/>
        <w:keepLines w:val="0"/>
        <w:pageBreakBefore w:val="0"/>
        <w:widowControl w:val="0"/>
        <w:numPr>
          <w:ilvl w:val="0"/>
          <w:numId w:val="199"/>
        </w:numPr>
        <w:wordWrap/>
        <w:bidi w:val="0"/>
        <w:spacing w:after="0" w:line="500" w:lineRule="exact"/>
        <w:jc w:val="both"/>
        <w:rPr>
          <w:rFonts w:hint="eastAsia" w:ascii="仿宋" w:hAnsi="仿宋" w:eastAsia="仿宋" w:cs="仿宋"/>
          <w:color w:val="000000"/>
          <w:sz w:val="28"/>
          <w:szCs w:val="28"/>
        </w:rPr>
      </w:pPr>
      <w:r>
        <w:rPr>
          <w:rFonts w:hint="eastAsia" w:ascii="仿宋" w:hAnsi="仿宋" w:eastAsia="仿宋" w:cs="仿宋"/>
          <w:b/>
          <w:bCs/>
          <w:color w:val="000000"/>
          <w:sz w:val="28"/>
          <w:szCs w:val="28"/>
        </w:rPr>
        <w:t>提供程序选择建议</w:t>
      </w:r>
    </w:p>
    <w:p>
      <w:pPr>
        <w:keepNext w:val="0"/>
        <w:keepLines w:val="0"/>
        <w:pageBreakBefore w:val="0"/>
        <w:widowControl w:val="0"/>
        <w:numPr>
          <w:ilvl w:val="0"/>
          <w:numId w:val="201"/>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向犯罪嫌疑人、被告人说明审判程序的法律规定和法律后果。</w:t>
      </w:r>
    </w:p>
    <w:p>
      <w:pPr>
        <w:keepNext w:val="0"/>
        <w:keepLines w:val="0"/>
        <w:pageBreakBefore w:val="0"/>
        <w:widowControl w:val="0"/>
        <w:numPr>
          <w:ilvl w:val="0"/>
          <w:numId w:val="201"/>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对符合《中华人民共和国刑事诉讼法》第二百一十四条第一款规定条件的，可建议犯罪嫌疑人、被告人选择适用简易程序。</w:t>
      </w:r>
    </w:p>
    <w:p>
      <w:pPr>
        <w:keepNext w:val="0"/>
        <w:keepLines w:val="0"/>
        <w:pageBreakBefore w:val="0"/>
        <w:widowControl w:val="0"/>
        <w:numPr>
          <w:ilvl w:val="0"/>
          <w:numId w:val="201"/>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在人民法院、人民检察院提出适用速裁程序审理时，可以建议犯罪嫌疑人、被告人同意适用速裁程序。</w:t>
      </w:r>
    </w:p>
    <w:p>
      <w:pPr>
        <w:keepNext w:val="0"/>
        <w:keepLines w:val="0"/>
        <w:pageBreakBefore w:val="0"/>
        <w:widowControl w:val="0"/>
        <w:numPr>
          <w:ilvl w:val="0"/>
          <w:numId w:val="199"/>
        </w:numPr>
        <w:wordWrap/>
        <w:bidi w:val="0"/>
        <w:spacing w:after="0" w:line="500" w:lineRule="exact"/>
        <w:jc w:val="both"/>
        <w:rPr>
          <w:rFonts w:hint="eastAsia" w:ascii="仿宋" w:hAnsi="仿宋" w:eastAsia="仿宋" w:cs="仿宋"/>
          <w:b/>
          <w:bCs/>
          <w:color w:val="000000"/>
          <w:sz w:val="28"/>
          <w:szCs w:val="28"/>
        </w:rPr>
      </w:pPr>
      <w:r>
        <w:rPr>
          <w:rFonts w:hint="eastAsia" w:ascii="仿宋" w:hAnsi="仿宋" w:eastAsia="仿宋" w:cs="仿宋"/>
          <w:b/>
          <w:bCs/>
          <w:color w:val="000000"/>
          <w:sz w:val="28"/>
          <w:szCs w:val="28"/>
        </w:rPr>
        <w:t>帮助犯罪嫌疑人、被告人申请变更强制措施</w:t>
      </w:r>
    </w:p>
    <w:p>
      <w:pPr>
        <w:keepNext w:val="0"/>
        <w:keepLines w:val="0"/>
        <w:pageBreakBefore w:val="0"/>
        <w:widowControl w:val="0"/>
        <w:numPr>
          <w:ilvl w:val="0"/>
          <w:numId w:val="202"/>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犯罪嫌疑人、被告人被采取强制措施的，可以为其向有关司法机关申请予以变更，如申请将拘留、逮捕变更为取保候审、监视居住，将监视居住变更为取保候审等。</w:t>
      </w:r>
    </w:p>
    <w:p>
      <w:pPr>
        <w:keepNext w:val="0"/>
        <w:keepLines w:val="0"/>
        <w:pageBreakBefore w:val="0"/>
        <w:widowControl w:val="0"/>
        <w:numPr>
          <w:ilvl w:val="0"/>
          <w:numId w:val="202"/>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帮助犯罪嫌疑人、被告人选定申请变更的强制措施，并向其释明变更的理由。</w:t>
      </w:r>
    </w:p>
    <w:p>
      <w:pPr>
        <w:keepNext w:val="0"/>
        <w:keepLines w:val="0"/>
        <w:pageBreakBefore w:val="0"/>
        <w:widowControl w:val="0"/>
        <w:numPr>
          <w:ilvl w:val="0"/>
          <w:numId w:val="202"/>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犯罪嫌疑人、被告人提出申请羁押必要性审查的，值班律师应当告知其取保候审、监视居住、逮捕等强制措施的适用条件和相关法律规定、人民检察院进行羁押必要性审查的程序；犯罪嫌疑人、被告人已经被逮捕的，值班律师可以帮助其向人民检察院提出羁押必要性审查申请，并协助提供相关材料。</w:t>
      </w:r>
    </w:p>
    <w:p>
      <w:pPr>
        <w:keepNext w:val="0"/>
        <w:keepLines w:val="0"/>
        <w:pageBreakBefore w:val="0"/>
        <w:widowControl w:val="0"/>
        <w:numPr>
          <w:ilvl w:val="0"/>
          <w:numId w:val="202"/>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值班律师为帮助犯罪嫌疑人、被告人申请变更强制措施、提出羁押必要性审查申请应以书面形式提交给相应的办案机关，并附卷存档。</w:t>
      </w:r>
    </w:p>
    <w:p>
      <w:pPr>
        <w:keepNext w:val="0"/>
        <w:keepLines w:val="0"/>
        <w:pageBreakBefore w:val="0"/>
        <w:widowControl w:val="0"/>
        <w:numPr>
          <w:ilvl w:val="0"/>
          <w:numId w:val="199"/>
        </w:numPr>
        <w:wordWrap/>
        <w:bidi w:val="0"/>
        <w:spacing w:after="0" w:line="500" w:lineRule="exact"/>
        <w:jc w:val="both"/>
        <w:rPr>
          <w:rFonts w:hint="eastAsia" w:ascii="仿宋_GB2312" w:hAnsi="仿宋" w:eastAsia="仿宋_GB2312" w:cs="仿宋"/>
          <w:b/>
          <w:bCs/>
          <w:color w:val="000000"/>
          <w:sz w:val="28"/>
          <w:szCs w:val="28"/>
        </w:rPr>
      </w:pPr>
      <w:r>
        <w:rPr>
          <w:rFonts w:hint="eastAsia" w:ascii="仿宋_GB2312" w:hAnsi="仿宋" w:eastAsia="仿宋_GB2312" w:cs="仿宋"/>
          <w:b/>
          <w:bCs/>
          <w:color w:val="000000"/>
          <w:sz w:val="28"/>
          <w:szCs w:val="28"/>
        </w:rPr>
        <w:t>对案件处理提出意见</w:t>
      </w:r>
    </w:p>
    <w:p>
      <w:pPr>
        <w:keepNext w:val="0"/>
        <w:keepLines w:val="0"/>
        <w:pageBreakBefore w:val="0"/>
        <w:widowControl w:val="0"/>
        <w:numPr>
          <w:ilvl w:val="0"/>
          <w:numId w:val="203"/>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对犯罪嫌疑人、被告人涉嫌的犯罪事实、指控罪名及法律适用的意见；</w:t>
      </w:r>
    </w:p>
    <w:p>
      <w:pPr>
        <w:keepNext w:val="0"/>
        <w:keepLines w:val="0"/>
        <w:pageBreakBefore w:val="0"/>
        <w:widowControl w:val="0"/>
        <w:numPr>
          <w:ilvl w:val="0"/>
          <w:numId w:val="203"/>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对犯罪嫌疑人、被告人是否有立功、自首、坦白等从轻、减轻、免予刑事处罚等从宽处罚的建议；</w:t>
      </w:r>
    </w:p>
    <w:p>
      <w:pPr>
        <w:keepNext w:val="0"/>
        <w:keepLines w:val="0"/>
        <w:pageBreakBefore w:val="0"/>
        <w:widowControl w:val="0"/>
        <w:numPr>
          <w:ilvl w:val="0"/>
          <w:numId w:val="203"/>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对人民检察院的量刑建议中的主刑、附加刑以及是否适用缓刑等问题的意见；</w:t>
      </w:r>
    </w:p>
    <w:p>
      <w:pPr>
        <w:keepNext w:val="0"/>
        <w:keepLines w:val="0"/>
        <w:pageBreakBefore w:val="0"/>
        <w:widowControl w:val="0"/>
        <w:numPr>
          <w:ilvl w:val="0"/>
          <w:numId w:val="203"/>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认罪认罚后案件审理适用程序的意见；</w:t>
      </w:r>
    </w:p>
    <w:p>
      <w:pPr>
        <w:keepNext w:val="0"/>
        <w:keepLines w:val="0"/>
        <w:pageBreakBefore w:val="0"/>
        <w:widowControl w:val="0"/>
        <w:numPr>
          <w:ilvl w:val="0"/>
          <w:numId w:val="203"/>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其他有关案件处理方面的意见。</w:t>
      </w:r>
    </w:p>
    <w:p>
      <w:pPr>
        <w:keepNext w:val="0"/>
        <w:keepLines w:val="0"/>
        <w:pageBreakBefore w:val="0"/>
        <w:widowControl w:val="0"/>
        <w:numPr>
          <w:ilvl w:val="0"/>
          <w:numId w:val="199"/>
        </w:numPr>
        <w:wordWrap/>
        <w:bidi w:val="0"/>
        <w:spacing w:after="0" w:line="500" w:lineRule="exact"/>
        <w:jc w:val="both"/>
        <w:rPr>
          <w:rFonts w:hint="eastAsia" w:ascii="仿宋" w:hAnsi="仿宋" w:eastAsia="仿宋" w:cs="仿宋"/>
          <w:b/>
          <w:bCs/>
          <w:color w:val="000000"/>
          <w:sz w:val="28"/>
          <w:szCs w:val="28"/>
        </w:rPr>
      </w:pPr>
      <w:r>
        <w:rPr>
          <w:rFonts w:hint="eastAsia" w:ascii="仿宋" w:hAnsi="仿宋" w:eastAsia="仿宋" w:cs="仿宋"/>
          <w:b/>
          <w:bCs/>
          <w:color w:val="000000"/>
          <w:sz w:val="28"/>
          <w:szCs w:val="28"/>
        </w:rPr>
        <w:t>帮助犯罪嫌疑人、被告人及其近亲属申请法律援助</w:t>
      </w:r>
    </w:p>
    <w:p>
      <w:pPr>
        <w:keepNext w:val="0"/>
        <w:keepLines w:val="0"/>
        <w:pageBreakBefore w:val="0"/>
        <w:widowControl w:val="0"/>
        <w:numPr>
          <w:ilvl w:val="0"/>
          <w:numId w:val="204"/>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告知申请法律援助的条件；</w:t>
      </w:r>
    </w:p>
    <w:p>
      <w:pPr>
        <w:keepNext w:val="0"/>
        <w:keepLines w:val="0"/>
        <w:pageBreakBefore w:val="0"/>
        <w:widowControl w:val="0"/>
        <w:numPr>
          <w:ilvl w:val="0"/>
          <w:numId w:val="204"/>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告知申请法律援助的程序；</w:t>
      </w:r>
    </w:p>
    <w:p>
      <w:pPr>
        <w:keepNext w:val="0"/>
        <w:keepLines w:val="0"/>
        <w:pageBreakBefore w:val="0"/>
        <w:widowControl w:val="0"/>
        <w:numPr>
          <w:ilvl w:val="0"/>
          <w:numId w:val="204"/>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告知申请法律援助应提交的材料；</w:t>
      </w:r>
    </w:p>
    <w:p>
      <w:pPr>
        <w:keepNext w:val="0"/>
        <w:keepLines w:val="0"/>
        <w:pageBreakBefore w:val="0"/>
        <w:widowControl w:val="0"/>
        <w:numPr>
          <w:ilvl w:val="0"/>
          <w:numId w:val="204"/>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值班律师向法律援助机构转交法律援助申请。</w:t>
      </w:r>
    </w:p>
    <w:p>
      <w:pPr>
        <w:keepNext w:val="0"/>
        <w:keepLines w:val="0"/>
        <w:pageBreakBefore w:val="0"/>
        <w:widowControl w:val="0"/>
        <w:numPr>
          <w:ilvl w:val="0"/>
          <w:numId w:val="199"/>
        </w:numPr>
        <w:wordWrap/>
        <w:bidi w:val="0"/>
        <w:spacing w:after="0" w:line="500" w:lineRule="exact"/>
        <w:jc w:val="both"/>
        <w:rPr>
          <w:rFonts w:hint="eastAsia" w:ascii="仿宋" w:hAnsi="仿宋" w:eastAsia="仿宋" w:cs="仿宋"/>
          <w:b/>
          <w:bCs/>
          <w:color w:val="000000"/>
          <w:sz w:val="28"/>
          <w:szCs w:val="28"/>
        </w:rPr>
      </w:pPr>
      <w:r>
        <w:rPr>
          <w:rFonts w:hint="eastAsia" w:ascii="仿宋" w:hAnsi="仿宋" w:eastAsia="仿宋" w:cs="仿宋"/>
          <w:b/>
          <w:bCs/>
          <w:color w:val="000000"/>
          <w:sz w:val="28"/>
          <w:szCs w:val="28"/>
        </w:rPr>
        <w:t>在认罪认罚案件中还应提供下列法律帮助：</w:t>
      </w:r>
    </w:p>
    <w:p>
      <w:pPr>
        <w:keepNext w:val="0"/>
        <w:keepLines w:val="0"/>
        <w:pageBreakBefore w:val="0"/>
        <w:widowControl w:val="0"/>
        <w:numPr>
          <w:ilvl w:val="0"/>
          <w:numId w:val="205"/>
        </w:numPr>
        <w:wordWrap/>
        <w:bidi w:val="0"/>
        <w:spacing w:after="0" w:line="500" w:lineRule="exact"/>
        <w:ind w:firstLine="522" w:firstLineChars="200"/>
        <w:jc w:val="both"/>
        <w:rPr>
          <w:rFonts w:hint="eastAsia" w:ascii="仿宋" w:hAnsi="仿宋" w:eastAsia="仿宋" w:cs="仿宋"/>
          <w:b/>
          <w:bCs/>
          <w:color w:val="000000"/>
          <w:sz w:val="28"/>
          <w:szCs w:val="28"/>
        </w:rPr>
      </w:pPr>
      <w:r>
        <w:rPr>
          <w:rFonts w:hint="eastAsia" w:ascii="仿宋" w:hAnsi="仿宋" w:eastAsia="仿宋" w:cs="仿宋"/>
          <w:b/>
          <w:bCs/>
          <w:color w:val="000000"/>
          <w:sz w:val="28"/>
          <w:szCs w:val="28"/>
        </w:rPr>
        <w:t>向犯罪嫌疑人、被告人释明认罪认罚的性质和法律规定</w:t>
      </w:r>
    </w:p>
    <w:p>
      <w:pPr>
        <w:keepNext w:val="0"/>
        <w:keepLines w:val="0"/>
        <w:pageBreakBefore w:val="0"/>
        <w:widowControl w:val="0"/>
        <w:numPr>
          <w:ilvl w:val="0"/>
          <w:numId w:val="206"/>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向犯罪嫌疑人、被告人释明认罪认罚的自愿性、真实性、合法性；</w:t>
      </w:r>
    </w:p>
    <w:p>
      <w:pPr>
        <w:keepNext w:val="0"/>
        <w:keepLines w:val="0"/>
        <w:pageBreakBefore w:val="0"/>
        <w:widowControl w:val="0"/>
        <w:numPr>
          <w:ilvl w:val="0"/>
          <w:numId w:val="206"/>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向犯罪嫌疑人、被告人释明认罪认罚从宽的法律规定。</w:t>
      </w:r>
    </w:p>
    <w:p>
      <w:pPr>
        <w:keepNext w:val="0"/>
        <w:keepLines w:val="0"/>
        <w:pageBreakBefore w:val="0"/>
        <w:widowControl w:val="0"/>
        <w:numPr>
          <w:ilvl w:val="0"/>
          <w:numId w:val="205"/>
        </w:numPr>
        <w:wordWrap/>
        <w:bidi w:val="0"/>
        <w:spacing w:after="0" w:line="500" w:lineRule="exact"/>
        <w:ind w:firstLine="522" w:firstLineChars="200"/>
        <w:jc w:val="both"/>
        <w:rPr>
          <w:rFonts w:hint="eastAsia" w:ascii="仿宋" w:hAnsi="仿宋" w:eastAsia="仿宋" w:cs="仿宋"/>
          <w:b/>
          <w:bCs/>
          <w:color w:val="000000"/>
          <w:sz w:val="28"/>
          <w:szCs w:val="28"/>
        </w:rPr>
      </w:pPr>
      <w:r>
        <w:rPr>
          <w:rFonts w:hint="eastAsia" w:ascii="仿宋" w:hAnsi="仿宋" w:eastAsia="仿宋" w:cs="仿宋"/>
          <w:b/>
          <w:bCs/>
          <w:color w:val="000000"/>
          <w:sz w:val="28"/>
          <w:szCs w:val="28"/>
        </w:rPr>
        <w:t>对人民检察院指控罪名、量刑建议、诉讼程序适用等事项提出意见</w:t>
      </w:r>
    </w:p>
    <w:p>
      <w:pPr>
        <w:keepNext w:val="0"/>
        <w:keepLines w:val="0"/>
        <w:pageBreakBefore w:val="0"/>
        <w:widowControl w:val="0"/>
        <w:numPr>
          <w:ilvl w:val="0"/>
          <w:numId w:val="207"/>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了解犯罪嫌疑人、被告人对被指控的犯罪事实和罪名是否有异议；</w:t>
      </w:r>
    </w:p>
    <w:p>
      <w:pPr>
        <w:keepNext w:val="0"/>
        <w:keepLines w:val="0"/>
        <w:pageBreakBefore w:val="0"/>
        <w:widowControl w:val="0"/>
        <w:numPr>
          <w:ilvl w:val="0"/>
          <w:numId w:val="207"/>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告知被指控罪名的法定量刑幅度，释明从宽从重处罚的情节以及认罪认罚的从宽幅度；</w:t>
      </w:r>
    </w:p>
    <w:p>
      <w:pPr>
        <w:keepNext w:val="0"/>
        <w:keepLines w:val="0"/>
        <w:pageBreakBefore w:val="0"/>
        <w:widowControl w:val="0"/>
        <w:numPr>
          <w:ilvl w:val="0"/>
          <w:numId w:val="207"/>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结合案件情况提供程序选择建议。</w:t>
      </w:r>
    </w:p>
    <w:p>
      <w:pPr>
        <w:keepNext w:val="0"/>
        <w:keepLines w:val="0"/>
        <w:pageBreakBefore w:val="0"/>
        <w:widowControl w:val="0"/>
        <w:numPr>
          <w:ilvl w:val="0"/>
          <w:numId w:val="205"/>
        </w:numPr>
        <w:wordWrap/>
        <w:bidi w:val="0"/>
        <w:spacing w:after="0" w:line="500" w:lineRule="exact"/>
        <w:ind w:firstLine="522" w:firstLineChars="200"/>
        <w:jc w:val="both"/>
        <w:rPr>
          <w:rFonts w:hint="eastAsia" w:ascii="仿宋" w:hAnsi="仿宋" w:eastAsia="仿宋" w:cs="仿宋"/>
          <w:b/>
          <w:bCs/>
          <w:color w:val="000000"/>
          <w:sz w:val="28"/>
          <w:szCs w:val="28"/>
        </w:rPr>
      </w:pPr>
      <w:r>
        <w:rPr>
          <w:rFonts w:hint="eastAsia" w:ascii="仿宋" w:hAnsi="仿宋" w:eastAsia="仿宋" w:cs="仿宋"/>
          <w:b/>
          <w:bCs/>
          <w:color w:val="000000"/>
          <w:sz w:val="28"/>
          <w:szCs w:val="28"/>
        </w:rPr>
        <w:t>犯罪嫌疑人签署认罪认罚具结书时在场</w:t>
      </w:r>
    </w:p>
    <w:p>
      <w:pPr>
        <w:keepNext w:val="0"/>
        <w:keepLines w:val="0"/>
        <w:pageBreakBefore w:val="0"/>
        <w:widowControl w:val="0"/>
        <w:numPr>
          <w:ilvl w:val="0"/>
          <w:numId w:val="208"/>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值班律师对犯罪嫌疑人认罪认罚自愿性、人民检察院量刑建议、程序适用等均无异议的，应当在具结书上签名，同时留存一份复印件归档；</w:t>
      </w:r>
    </w:p>
    <w:p>
      <w:pPr>
        <w:keepNext w:val="0"/>
        <w:keepLines w:val="0"/>
        <w:pageBreakBefore w:val="0"/>
        <w:widowControl w:val="0"/>
        <w:numPr>
          <w:ilvl w:val="0"/>
          <w:numId w:val="208"/>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值班律师对人民检察院量刑建议、程序适用有异议的，在确认犯罪嫌疑人系自愿认罪认罚后，应当在具结书上签字，同时可以向人民检察院提出法律意见；</w:t>
      </w:r>
    </w:p>
    <w:p>
      <w:pPr>
        <w:keepNext w:val="0"/>
        <w:keepLines w:val="0"/>
        <w:pageBreakBefore w:val="0"/>
        <w:widowControl w:val="0"/>
        <w:numPr>
          <w:ilvl w:val="0"/>
          <w:numId w:val="208"/>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犯罪嫌疑人拒绝值班律师帮助的，值班律师无需在具结书上签字，应当将犯罪嫌疑人签字拒绝法律帮助的书面材料留存一份归档；</w:t>
      </w:r>
    </w:p>
    <w:p>
      <w:pPr>
        <w:keepNext w:val="0"/>
        <w:keepLines w:val="0"/>
        <w:pageBreakBefore w:val="0"/>
        <w:widowControl w:val="0"/>
        <w:numPr>
          <w:ilvl w:val="0"/>
          <w:numId w:val="205"/>
        </w:numPr>
        <w:wordWrap/>
        <w:bidi w:val="0"/>
        <w:spacing w:after="0" w:line="500" w:lineRule="exact"/>
        <w:ind w:firstLine="522" w:firstLineChars="200"/>
        <w:jc w:val="both"/>
        <w:rPr>
          <w:rFonts w:hint="eastAsia" w:ascii="仿宋" w:hAnsi="仿宋" w:eastAsia="仿宋" w:cs="仿宋"/>
          <w:b/>
          <w:bCs/>
          <w:color w:val="000000"/>
          <w:sz w:val="28"/>
          <w:szCs w:val="28"/>
        </w:rPr>
      </w:pPr>
      <w:r>
        <w:rPr>
          <w:rFonts w:hint="eastAsia" w:ascii="仿宋" w:hAnsi="仿宋" w:eastAsia="仿宋" w:cs="仿宋"/>
          <w:b/>
          <w:bCs/>
          <w:color w:val="000000"/>
          <w:sz w:val="28"/>
          <w:szCs w:val="28"/>
        </w:rPr>
        <w:t>犯罪嫌疑人认罪认罚，具有下列情形的，不需要签署认罪认罚具结书：</w:t>
      </w:r>
    </w:p>
    <w:p>
      <w:pPr>
        <w:keepNext w:val="0"/>
        <w:keepLines w:val="0"/>
        <w:pageBreakBefore w:val="0"/>
        <w:widowControl w:val="0"/>
        <w:numPr>
          <w:ilvl w:val="0"/>
          <w:numId w:val="209"/>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犯罪嫌疑人是盲、聋、哑人，或者是尚未完全丧失辨认或者控制自己行为能力的精神病人的；</w:t>
      </w:r>
    </w:p>
    <w:p>
      <w:pPr>
        <w:keepNext w:val="0"/>
        <w:keepLines w:val="0"/>
        <w:pageBreakBefore w:val="0"/>
        <w:widowControl w:val="0"/>
        <w:numPr>
          <w:ilvl w:val="0"/>
          <w:numId w:val="209"/>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未成年犯罪嫌疑人的法定代理人对未成年人认罪认罚有异议的；</w:t>
      </w:r>
    </w:p>
    <w:p>
      <w:pPr>
        <w:keepNext w:val="0"/>
        <w:keepLines w:val="0"/>
        <w:pageBreakBefore w:val="0"/>
        <w:widowControl w:val="0"/>
        <w:numPr>
          <w:ilvl w:val="0"/>
          <w:numId w:val="209"/>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其他不需要签署认罪认罚具结书的情形。</w:t>
      </w:r>
    </w:p>
    <w:p>
      <w:pPr>
        <w:keepNext w:val="0"/>
        <w:keepLines w:val="0"/>
        <w:pageBreakBefore w:val="0"/>
        <w:widowControl w:val="0"/>
        <w:wordWrap/>
        <w:bidi w:val="0"/>
        <w:spacing w:after="0" w:line="500" w:lineRule="exact"/>
        <w:ind w:firstLine="522" w:firstLineChars="200"/>
        <w:jc w:val="both"/>
        <w:rPr>
          <w:rFonts w:hint="eastAsia" w:ascii="黑体" w:hAnsi="黑体" w:eastAsia="黑体" w:cs="黑体"/>
          <w:color w:val="000000"/>
          <w:sz w:val="28"/>
          <w:szCs w:val="28"/>
        </w:rPr>
      </w:pPr>
      <w:r>
        <w:rPr>
          <w:rFonts w:hint="eastAsia" w:ascii="黑体" w:hAnsi="黑体" w:eastAsia="黑体" w:cs="黑体"/>
          <w:color w:val="000000"/>
          <w:sz w:val="28"/>
          <w:szCs w:val="28"/>
        </w:rPr>
        <w:t>八、值班律师注意事项</w:t>
      </w:r>
    </w:p>
    <w:p>
      <w:pPr>
        <w:keepNext w:val="0"/>
        <w:keepLines w:val="0"/>
        <w:pageBreakBefore w:val="0"/>
        <w:widowControl w:val="0"/>
        <w:numPr>
          <w:ilvl w:val="0"/>
          <w:numId w:val="210"/>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值班律师在提供法律帮助过程中，犯罪嫌疑人、被告人向值班律师表示愿意认罪认罚的，值班律师应当及时告知相关的公安机关、人民检察院、人民法院。</w:t>
      </w:r>
    </w:p>
    <w:p>
      <w:pPr>
        <w:keepNext w:val="0"/>
        <w:keepLines w:val="0"/>
        <w:pageBreakBefore w:val="0"/>
        <w:widowControl w:val="0"/>
        <w:numPr>
          <w:ilvl w:val="0"/>
          <w:numId w:val="210"/>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值班律师在提供法律帮助过程中，应当询问犯罪嫌疑人、被告人是否已经委托了辩护人。若发现犯罪嫌疑人、被告人已委托辩护人或者法律援助机构已指派律师为其提供辩护的，应及时向送达法律帮助通知书或转交法律帮助申请的机构报告，终止提供法律帮助。</w:t>
      </w:r>
    </w:p>
    <w:p>
      <w:pPr>
        <w:keepNext w:val="0"/>
        <w:keepLines w:val="0"/>
        <w:pageBreakBefore w:val="0"/>
        <w:widowControl w:val="0"/>
        <w:numPr>
          <w:ilvl w:val="0"/>
          <w:numId w:val="210"/>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安机关、人民检察院、人民法院对同一犯罪嫌疑人、被告人多次签署认罪认罚具结书，并要求值班律师在场的，值班律师应特别告知犯罪嫌疑人、被告人每次认罪认罚的具体内容及其差别之处，应重新征求其是否自愿认罪认罚。</w:t>
      </w:r>
    </w:p>
    <w:p>
      <w:pPr>
        <w:keepNext w:val="0"/>
        <w:keepLines w:val="0"/>
        <w:pageBreakBefore w:val="0"/>
        <w:widowControl w:val="0"/>
        <w:numPr>
          <w:ilvl w:val="0"/>
          <w:numId w:val="210"/>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对公安机关、人民检察院、人民法院在同一天安排值班律师多场见证签署认罪认罚具结书的，为保证值班律师工作质量，值班律师应与相关机构进行协调，保证同一天见证签署认罪认罚具结书不超过四件。</w:t>
      </w:r>
    </w:p>
    <w:p>
      <w:pPr>
        <w:keepNext w:val="0"/>
        <w:keepLines w:val="0"/>
        <w:pageBreakBefore w:val="0"/>
        <w:widowControl w:val="0"/>
        <w:numPr>
          <w:ilvl w:val="0"/>
          <w:numId w:val="210"/>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犯罪嫌疑人、被告人签署认罪认罚具结书时，值班律师在场见证应制作一份《谈话笔录》，确保认罪认罚的自愿性、真实性、合法性，要求犯罪嫌疑人、被告人在笔录上签名。</w:t>
      </w:r>
    </w:p>
    <w:p>
      <w:pPr>
        <w:keepNext w:val="0"/>
        <w:keepLines w:val="0"/>
        <w:pageBreakBefore w:val="0"/>
        <w:widowControl w:val="0"/>
        <w:numPr>
          <w:ilvl w:val="0"/>
          <w:numId w:val="210"/>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公安机关、人民检察院、人民法院办理关押在异地看守所的犯罪嫌疑人、被告人案件，需要值班律师在场时，原则上由关押地看守所值班律师在场见证。</w:t>
      </w:r>
    </w:p>
    <w:p>
      <w:pPr>
        <w:keepNext w:val="0"/>
        <w:keepLines w:val="0"/>
        <w:pageBreakBefore w:val="0"/>
        <w:widowControl w:val="0"/>
        <w:numPr>
          <w:ilvl w:val="0"/>
          <w:numId w:val="210"/>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犯罪嫌疑人、被告人签署认罪认罚具结书时，公安机关、人民检察院、人民法院未通知值班律师在场见证，事后要求值班律师在犯罪嫌疑人、被告人签署认罪认罚具结书上补签名字时，值班律师应当予以拒绝，并将情况予以记录台账。</w:t>
      </w:r>
    </w:p>
    <w:p>
      <w:pPr>
        <w:keepNext w:val="0"/>
        <w:keepLines w:val="0"/>
        <w:pageBreakBefore w:val="0"/>
        <w:widowControl w:val="0"/>
        <w:numPr>
          <w:ilvl w:val="0"/>
          <w:numId w:val="210"/>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人民法院、人民检察院办理未成年人认罪认罚案件，应当听取未成年犯罪嫌疑人、被告人的法定代理人的意见，法定代理人无法到场的，应当听取合适成年人的意见，但受案时犯罪嫌疑人已经成年的除外。</w:t>
      </w:r>
    </w:p>
    <w:p>
      <w:pPr>
        <w:keepNext w:val="0"/>
        <w:keepLines w:val="0"/>
        <w:pageBreakBefore w:val="0"/>
        <w:widowControl w:val="0"/>
        <w:numPr>
          <w:ilvl w:val="0"/>
          <w:numId w:val="210"/>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未成年犯罪嫌疑人签署认罪认罚具结书时，由其法定代理人应当到场并签字确认，法定代理人无法到场的，合适成年人应当到场签字确认。</w:t>
      </w:r>
    </w:p>
    <w:p>
      <w:pPr>
        <w:keepNext w:val="0"/>
        <w:keepLines w:val="0"/>
        <w:pageBreakBefore w:val="0"/>
        <w:widowControl w:val="0"/>
        <w:wordWrap/>
        <w:bidi w:val="0"/>
        <w:spacing w:after="0" w:line="500" w:lineRule="exact"/>
        <w:ind w:firstLine="522" w:firstLineChars="200"/>
        <w:jc w:val="both"/>
        <w:rPr>
          <w:rFonts w:hint="eastAsia" w:ascii="黑体" w:hAnsi="黑体" w:eastAsia="黑体" w:cs="黑体"/>
          <w:color w:val="000000"/>
          <w:sz w:val="28"/>
          <w:szCs w:val="28"/>
        </w:rPr>
      </w:pPr>
      <w:r>
        <w:rPr>
          <w:rFonts w:hint="eastAsia" w:ascii="黑体" w:hAnsi="黑体" w:eastAsia="黑体" w:cs="黑体"/>
          <w:color w:val="000000"/>
          <w:sz w:val="28"/>
          <w:szCs w:val="28"/>
        </w:rPr>
        <w:t>九、值班律师权利</w:t>
      </w:r>
    </w:p>
    <w:p>
      <w:pPr>
        <w:keepNext w:val="0"/>
        <w:keepLines w:val="0"/>
        <w:pageBreakBefore w:val="0"/>
        <w:widowControl w:val="0"/>
        <w:numPr>
          <w:ilvl w:val="0"/>
          <w:numId w:val="211"/>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有权提前获得提供法律帮助的通知或申请。</w:t>
      </w:r>
    </w:p>
    <w:p>
      <w:pPr>
        <w:keepNext w:val="0"/>
        <w:keepLines w:val="0"/>
        <w:pageBreakBefore w:val="0"/>
        <w:widowControl w:val="0"/>
        <w:numPr>
          <w:ilvl w:val="0"/>
          <w:numId w:val="212"/>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法律援助机构向值班律师送达法律帮助通知书至少应在确定的法律帮助日期前一个工作日；</w:t>
      </w:r>
    </w:p>
    <w:p>
      <w:pPr>
        <w:keepNext w:val="0"/>
        <w:keepLines w:val="0"/>
        <w:pageBreakBefore w:val="0"/>
        <w:widowControl w:val="0"/>
        <w:numPr>
          <w:ilvl w:val="0"/>
          <w:numId w:val="212"/>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公安机关、人民检察院、人民法院直接向现场值班律师送达法律帮助通知书至少应在确定的法律帮助日期前三个工作日；</w:t>
      </w:r>
    </w:p>
    <w:p>
      <w:pPr>
        <w:keepNext w:val="0"/>
        <w:keepLines w:val="0"/>
        <w:pageBreakBefore w:val="0"/>
        <w:widowControl w:val="0"/>
        <w:numPr>
          <w:ilvl w:val="0"/>
          <w:numId w:val="212"/>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犯罪嫌疑人、被告人提出书面法律帮助申请，看守所转交给现场值班律师的，值班律师提供法律帮助前应有必要的准备时间。</w:t>
      </w:r>
    </w:p>
    <w:p>
      <w:pPr>
        <w:keepNext w:val="0"/>
        <w:keepLines w:val="0"/>
        <w:pageBreakBefore w:val="0"/>
        <w:widowControl w:val="0"/>
        <w:numPr>
          <w:ilvl w:val="0"/>
          <w:numId w:val="211"/>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有权在获得法律帮助通知书或书面法律帮助申请的同时，获得附送的相关法律文书。</w:t>
      </w:r>
    </w:p>
    <w:p>
      <w:pPr>
        <w:keepNext w:val="0"/>
        <w:keepLines w:val="0"/>
        <w:pageBreakBefore w:val="0"/>
        <w:widowControl w:val="0"/>
        <w:numPr>
          <w:ilvl w:val="0"/>
          <w:numId w:val="211"/>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侦查阶段，值班律师可以向侦查机关了解犯罪嫌疑人涉嫌的罪名及案件有关情况。</w:t>
      </w:r>
    </w:p>
    <w:p>
      <w:pPr>
        <w:keepNext w:val="0"/>
        <w:keepLines w:val="0"/>
        <w:pageBreakBefore w:val="0"/>
        <w:widowControl w:val="0"/>
        <w:numPr>
          <w:ilvl w:val="0"/>
          <w:numId w:val="211"/>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案件进入审查起诉阶段后，可以查阅案卷材料，了解案情，人民检察院、人民法院应当及时安排，并提供便利。已经实现卷宗电子化的地方，人民检察院、人民法院可以安排在线阅卷。</w:t>
      </w:r>
    </w:p>
    <w:p>
      <w:pPr>
        <w:keepNext w:val="0"/>
        <w:keepLines w:val="0"/>
        <w:pageBreakBefore w:val="0"/>
        <w:widowControl w:val="0"/>
        <w:numPr>
          <w:ilvl w:val="0"/>
          <w:numId w:val="211"/>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办理案件时可以会见犯罪嫌疑人、被告人。</w:t>
      </w:r>
    </w:p>
    <w:p>
      <w:pPr>
        <w:keepNext w:val="0"/>
        <w:keepLines w:val="0"/>
        <w:pageBreakBefore w:val="0"/>
        <w:widowControl w:val="0"/>
        <w:numPr>
          <w:ilvl w:val="0"/>
          <w:numId w:val="213"/>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可以应犯罪嫌疑人、被告人的约见进行会见，也可以经办案机关允许主动会见。</w:t>
      </w:r>
    </w:p>
    <w:p>
      <w:pPr>
        <w:keepNext w:val="0"/>
        <w:keepLines w:val="0"/>
        <w:pageBreakBefore w:val="0"/>
        <w:widowControl w:val="0"/>
        <w:numPr>
          <w:ilvl w:val="0"/>
          <w:numId w:val="213"/>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持律师执业证或者律师工作证、法律帮助申请表或者法律帮助通知书到看守所办理法律帮助会见手续，看守所应当及时安排会见。</w:t>
      </w:r>
    </w:p>
    <w:p>
      <w:pPr>
        <w:keepNext w:val="0"/>
        <w:keepLines w:val="0"/>
        <w:pageBreakBefore w:val="0"/>
        <w:widowControl w:val="0"/>
        <w:numPr>
          <w:ilvl w:val="0"/>
          <w:numId w:val="213"/>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危害国家安全犯罪、恐怖活动犯罪案件，侦查期间会见在押犯罪嫌疑人的，应当经侦查机关许可。</w:t>
      </w:r>
    </w:p>
    <w:p>
      <w:pPr>
        <w:keepNext w:val="0"/>
        <w:keepLines w:val="0"/>
        <w:pageBreakBefore w:val="0"/>
        <w:widowControl w:val="0"/>
        <w:numPr>
          <w:ilvl w:val="0"/>
          <w:numId w:val="213"/>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会见犯罪嫌疑人、被告人时不被监听。</w:t>
      </w:r>
    </w:p>
    <w:p>
      <w:pPr>
        <w:keepNext w:val="0"/>
        <w:keepLines w:val="0"/>
        <w:pageBreakBefore w:val="0"/>
        <w:widowControl w:val="0"/>
        <w:numPr>
          <w:ilvl w:val="0"/>
          <w:numId w:val="211"/>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有权获得提供法律帮助的补贴。</w:t>
      </w:r>
    </w:p>
    <w:p>
      <w:pPr>
        <w:keepNext w:val="0"/>
        <w:keepLines w:val="0"/>
        <w:pageBreakBefore w:val="0"/>
        <w:widowControl w:val="0"/>
        <w:numPr>
          <w:ilvl w:val="0"/>
          <w:numId w:val="214"/>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补贴标准应考虑提供法律帮助的直接费用、基本劳务费等因素合理制定。</w:t>
      </w:r>
    </w:p>
    <w:p>
      <w:pPr>
        <w:keepNext w:val="0"/>
        <w:keepLines w:val="0"/>
        <w:pageBreakBefore w:val="0"/>
        <w:widowControl w:val="0"/>
        <w:numPr>
          <w:ilvl w:val="0"/>
          <w:numId w:val="214"/>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提供法律咨询、转交法律援助申请等法律帮助的补贴标准按工作日计算；为认罪认罚案件的犯罪嫌疑人、被告人提供法律帮助的补贴标准按件或按工作日计算。</w:t>
      </w:r>
    </w:p>
    <w:p>
      <w:pPr>
        <w:keepNext w:val="0"/>
        <w:keepLines w:val="0"/>
        <w:pageBreakBefore w:val="0"/>
        <w:widowControl w:val="0"/>
        <w:numPr>
          <w:ilvl w:val="0"/>
          <w:numId w:val="214"/>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法律援助机构应当根据值班律师履行工作职责情况，按照规定及时发放法律帮助补贴。</w:t>
      </w:r>
    </w:p>
    <w:p>
      <w:pPr>
        <w:keepNext w:val="0"/>
        <w:keepLines w:val="0"/>
        <w:pageBreakBefore w:val="0"/>
        <w:widowControl w:val="0"/>
        <w:numPr>
          <w:ilvl w:val="0"/>
          <w:numId w:val="211"/>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有权要求为驻点值班提供必要的办公便利。</w:t>
      </w:r>
    </w:p>
    <w:p>
      <w:pPr>
        <w:keepNext w:val="0"/>
        <w:keepLines w:val="0"/>
        <w:pageBreakBefore w:val="0"/>
        <w:widowControl w:val="0"/>
        <w:numPr>
          <w:ilvl w:val="0"/>
          <w:numId w:val="215"/>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看守所、人民检察院、人民法院应当为法律援助工作站提供必要办公场所和设施。</w:t>
      </w:r>
    </w:p>
    <w:p>
      <w:pPr>
        <w:keepNext w:val="0"/>
        <w:keepLines w:val="0"/>
        <w:pageBreakBefore w:val="0"/>
        <w:widowControl w:val="0"/>
        <w:numPr>
          <w:ilvl w:val="0"/>
          <w:numId w:val="215"/>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有条件的人民检察院、人民法院，可以设置认罪认罚等案件专门办公区域，为值班律师设立专门会见室。</w:t>
      </w:r>
    </w:p>
    <w:p>
      <w:pPr>
        <w:keepNext w:val="0"/>
        <w:keepLines w:val="0"/>
        <w:pageBreakBefore w:val="0"/>
        <w:widowControl w:val="0"/>
        <w:numPr>
          <w:ilvl w:val="0"/>
          <w:numId w:val="215"/>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法律援助工作站应当公示法律援助条件及申请程序、值班律师工作职责、当日值班律师基本信息等，放置法律援助格式文书及宣传资料。</w:t>
      </w:r>
    </w:p>
    <w:p>
      <w:pPr>
        <w:keepNext w:val="0"/>
        <w:keepLines w:val="0"/>
        <w:pageBreakBefore w:val="0"/>
        <w:widowControl w:val="0"/>
        <w:wordWrap/>
        <w:bidi w:val="0"/>
        <w:spacing w:after="0" w:line="500" w:lineRule="exact"/>
        <w:ind w:firstLine="522" w:firstLineChars="200"/>
        <w:jc w:val="both"/>
        <w:rPr>
          <w:rFonts w:hint="eastAsia" w:ascii="黑体" w:hAnsi="黑体" w:eastAsia="黑体" w:cs="黑体"/>
          <w:color w:val="000000"/>
          <w:sz w:val="28"/>
          <w:szCs w:val="28"/>
        </w:rPr>
      </w:pPr>
      <w:r>
        <w:rPr>
          <w:rFonts w:hint="eastAsia" w:ascii="黑体" w:hAnsi="黑体" w:eastAsia="黑体" w:cs="黑体"/>
          <w:color w:val="000000"/>
          <w:sz w:val="28"/>
          <w:szCs w:val="28"/>
        </w:rPr>
        <w:t>十、值班律师义务</w:t>
      </w:r>
    </w:p>
    <w:p>
      <w:pPr>
        <w:keepNext w:val="0"/>
        <w:keepLines w:val="0"/>
        <w:pageBreakBefore w:val="0"/>
        <w:widowControl w:val="0"/>
        <w:numPr>
          <w:ilvl w:val="0"/>
          <w:numId w:val="216"/>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应当坚持依法、公平、公正、效率的原则，提供符合标准的法律服务。</w:t>
      </w:r>
    </w:p>
    <w:p>
      <w:pPr>
        <w:keepNext w:val="0"/>
        <w:keepLines w:val="0"/>
        <w:pageBreakBefore w:val="0"/>
        <w:widowControl w:val="0"/>
        <w:numPr>
          <w:ilvl w:val="0"/>
          <w:numId w:val="216"/>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接到法律帮助的通知或申请后，应当及时提供法律帮助。</w:t>
      </w:r>
    </w:p>
    <w:p>
      <w:pPr>
        <w:keepNext w:val="0"/>
        <w:keepLines w:val="0"/>
        <w:pageBreakBefore w:val="0"/>
        <w:widowControl w:val="0"/>
        <w:numPr>
          <w:ilvl w:val="0"/>
          <w:numId w:val="217"/>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在人民检察院、人民法院现场值班的，应当按照法律援助机构的安排，或者人民检察院、人民法院送达的通知，及时为犯罪嫌疑人、被告人提供法律帮助。</w:t>
      </w:r>
    </w:p>
    <w:p>
      <w:pPr>
        <w:keepNext w:val="0"/>
        <w:keepLines w:val="0"/>
        <w:pageBreakBefore w:val="0"/>
        <w:widowControl w:val="0"/>
        <w:numPr>
          <w:ilvl w:val="0"/>
          <w:numId w:val="217"/>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犯罪嫌疑人、被告人提出法律帮助申请，看守所转交给现场值班律师的，应当根据看守所的安排及时提供法律帮助。</w:t>
      </w:r>
    </w:p>
    <w:p>
      <w:pPr>
        <w:keepNext w:val="0"/>
        <w:keepLines w:val="0"/>
        <w:pageBreakBefore w:val="0"/>
        <w:widowControl w:val="0"/>
        <w:numPr>
          <w:ilvl w:val="0"/>
          <w:numId w:val="217"/>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通过电话、网络值班的，应当及时提供法律帮助，疑难案件可以另行预约咨询时间。</w:t>
      </w:r>
    </w:p>
    <w:p>
      <w:pPr>
        <w:keepNext w:val="0"/>
        <w:keepLines w:val="0"/>
        <w:pageBreakBefore w:val="0"/>
        <w:widowControl w:val="0"/>
        <w:numPr>
          <w:ilvl w:val="0"/>
          <w:numId w:val="216"/>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值班律师提供法律帮助时，应当出示律师执业证或者律师工作证或者相关法律文书，表明值班律师身份。</w:t>
      </w:r>
    </w:p>
    <w:p>
      <w:pPr>
        <w:keepNext w:val="0"/>
        <w:keepLines w:val="0"/>
        <w:pageBreakBefore w:val="0"/>
        <w:widowControl w:val="0"/>
        <w:numPr>
          <w:ilvl w:val="0"/>
          <w:numId w:val="216"/>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值班律师提供法律帮助时，应当遵守相关法律法规、执业纪律和职业道德，依法保守国家秘密、商业秘密和个人隐私，不得向他人泄露工作中掌握的案件情况，不得向受援人收取财物或者谋取不正当利益。</w:t>
      </w:r>
    </w:p>
    <w:p>
      <w:pPr>
        <w:keepNext w:val="0"/>
        <w:keepLines w:val="0"/>
        <w:pageBreakBefore w:val="0"/>
        <w:widowControl w:val="0"/>
        <w:numPr>
          <w:ilvl w:val="0"/>
          <w:numId w:val="216"/>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值班律师应按规定移送、移交相关材料。</w:t>
      </w:r>
    </w:p>
    <w:p>
      <w:pPr>
        <w:keepNext w:val="0"/>
        <w:keepLines w:val="0"/>
        <w:pageBreakBefore w:val="0"/>
        <w:widowControl w:val="0"/>
        <w:numPr>
          <w:ilvl w:val="0"/>
          <w:numId w:val="218"/>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值班律师提供法律咨询、查阅案卷材料、会见犯罪嫌疑人或者被告人、提出书面意见等法律帮助活动的相关情况应当记录在案，并随案移送。</w:t>
      </w:r>
    </w:p>
    <w:p>
      <w:pPr>
        <w:keepNext w:val="0"/>
        <w:keepLines w:val="0"/>
        <w:pageBreakBefore w:val="0"/>
        <w:widowControl w:val="0"/>
        <w:numPr>
          <w:ilvl w:val="0"/>
          <w:numId w:val="218"/>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值班律师应当将提供法律帮助的情况记入工作台账或者形成工作卷宗，按照规定时限移交法律援助机构。</w:t>
      </w:r>
    </w:p>
    <w:p>
      <w:pPr>
        <w:keepNext w:val="0"/>
        <w:keepLines w:val="0"/>
        <w:pageBreakBefore w:val="0"/>
        <w:widowControl w:val="0"/>
        <w:numPr>
          <w:ilvl w:val="0"/>
          <w:numId w:val="216"/>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应自觉接受有关单位监督、考核、指导、培训。</w:t>
      </w:r>
    </w:p>
    <w:p>
      <w:pPr>
        <w:keepNext w:val="0"/>
        <w:keepLines w:val="0"/>
        <w:pageBreakBefore w:val="0"/>
        <w:widowControl w:val="0"/>
        <w:numPr>
          <w:ilvl w:val="0"/>
          <w:numId w:val="219"/>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接受司法行政部门的监督管理；</w:t>
      </w:r>
    </w:p>
    <w:p>
      <w:pPr>
        <w:keepNext w:val="0"/>
        <w:keepLines w:val="0"/>
        <w:pageBreakBefore w:val="0"/>
        <w:widowControl w:val="0"/>
        <w:numPr>
          <w:ilvl w:val="0"/>
          <w:numId w:val="219"/>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接受法律援助机构的值班安排和业务培训；  </w:t>
      </w:r>
    </w:p>
    <w:p>
      <w:pPr>
        <w:keepNext w:val="0"/>
        <w:keepLines w:val="0"/>
        <w:pageBreakBefore w:val="0"/>
        <w:widowControl w:val="0"/>
        <w:numPr>
          <w:ilvl w:val="0"/>
          <w:numId w:val="219"/>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接受律师协会的考核和奖惩；</w:t>
      </w:r>
    </w:p>
    <w:p>
      <w:pPr>
        <w:keepNext w:val="0"/>
        <w:keepLines w:val="0"/>
        <w:pageBreakBefore w:val="0"/>
        <w:widowControl w:val="0"/>
        <w:numPr>
          <w:ilvl w:val="0"/>
          <w:numId w:val="219"/>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遵守驻点的看守所、人民检察院、人民法院的考勤和办公纪律要求。</w:t>
      </w:r>
    </w:p>
    <w:p>
      <w:pPr>
        <w:keepNext w:val="0"/>
        <w:keepLines w:val="0"/>
        <w:pageBreakBefore w:val="0"/>
        <w:widowControl w:val="0"/>
        <w:wordWrap/>
        <w:bidi w:val="0"/>
        <w:spacing w:after="0" w:line="500" w:lineRule="exact"/>
        <w:ind w:firstLine="522" w:firstLineChars="200"/>
        <w:jc w:val="both"/>
        <w:rPr>
          <w:rFonts w:hint="eastAsia" w:ascii="黑体" w:hAnsi="黑体" w:eastAsia="黑体" w:cs="黑体"/>
          <w:color w:val="000000"/>
          <w:sz w:val="28"/>
          <w:szCs w:val="28"/>
        </w:rPr>
      </w:pPr>
      <w:r>
        <w:rPr>
          <w:rFonts w:hint="eastAsia" w:ascii="黑体" w:hAnsi="黑体" w:eastAsia="黑体" w:cs="黑体"/>
          <w:color w:val="000000"/>
          <w:sz w:val="28"/>
          <w:szCs w:val="28"/>
        </w:rPr>
        <w:t>十一、附则</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本业务指引由湖南省律师协会负责解释。</w:t>
      </w:r>
    </w:p>
    <w:p>
      <w:pPr>
        <w:keepNext w:val="0"/>
        <w:keepLines w:val="0"/>
        <w:pageBreakBefore w:val="0"/>
        <w:widowControl w:val="0"/>
        <w:wordWrap/>
        <w:bidi w:val="0"/>
        <w:spacing w:after="0" w:line="500" w:lineRule="exact"/>
        <w:jc w:val="center"/>
        <w:rPr>
          <w:rFonts w:hint="eastAsia" w:ascii="方正小标宋简体" w:hAnsi="方正小标宋简体" w:eastAsia="方正小标宋简体" w:cs="方正小标宋简体"/>
          <w:color w:val="000000"/>
          <w:sz w:val="48"/>
          <w:szCs w:val="48"/>
        </w:rPr>
      </w:pPr>
      <w:r>
        <w:rPr>
          <w:rFonts w:hint="eastAsia" w:ascii="仿宋_GB2312" w:hAnsi="微软雅黑" w:eastAsia="仿宋_GB2312" w:cs="微软雅黑"/>
          <w:color w:val="000000"/>
          <w:sz w:val="22"/>
          <w:szCs w:val="22"/>
        </w:rPr>
        <w:br w:type="page"/>
      </w:r>
    </w:p>
    <w:p>
      <w:pPr>
        <w:keepNext w:val="0"/>
        <w:keepLines w:val="0"/>
        <w:pageBreakBefore w:val="0"/>
        <w:widowControl w:val="0"/>
        <w:wordWrap/>
        <w:bidi w:val="0"/>
        <w:spacing w:after="0" w:line="500" w:lineRule="exact"/>
        <w:jc w:val="center"/>
        <w:rPr>
          <w:rFonts w:hint="eastAsia" w:ascii="方正小标宋简体" w:hAnsi="方正小标宋简体" w:eastAsia="方正小标宋简体" w:cs="方正小标宋简体"/>
          <w:color w:val="000000"/>
          <w:sz w:val="48"/>
          <w:szCs w:val="48"/>
        </w:rPr>
      </w:pPr>
    </w:p>
    <w:p>
      <w:pPr>
        <w:keepNext w:val="0"/>
        <w:keepLines w:val="0"/>
        <w:pageBreakBefore w:val="0"/>
        <w:widowControl w:val="0"/>
        <w:wordWrap/>
        <w:bidi w:val="0"/>
        <w:spacing w:after="0" w:line="500" w:lineRule="exact"/>
        <w:jc w:val="center"/>
        <w:rPr>
          <w:rFonts w:hint="eastAsia" w:ascii="方正小标宋简体" w:hAnsi="方正小标宋简体" w:eastAsia="方正小标宋简体" w:cs="方正小标宋简体"/>
          <w:color w:val="000000"/>
          <w:sz w:val="48"/>
          <w:szCs w:val="48"/>
        </w:rPr>
      </w:pPr>
    </w:p>
    <w:p>
      <w:pPr>
        <w:keepNext w:val="0"/>
        <w:keepLines w:val="0"/>
        <w:pageBreakBefore w:val="0"/>
        <w:widowControl w:val="0"/>
        <w:wordWrap/>
        <w:bidi w:val="0"/>
        <w:spacing w:after="0" w:line="500" w:lineRule="exact"/>
        <w:jc w:val="center"/>
        <w:rPr>
          <w:rFonts w:hint="eastAsia" w:ascii="方正小标宋简体" w:hAnsi="方正小标宋简体" w:eastAsia="方正小标宋简体" w:cs="方正小标宋简体"/>
          <w:color w:val="000000"/>
          <w:sz w:val="48"/>
          <w:szCs w:val="48"/>
        </w:rPr>
      </w:pPr>
    </w:p>
    <w:p>
      <w:pPr>
        <w:keepNext w:val="0"/>
        <w:keepLines w:val="0"/>
        <w:pageBreakBefore w:val="0"/>
        <w:widowControl w:val="0"/>
        <w:wordWrap/>
        <w:bidi w:val="0"/>
        <w:spacing w:after="0" w:line="240" w:lineRule="auto"/>
        <w:jc w:val="both"/>
        <w:rPr>
          <w:rFonts w:hint="eastAsia" w:ascii="方正小标宋简体" w:hAnsi="方正小标宋简体" w:eastAsia="方正小标宋简体" w:cs="方正小标宋简体"/>
          <w:color w:val="000000"/>
          <w:sz w:val="48"/>
          <w:szCs w:val="48"/>
        </w:rPr>
      </w:pPr>
    </w:p>
    <w:p>
      <w:pPr>
        <w:keepNext w:val="0"/>
        <w:keepLines w:val="0"/>
        <w:pageBreakBefore w:val="0"/>
        <w:widowControl w:val="0"/>
        <w:wordWrap/>
        <w:bidi w:val="0"/>
        <w:spacing w:after="0" w:line="240" w:lineRule="auto"/>
        <w:jc w:val="center"/>
        <w:rPr>
          <w:rFonts w:hint="eastAsia" w:ascii="方正小标宋简体" w:hAnsi="方正小标宋简体" w:eastAsia="方正小标宋简体" w:cs="方正小标宋简体"/>
          <w:color w:val="000000"/>
          <w:sz w:val="48"/>
          <w:szCs w:val="48"/>
        </w:rPr>
      </w:pPr>
      <w:r>
        <w:rPr>
          <w:rFonts w:hint="eastAsia" w:ascii="方正小标宋简体" w:hAnsi="方正小标宋简体" w:eastAsia="方正小标宋简体" w:cs="方正小标宋简体"/>
          <w:color w:val="000000"/>
          <w:sz w:val="48"/>
          <w:szCs w:val="48"/>
        </w:rPr>
        <w:t>企业数据合规律师</w:t>
      </w:r>
    </w:p>
    <w:p>
      <w:pPr>
        <w:keepNext w:val="0"/>
        <w:keepLines w:val="0"/>
        <w:pageBreakBefore w:val="0"/>
        <w:widowControl w:val="0"/>
        <w:wordWrap/>
        <w:bidi w:val="0"/>
        <w:spacing w:after="0" w:line="240" w:lineRule="auto"/>
        <w:jc w:val="center"/>
        <w:rPr>
          <w:rFonts w:hint="eastAsia" w:ascii="方正小标宋简体" w:hAnsi="方正小标宋简体" w:eastAsia="方正小标宋简体" w:cs="方正小标宋简体"/>
          <w:color w:val="000000"/>
          <w:sz w:val="48"/>
          <w:szCs w:val="48"/>
        </w:rPr>
      </w:pPr>
      <w:r>
        <w:rPr>
          <w:rFonts w:hint="eastAsia" w:ascii="方正小标宋简体" w:hAnsi="方正小标宋简体" w:eastAsia="方正小标宋简体" w:cs="方正小标宋简体"/>
          <w:color w:val="000000"/>
          <w:sz w:val="48"/>
          <w:szCs w:val="48"/>
        </w:rPr>
        <w:t>业务操作指引</w:t>
      </w:r>
    </w:p>
    <w:p>
      <w:pPr>
        <w:keepNext w:val="0"/>
        <w:keepLines w:val="0"/>
        <w:pageBreakBefore w:val="0"/>
        <w:widowControl w:val="0"/>
        <w:wordWrap/>
        <w:bidi w:val="0"/>
        <w:spacing w:after="0" w:line="240" w:lineRule="auto"/>
        <w:jc w:val="center"/>
        <w:rPr>
          <w:rFonts w:ascii="方正小标宋简体" w:hAnsi="方正小标宋简体" w:eastAsia="方正小标宋简体" w:cs="方正小标宋简体"/>
          <w:color w:val="000000"/>
          <w:sz w:val="48"/>
          <w:szCs w:val="48"/>
          <w:lang w:val="zh-CN"/>
        </w:rPr>
      </w:pPr>
      <w:r>
        <w:rPr>
          <w:rFonts w:hint="eastAsia" w:ascii="方正小标宋简体" w:hAnsi="方正小标宋简体" w:eastAsia="方正小标宋简体" w:cs="方正小标宋简体"/>
          <w:color w:val="000000"/>
          <w:sz w:val="48"/>
          <w:szCs w:val="48"/>
        </w:rPr>
        <w:br w:type="page"/>
      </w:r>
    </w:p>
    <w:p>
      <w:pPr>
        <w:pStyle w:val="24"/>
        <w:keepNext w:val="0"/>
        <w:keepLines w:val="0"/>
        <w:pageBreakBefore w:val="0"/>
        <w:widowControl w:val="0"/>
        <w:wordWrap/>
        <w:bidi w:val="0"/>
        <w:spacing w:before="0" w:line="500" w:lineRule="exact"/>
        <w:jc w:val="center"/>
        <w:rPr>
          <w:rFonts w:hint="eastAsia" w:ascii="方正小标宋简体" w:hAnsi="方正小标宋简体" w:eastAsia="方正小标宋简体" w:cs="方正小标宋简体"/>
          <w:b w:val="0"/>
          <w:bCs w:val="0"/>
          <w:color w:val="000000"/>
          <w:sz w:val="40"/>
          <w:szCs w:val="40"/>
          <w:lang w:val="zh-CN"/>
        </w:rPr>
      </w:pPr>
      <w:r>
        <w:rPr>
          <w:sz w:val="28"/>
        </w:rPr>
        <mc:AlternateContent>
          <mc:Choice Requires="wps">
            <w:drawing>
              <wp:anchor distT="0" distB="0" distL="114300" distR="114300" simplePos="0" relativeHeight="251745280" behindDoc="0" locked="0" layoutInCell="1" allowOverlap="1">
                <wp:simplePos x="0" y="0"/>
                <wp:positionH relativeFrom="column">
                  <wp:posOffset>-269875</wp:posOffset>
                </wp:positionH>
                <wp:positionV relativeFrom="paragraph">
                  <wp:posOffset>6112510</wp:posOffset>
                </wp:positionV>
                <wp:extent cx="1227455" cy="751205"/>
                <wp:effectExtent l="0" t="0" r="10795" b="10795"/>
                <wp:wrapNone/>
                <wp:docPr id="77" name="文本框 77"/>
                <wp:cNvGraphicFramePr/>
                <a:graphic xmlns:a="http://schemas.openxmlformats.org/drawingml/2006/main">
                  <a:graphicData uri="http://schemas.microsoft.com/office/word/2010/wordprocessingShape">
                    <wps:wsp>
                      <wps:cNvSpPr txBox="1"/>
                      <wps:spPr>
                        <a:xfrm>
                          <a:off x="0" y="0"/>
                          <a:ext cx="1227455" cy="751205"/>
                        </a:xfrm>
                        <a:prstGeom prst="rect">
                          <a:avLst/>
                        </a:prstGeom>
                        <a:solidFill>
                          <a:srgbClr val="FFFFFF"/>
                        </a:solidFill>
                        <a:ln>
                          <a:noFill/>
                        </a:ln>
                      </wps:spPr>
                      <wps:txbx>
                        <w:txbxContent>
                          <w:p/>
                        </w:txbxContent>
                      </wps:txbx>
                      <wps:bodyPr upright="1"/>
                    </wps:wsp>
                  </a:graphicData>
                </a:graphic>
              </wp:anchor>
            </w:drawing>
          </mc:Choice>
          <mc:Fallback>
            <w:pict>
              <v:shape id="_x0000_s1026" o:spid="_x0000_s1026" o:spt="202" type="#_x0000_t202" style="position:absolute;left:0pt;margin-left:-21.25pt;margin-top:481.3pt;height:59.15pt;width:96.65pt;z-index:251745280;mso-width-relative:page;mso-height-relative:page;" fillcolor="#FFFFFF" filled="t" stroked="f" coordsize="21600,21600" o:gfxdata="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tgz5H9kAAAAMAQAADwAAAAAAAAABACAAAAAiAAAAZHJzL2Rvd25yZXYu&#10;eG1sUEsBAhQAFAAAAAgAh07iQIKTClnBAQAAeQMAAA4AAAAAAAAAAQAgAAAAKAEAAGRycy9lMm9E&#10;b2MueG1sUEsFBgAAAAAGAAYAWQEAAFsFAAAAAA==&#10;">
                <v:fill on="t" focussize="0,0"/>
                <v:stroke on="f"/>
                <v:imagedata o:title=""/>
                <o:lock v:ext="edit" aspectratio="f"/>
                <v:textbox>
                  <w:txbxContent>
                    <w:p/>
                  </w:txbxContent>
                </v:textbox>
              </v:shape>
            </w:pict>
          </mc:Fallback>
        </mc:AlternateContent>
      </w:r>
      <w:r>
        <w:rPr>
          <w:sz w:val="48"/>
          <w:szCs w:val="24"/>
        </w:rPr>
        <mc:AlternateContent>
          <mc:Choice Requires="wps">
            <w:drawing>
              <wp:anchor distT="0" distB="0" distL="114300" distR="114300" simplePos="0" relativeHeight="251685888" behindDoc="0" locked="0" layoutInCell="1" allowOverlap="1">
                <wp:simplePos x="0" y="0"/>
                <wp:positionH relativeFrom="column">
                  <wp:posOffset>-221615</wp:posOffset>
                </wp:positionH>
                <wp:positionV relativeFrom="paragraph">
                  <wp:posOffset>7729855</wp:posOffset>
                </wp:positionV>
                <wp:extent cx="1249680" cy="762000"/>
                <wp:effectExtent l="5080" t="4445" r="21590" b="14605"/>
                <wp:wrapNone/>
                <wp:docPr id="99" name="矩形 99"/>
                <wp:cNvGraphicFramePr/>
                <a:graphic xmlns:a="http://schemas.openxmlformats.org/drawingml/2006/main">
                  <a:graphicData uri="http://schemas.microsoft.com/office/word/2010/wordprocessingShape">
                    <wps:wsp>
                      <wps:cNvSpPr/>
                      <wps:spPr>
                        <a:xfrm>
                          <a:off x="0" y="0"/>
                          <a:ext cx="1249680" cy="762000"/>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7.45pt;margin-top:608.65pt;height:60pt;width:98.4pt;z-index:251685888;mso-width-relative:page;mso-height-relative:page;" fillcolor="#FFFFFF" filled="t" stroked="t" coordsize="21600,21600" o:gfxdata="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bD7kjZAAAADQEAAA8AAAAAAAAAAQAgAAAAIgAAAGRycy9kb3ducmV2Lnht&#10;bFBLAQIUABQAAAAIAIdO4kBwSbTF+AEAACAEAAAOAAAAAAAAAAEAIAAAACgBAABkcnMvZTJvRG9j&#10;LnhtbFBLBQYAAAAABgAGAFkBAACSBQAAAAA=&#10;">
                <v:fill on="t" focussize="0,0"/>
                <v:stroke color="#FFFFFF" joinstyle="miter"/>
                <v:imagedata o:title=""/>
                <o:lock v:ext="edit" aspectratio="f"/>
              </v:rect>
            </w:pict>
          </mc:Fallback>
        </mc:AlternateContent>
      </w:r>
      <w:r>
        <w:rPr>
          <w:rFonts w:hint="eastAsia" w:ascii="仿宋_GB2312" w:hAnsi="仿宋" w:eastAsia="仿宋_GB2312"/>
          <w:color w:val="000000"/>
          <w:sz w:val="28"/>
          <w:szCs w:val="28"/>
          <w:lang w:val="zh-CN"/>
        </w:rPr>
        <w:br w:type="page"/>
      </w:r>
      <w:r>
        <w:rPr>
          <w:rFonts w:hint="eastAsia" w:ascii="方正小标宋简体" w:hAnsi="方正小标宋简体" w:eastAsia="方正小标宋简体" w:cs="方正小标宋简体"/>
          <w:b w:val="0"/>
          <w:bCs w:val="0"/>
          <w:color w:val="000000"/>
          <w:sz w:val="40"/>
          <w:szCs w:val="40"/>
          <w:lang w:val="zh-CN"/>
        </w:rPr>
        <w:t>目</w:t>
      </w:r>
      <w:r>
        <w:rPr>
          <w:rFonts w:hint="eastAsia" w:ascii="方正小标宋简体" w:hAnsi="方正小标宋简体" w:eastAsia="方正小标宋简体" w:cs="方正小标宋简体"/>
          <w:b w:val="0"/>
          <w:bCs w:val="0"/>
          <w:color w:val="000000"/>
          <w:sz w:val="40"/>
          <w:szCs w:val="40"/>
        </w:rPr>
        <w:t xml:space="preserve">   </w:t>
      </w:r>
      <w:r>
        <w:rPr>
          <w:rFonts w:hint="eastAsia" w:ascii="方正小标宋简体" w:hAnsi="方正小标宋简体" w:eastAsia="方正小标宋简体" w:cs="方正小标宋简体"/>
          <w:b w:val="0"/>
          <w:bCs w:val="0"/>
          <w:color w:val="000000"/>
          <w:sz w:val="40"/>
          <w:szCs w:val="40"/>
          <w:lang w:val="zh-CN"/>
        </w:rPr>
        <w:t>录</w:t>
      </w:r>
    </w:p>
    <w:p>
      <w:pPr>
        <w:pStyle w:val="11"/>
        <w:keepNext w:val="0"/>
        <w:keepLines w:val="0"/>
        <w:pageBreakBefore w:val="0"/>
        <w:widowControl w:val="0"/>
        <w:tabs>
          <w:tab w:val="right" w:leader="dot" w:pos="8296"/>
          <w:tab w:val="clear" w:pos="8720"/>
        </w:tabs>
        <w:wordWrap/>
        <w:bidi w:val="0"/>
        <w:spacing w:before="0" w:after="0" w:line="500" w:lineRule="exact"/>
        <w:ind w:firstLine="522" w:firstLineChars="200"/>
        <w:jc w:val="left"/>
        <w:rPr>
          <w:rFonts w:hint="eastAsia" w:ascii="仿宋_GB2312" w:hAnsi="仿宋" w:eastAsia="仿宋_GB2312" w:cs="仿宋"/>
          <w:b w:val="0"/>
          <w:bCs w:val="0"/>
          <w:i w:val="0"/>
          <w:iCs w:val="0"/>
          <w:color w:val="000000"/>
          <w:sz w:val="28"/>
          <w:szCs w:val="28"/>
        </w:rPr>
      </w:pPr>
      <w:r>
        <w:rPr>
          <w:rFonts w:hint="eastAsia" w:ascii="仿宋_GB2312" w:hAnsi="仿宋" w:eastAsia="仿宋_GB2312" w:cs="仿宋"/>
          <w:b w:val="0"/>
          <w:bCs w:val="0"/>
          <w:i w:val="0"/>
          <w:iCs w:val="0"/>
          <w:color w:val="000000"/>
          <w:sz w:val="28"/>
          <w:szCs w:val="28"/>
        </w:rPr>
        <w:t xml:space="preserve">第一章 </w:t>
      </w:r>
      <w:r>
        <w:rPr>
          <w:rFonts w:hint="eastAsia" w:ascii="仿宋_GB2312" w:hAnsi="仿宋" w:eastAsia="仿宋_GB2312" w:cs="仿宋"/>
          <w:b w:val="0"/>
          <w:bCs w:val="0"/>
          <w:i w:val="0"/>
          <w:iCs w:val="0"/>
          <w:color w:val="000000"/>
          <w:sz w:val="28"/>
          <w:szCs w:val="28"/>
        </w:rPr>
        <w:fldChar w:fldCharType="begin"/>
      </w:r>
      <w:r>
        <w:rPr>
          <w:rFonts w:hint="eastAsia" w:ascii="仿宋_GB2312" w:hAnsi="仿宋" w:eastAsia="仿宋_GB2312" w:cs="仿宋"/>
          <w:b w:val="0"/>
          <w:bCs w:val="0"/>
          <w:i w:val="0"/>
          <w:iCs w:val="0"/>
          <w:color w:val="000000"/>
          <w:sz w:val="28"/>
          <w:szCs w:val="28"/>
        </w:rPr>
        <w:instrText xml:space="preserve"> TOC \o "1-3" \h \z \u </w:instrText>
      </w:r>
      <w:r>
        <w:rPr>
          <w:rFonts w:hint="eastAsia" w:ascii="仿宋_GB2312" w:hAnsi="仿宋" w:eastAsia="仿宋_GB2312" w:cs="仿宋"/>
          <w:b w:val="0"/>
          <w:bCs w:val="0"/>
          <w:i w:val="0"/>
          <w:iCs w:val="0"/>
          <w:color w:val="000000"/>
          <w:sz w:val="28"/>
          <w:szCs w:val="28"/>
        </w:rPr>
        <w:fldChar w:fldCharType="separate"/>
      </w:r>
      <w:r>
        <w:rPr>
          <w:rFonts w:hint="eastAsia" w:ascii="仿宋_GB2312" w:hAnsi="仿宋" w:eastAsia="仿宋_GB2312" w:cs="仿宋"/>
          <w:b w:val="0"/>
          <w:bCs w:val="0"/>
          <w:i w:val="0"/>
          <w:iCs w:val="0"/>
          <w:color w:val="000000"/>
          <w:sz w:val="28"/>
          <w:szCs w:val="28"/>
        </w:rPr>
        <w:fldChar w:fldCharType="begin"/>
      </w:r>
      <w:r>
        <w:rPr>
          <w:rFonts w:hint="eastAsia" w:ascii="仿宋_GB2312" w:hAnsi="仿宋" w:eastAsia="仿宋_GB2312" w:cs="仿宋"/>
          <w:b w:val="0"/>
          <w:bCs w:val="0"/>
          <w:i w:val="0"/>
          <w:iCs w:val="0"/>
          <w:color w:val="000000"/>
          <w:sz w:val="28"/>
          <w:szCs w:val="28"/>
        </w:rPr>
        <w:instrText xml:space="preserve"> HYPERLINK \l "_Toc76134365" </w:instrText>
      </w:r>
      <w:r>
        <w:rPr>
          <w:rFonts w:hint="eastAsia" w:ascii="仿宋_GB2312" w:hAnsi="仿宋" w:eastAsia="仿宋_GB2312" w:cs="仿宋"/>
          <w:b w:val="0"/>
          <w:bCs w:val="0"/>
          <w:i w:val="0"/>
          <w:iCs w:val="0"/>
          <w:color w:val="000000"/>
          <w:sz w:val="28"/>
          <w:szCs w:val="28"/>
        </w:rPr>
        <w:fldChar w:fldCharType="separate"/>
      </w:r>
      <w:r>
        <w:rPr>
          <w:rStyle w:val="20"/>
          <w:rFonts w:hint="eastAsia" w:ascii="仿宋_GB2312" w:hAnsi="仿宋" w:eastAsia="仿宋_GB2312" w:cs="仿宋"/>
          <w:b w:val="0"/>
          <w:bCs w:val="0"/>
          <w:i w:val="0"/>
          <w:iCs w:val="0"/>
          <w:color w:val="000000"/>
          <w:sz w:val="28"/>
          <w:szCs w:val="28"/>
        </w:rPr>
        <w:t>总则</w:t>
      </w:r>
      <w:r>
        <w:rPr>
          <w:rFonts w:hint="eastAsia" w:ascii="仿宋_GB2312" w:hAnsi="仿宋" w:eastAsia="仿宋_GB2312" w:cs="仿宋"/>
          <w:b w:val="0"/>
          <w:bCs w:val="0"/>
          <w:i w:val="0"/>
          <w:iCs w:val="0"/>
          <w:color w:val="000000"/>
          <w:sz w:val="28"/>
          <w:szCs w:val="28"/>
        </w:rPr>
        <w:fldChar w:fldCharType="end"/>
      </w:r>
    </w:p>
    <w:p>
      <w:pPr>
        <w:pStyle w:val="13"/>
        <w:keepNext w:val="0"/>
        <w:keepLines w:val="0"/>
        <w:pageBreakBefore w:val="0"/>
        <w:widowControl w:val="0"/>
        <w:tabs>
          <w:tab w:val="right" w:leader="dot" w:pos="8296"/>
        </w:tabs>
        <w:wordWrap/>
        <w:bidi w:val="0"/>
        <w:spacing w:line="500" w:lineRule="exact"/>
        <w:ind w:left="0" w:firstLine="522" w:firstLineChars="200"/>
        <w:jc w:val="left"/>
        <w:rPr>
          <w:rFonts w:hint="eastAsia" w:ascii="仿宋_GB2312" w:hAnsi="仿宋" w:eastAsia="仿宋_GB2312" w:cs="仿宋"/>
          <w:i w:val="0"/>
          <w:iCs w:val="0"/>
          <w:color w:val="000000"/>
          <w:sz w:val="28"/>
          <w:szCs w:val="28"/>
        </w:rPr>
      </w:pPr>
      <w:r>
        <w:rPr>
          <w:rFonts w:hint="eastAsia" w:ascii="仿宋_GB2312" w:hAnsi="仿宋" w:eastAsia="仿宋_GB2312" w:cs="仿宋"/>
          <w:i w:val="0"/>
          <w:iCs w:val="0"/>
          <w:color w:val="000000"/>
          <w:sz w:val="28"/>
          <w:szCs w:val="28"/>
        </w:rPr>
        <w:fldChar w:fldCharType="begin"/>
      </w:r>
      <w:r>
        <w:rPr>
          <w:rFonts w:hint="eastAsia" w:ascii="仿宋_GB2312" w:hAnsi="仿宋" w:eastAsia="仿宋_GB2312" w:cs="仿宋"/>
          <w:i w:val="0"/>
          <w:iCs w:val="0"/>
          <w:color w:val="000000"/>
          <w:sz w:val="28"/>
          <w:szCs w:val="28"/>
        </w:rPr>
        <w:instrText xml:space="preserve"> HYPERLINK \l "_Toc76134366" </w:instrText>
      </w:r>
      <w:r>
        <w:rPr>
          <w:rFonts w:hint="eastAsia" w:ascii="仿宋_GB2312" w:hAnsi="仿宋" w:eastAsia="仿宋_GB2312" w:cs="仿宋"/>
          <w:i w:val="0"/>
          <w:iCs w:val="0"/>
          <w:color w:val="000000"/>
          <w:sz w:val="28"/>
          <w:szCs w:val="28"/>
        </w:rPr>
        <w:fldChar w:fldCharType="separate"/>
      </w:r>
      <w:r>
        <w:rPr>
          <w:rStyle w:val="20"/>
          <w:rFonts w:hint="eastAsia" w:ascii="仿宋_GB2312" w:hAnsi="仿宋" w:eastAsia="仿宋_GB2312" w:cs="仿宋"/>
          <w:i w:val="0"/>
          <w:iCs w:val="0"/>
          <w:color w:val="000000"/>
          <w:sz w:val="28"/>
          <w:szCs w:val="28"/>
        </w:rPr>
        <w:t>第一条 本指引宗旨</w:t>
      </w:r>
      <w:r>
        <w:rPr>
          <w:rFonts w:hint="eastAsia" w:ascii="仿宋_GB2312" w:hAnsi="仿宋" w:eastAsia="仿宋_GB2312" w:cs="仿宋"/>
          <w:i w:val="0"/>
          <w:iCs w:val="0"/>
          <w:color w:val="000000"/>
          <w:sz w:val="28"/>
          <w:szCs w:val="28"/>
        </w:rPr>
        <w:fldChar w:fldCharType="end"/>
      </w:r>
    </w:p>
    <w:p>
      <w:pPr>
        <w:pStyle w:val="13"/>
        <w:keepNext w:val="0"/>
        <w:keepLines w:val="0"/>
        <w:pageBreakBefore w:val="0"/>
        <w:widowControl w:val="0"/>
        <w:tabs>
          <w:tab w:val="right" w:leader="dot" w:pos="8296"/>
        </w:tabs>
        <w:wordWrap/>
        <w:bidi w:val="0"/>
        <w:spacing w:line="500" w:lineRule="exact"/>
        <w:ind w:left="0" w:firstLine="522" w:firstLineChars="200"/>
        <w:jc w:val="left"/>
        <w:rPr>
          <w:rFonts w:hint="eastAsia" w:ascii="仿宋_GB2312" w:hAnsi="仿宋" w:eastAsia="仿宋_GB2312" w:cs="仿宋"/>
          <w:i w:val="0"/>
          <w:iCs w:val="0"/>
          <w:color w:val="000000"/>
          <w:sz w:val="28"/>
          <w:szCs w:val="28"/>
        </w:rPr>
      </w:pPr>
      <w:r>
        <w:rPr>
          <w:rFonts w:hint="eastAsia" w:ascii="仿宋_GB2312" w:hAnsi="仿宋" w:eastAsia="仿宋_GB2312" w:cs="仿宋"/>
          <w:i w:val="0"/>
          <w:iCs w:val="0"/>
          <w:color w:val="000000"/>
          <w:sz w:val="28"/>
          <w:szCs w:val="28"/>
        </w:rPr>
        <w:fldChar w:fldCharType="begin"/>
      </w:r>
      <w:r>
        <w:rPr>
          <w:rFonts w:hint="eastAsia" w:ascii="仿宋_GB2312" w:hAnsi="仿宋" w:eastAsia="仿宋_GB2312" w:cs="仿宋"/>
          <w:i w:val="0"/>
          <w:iCs w:val="0"/>
          <w:color w:val="000000"/>
          <w:sz w:val="28"/>
          <w:szCs w:val="28"/>
        </w:rPr>
        <w:instrText xml:space="preserve"> HYPERLINK \l "_Toc76134367" </w:instrText>
      </w:r>
      <w:r>
        <w:rPr>
          <w:rFonts w:hint="eastAsia" w:ascii="仿宋_GB2312" w:hAnsi="仿宋" w:eastAsia="仿宋_GB2312" w:cs="仿宋"/>
          <w:i w:val="0"/>
          <w:iCs w:val="0"/>
          <w:color w:val="000000"/>
          <w:sz w:val="28"/>
          <w:szCs w:val="28"/>
        </w:rPr>
        <w:fldChar w:fldCharType="separate"/>
      </w:r>
      <w:r>
        <w:rPr>
          <w:rStyle w:val="20"/>
          <w:rFonts w:hint="eastAsia" w:ascii="仿宋_GB2312" w:hAnsi="仿宋" w:eastAsia="仿宋_GB2312" w:cs="仿宋"/>
          <w:i w:val="0"/>
          <w:iCs w:val="0"/>
          <w:color w:val="000000"/>
          <w:sz w:val="28"/>
          <w:szCs w:val="28"/>
        </w:rPr>
        <w:t>第二条 企业数据合规的主要内涵</w:t>
      </w:r>
      <w:r>
        <w:rPr>
          <w:rFonts w:hint="eastAsia" w:ascii="仿宋_GB2312" w:hAnsi="仿宋" w:eastAsia="仿宋_GB2312" w:cs="仿宋"/>
          <w:i w:val="0"/>
          <w:iCs w:val="0"/>
          <w:color w:val="000000"/>
          <w:sz w:val="28"/>
          <w:szCs w:val="28"/>
        </w:rPr>
        <w:fldChar w:fldCharType="end"/>
      </w:r>
    </w:p>
    <w:p>
      <w:pPr>
        <w:pStyle w:val="13"/>
        <w:keepNext w:val="0"/>
        <w:keepLines w:val="0"/>
        <w:pageBreakBefore w:val="0"/>
        <w:widowControl w:val="0"/>
        <w:tabs>
          <w:tab w:val="right" w:leader="dot" w:pos="8296"/>
        </w:tabs>
        <w:wordWrap/>
        <w:bidi w:val="0"/>
        <w:spacing w:line="500" w:lineRule="exact"/>
        <w:ind w:left="0" w:firstLine="522" w:firstLineChars="200"/>
        <w:jc w:val="left"/>
        <w:rPr>
          <w:rFonts w:hint="eastAsia" w:ascii="仿宋_GB2312" w:hAnsi="仿宋" w:eastAsia="仿宋_GB2312" w:cs="仿宋"/>
          <w:i w:val="0"/>
          <w:iCs w:val="0"/>
          <w:color w:val="000000"/>
          <w:sz w:val="28"/>
          <w:szCs w:val="28"/>
        </w:rPr>
      </w:pPr>
      <w:r>
        <w:rPr>
          <w:rFonts w:hint="eastAsia" w:ascii="仿宋_GB2312" w:hAnsi="仿宋" w:eastAsia="仿宋_GB2312" w:cs="仿宋"/>
          <w:i w:val="0"/>
          <w:iCs w:val="0"/>
          <w:color w:val="000000"/>
          <w:sz w:val="28"/>
          <w:szCs w:val="28"/>
        </w:rPr>
        <w:fldChar w:fldCharType="begin"/>
      </w:r>
      <w:r>
        <w:rPr>
          <w:rFonts w:hint="eastAsia" w:ascii="仿宋_GB2312" w:hAnsi="仿宋" w:eastAsia="仿宋_GB2312" w:cs="仿宋"/>
          <w:i w:val="0"/>
          <w:iCs w:val="0"/>
          <w:color w:val="000000"/>
          <w:sz w:val="28"/>
          <w:szCs w:val="28"/>
        </w:rPr>
        <w:instrText xml:space="preserve"> HYPERLINK \l "_Toc76134368" </w:instrText>
      </w:r>
      <w:r>
        <w:rPr>
          <w:rFonts w:hint="eastAsia" w:ascii="仿宋_GB2312" w:hAnsi="仿宋" w:eastAsia="仿宋_GB2312" w:cs="仿宋"/>
          <w:i w:val="0"/>
          <w:iCs w:val="0"/>
          <w:color w:val="000000"/>
          <w:sz w:val="28"/>
          <w:szCs w:val="28"/>
        </w:rPr>
        <w:fldChar w:fldCharType="separate"/>
      </w:r>
      <w:r>
        <w:rPr>
          <w:rStyle w:val="20"/>
          <w:rFonts w:hint="eastAsia" w:ascii="仿宋_GB2312" w:hAnsi="仿宋" w:eastAsia="仿宋_GB2312" w:cs="仿宋"/>
          <w:i w:val="0"/>
          <w:iCs w:val="0"/>
          <w:color w:val="000000"/>
          <w:sz w:val="28"/>
          <w:szCs w:val="28"/>
        </w:rPr>
        <w:t>第三条 企业数据合规业务的定义及内容</w:t>
      </w:r>
      <w:r>
        <w:rPr>
          <w:rFonts w:hint="eastAsia" w:ascii="仿宋_GB2312" w:hAnsi="仿宋" w:eastAsia="仿宋_GB2312" w:cs="仿宋"/>
          <w:i w:val="0"/>
          <w:iCs w:val="0"/>
          <w:color w:val="000000"/>
          <w:sz w:val="28"/>
          <w:szCs w:val="28"/>
        </w:rPr>
        <w:fldChar w:fldCharType="end"/>
      </w:r>
      <w:r>
        <w:rPr>
          <w:rFonts w:hint="eastAsia" w:ascii="仿宋_GB2312" w:hAnsi="仿宋" w:eastAsia="仿宋_GB2312" w:cs="仿宋"/>
          <w:i w:val="0"/>
          <w:iCs w:val="0"/>
          <w:color w:val="000000"/>
          <w:sz w:val="28"/>
          <w:szCs w:val="28"/>
        </w:rPr>
        <w:t xml:space="preserve"> </w:t>
      </w:r>
    </w:p>
    <w:p>
      <w:pPr>
        <w:pStyle w:val="11"/>
        <w:keepNext w:val="0"/>
        <w:keepLines w:val="0"/>
        <w:pageBreakBefore w:val="0"/>
        <w:widowControl w:val="0"/>
        <w:tabs>
          <w:tab w:val="right" w:leader="dot" w:pos="8296"/>
          <w:tab w:val="clear" w:pos="8720"/>
        </w:tabs>
        <w:wordWrap/>
        <w:bidi w:val="0"/>
        <w:spacing w:before="0" w:after="0" w:line="500" w:lineRule="exact"/>
        <w:ind w:firstLine="522" w:firstLineChars="200"/>
        <w:jc w:val="left"/>
        <w:rPr>
          <w:rFonts w:hint="eastAsia" w:ascii="仿宋_GB2312" w:hAnsi="仿宋" w:eastAsia="仿宋_GB2312" w:cs="仿宋"/>
          <w:b w:val="0"/>
          <w:bCs w:val="0"/>
          <w:i w:val="0"/>
          <w:iCs w:val="0"/>
          <w:color w:val="000000"/>
          <w:sz w:val="28"/>
          <w:szCs w:val="28"/>
        </w:rPr>
      </w:pPr>
      <w:r>
        <w:rPr>
          <w:rFonts w:hint="eastAsia" w:ascii="仿宋_GB2312" w:hAnsi="仿宋" w:eastAsia="仿宋_GB2312" w:cs="仿宋"/>
          <w:b w:val="0"/>
          <w:bCs w:val="0"/>
          <w:i w:val="0"/>
          <w:iCs w:val="0"/>
          <w:color w:val="000000"/>
          <w:sz w:val="28"/>
          <w:szCs w:val="28"/>
        </w:rPr>
        <w:fldChar w:fldCharType="begin"/>
      </w:r>
      <w:r>
        <w:rPr>
          <w:rFonts w:hint="eastAsia" w:ascii="仿宋_GB2312" w:hAnsi="仿宋" w:eastAsia="仿宋_GB2312" w:cs="仿宋"/>
          <w:b w:val="0"/>
          <w:bCs w:val="0"/>
          <w:i w:val="0"/>
          <w:iCs w:val="0"/>
          <w:color w:val="000000"/>
          <w:sz w:val="28"/>
          <w:szCs w:val="28"/>
        </w:rPr>
        <w:instrText xml:space="preserve"> HYPERLINK \l "_Toc76134369" </w:instrText>
      </w:r>
      <w:r>
        <w:rPr>
          <w:rFonts w:hint="eastAsia" w:ascii="仿宋_GB2312" w:hAnsi="仿宋" w:eastAsia="仿宋_GB2312" w:cs="仿宋"/>
          <w:b w:val="0"/>
          <w:bCs w:val="0"/>
          <w:i w:val="0"/>
          <w:iCs w:val="0"/>
          <w:color w:val="000000"/>
          <w:sz w:val="28"/>
          <w:szCs w:val="28"/>
        </w:rPr>
        <w:fldChar w:fldCharType="separate"/>
      </w:r>
      <w:r>
        <w:rPr>
          <w:rStyle w:val="20"/>
          <w:rFonts w:hint="eastAsia" w:ascii="仿宋_GB2312" w:hAnsi="仿宋" w:eastAsia="仿宋_GB2312" w:cs="仿宋"/>
          <w:b w:val="0"/>
          <w:bCs w:val="0"/>
          <w:i w:val="0"/>
          <w:iCs w:val="0"/>
          <w:color w:val="000000"/>
          <w:sz w:val="28"/>
          <w:szCs w:val="28"/>
        </w:rPr>
        <w:t>第二章 企业数据合规体系的建立</w:t>
      </w:r>
      <w:r>
        <w:rPr>
          <w:rFonts w:hint="eastAsia" w:ascii="仿宋_GB2312" w:hAnsi="仿宋" w:eastAsia="仿宋_GB2312" w:cs="仿宋"/>
          <w:b w:val="0"/>
          <w:bCs w:val="0"/>
          <w:i w:val="0"/>
          <w:iCs w:val="0"/>
          <w:color w:val="000000"/>
          <w:sz w:val="28"/>
          <w:szCs w:val="28"/>
        </w:rPr>
        <w:fldChar w:fldCharType="end"/>
      </w:r>
    </w:p>
    <w:p>
      <w:pPr>
        <w:pStyle w:val="13"/>
        <w:keepNext w:val="0"/>
        <w:keepLines w:val="0"/>
        <w:pageBreakBefore w:val="0"/>
        <w:widowControl w:val="0"/>
        <w:tabs>
          <w:tab w:val="right" w:leader="dot" w:pos="8296"/>
        </w:tabs>
        <w:wordWrap/>
        <w:bidi w:val="0"/>
        <w:spacing w:line="500" w:lineRule="exact"/>
        <w:ind w:left="0" w:firstLine="522" w:firstLineChars="200"/>
        <w:jc w:val="left"/>
        <w:rPr>
          <w:rFonts w:hint="eastAsia" w:ascii="仿宋_GB2312" w:hAnsi="仿宋" w:eastAsia="仿宋_GB2312" w:cs="仿宋"/>
          <w:i w:val="0"/>
          <w:iCs w:val="0"/>
          <w:color w:val="000000"/>
          <w:sz w:val="28"/>
          <w:szCs w:val="28"/>
        </w:rPr>
      </w:pPr>
      <w:r>
        <w:rPr>
          <w:rFonts w:hint="eastAsia" w:ascii="仿宋_GB2312" w:hAnsi="仿宋" w:eastAsia="仿宋_GB2312" w:cs="仿宋"/>
          <w:i w:val="0"/>
          <w:iCs w:val="0"/>
          <w:color w:val="000000"/>
          <w:sz w:val="28"/>
          <w:szCs w:val="28"/>
        </w:rPr>
        <w:fldChar w:fldCharType="begin"/>
      </w:r>
      <w:r>
        <w:rPr>
          <w:rFonts w:hint="eastAsia" w:ascii="仿宋_GB2312" w:hAnsi="仿宋" w:eastAsia="仿宋_GB2312" w:cs="仿宋"/>
          <w:i w:val="0"/>
          <w:iCs w:val="0"/>
          <w:color w:val="000000"/>
          <w:sz w:val="28"/>
          <w:szCs w:val="28"/>
        </w:rPr>
        <w:instrText xml:space="preserve"> HYPERLINK \l "_Toc76134370" </w:instrText>
      </w:r>
      <w:r>
        <w:rPr>
          <w:rFonts w:hint="eastAsia" w:ascii="仿宋_GB2312" w:hAnsi="仿宋" w:eastAsia="仿宋_GB2312" w:cs="仿宋"/>
          <w:i w:val="0"/>
          <w:iCs w:val="0"/>
          <w:color w:val="000000"/>
          <w:sz w:val="28"/>
          <w:szCs w:val="28"/>
        </w:rPr>
        <w:fldChar w:fldCharType="separate"/>
      </w:r>
      <w:r>
        <w:rPr>
          <w:rStyle w:val="20"/>
          <w:rFonts w:hint="eastAsia" w:ascii="仿宋_GB2312" w:hAnsi="仿宋" w:eastAsia="仿宋_GB2312" w:cs="仿宋"/>
          <w:i w:val="0"/>
          <w:iCs w:val="0"/>
          <w:color w:val="000000"/>
          <w:sz w:val="28"/>
          <w:szCs w:val="28"/>
        </w:rPr>
        <w:t>第四条 企业数据合规体系的建立</w:t>
      </w:r>
      <w:r>
        <w:rPr>
          <w:rFonts w:hint="eastAsia" w:ascii="仿宋_GB2312" w:hAnsi="仿宋" w:eastAsia="仿宋_GB2312" w:cs="仿宋"/>
          <w:i w:val="0"/>
          <w:iCs w:val="0"/>
          <w:color w:val="000000"/>
          <w:sz w:val="28"/>
          <w:szCs w:val="28"/>
        </w:rPr>
        <w:fldChar w:fldCharType="end"/>
      </w:r>
    </w:p>
    <w:p>
      <w:pPr>
        <w:pStyle w:val="11"/>
        <w:keepNext w:val="0"/>
        <w:keepLines w:val="0"/>
        <w:pageBreakBefore w:val="0"/>
        <w:widowControl w:val="0"/>
        <w:tabs>
          <w:tab w:val="right" w:leader="dot" w:pos="8296"/>
          <w:tab w:val="clear" w:pos="8720"/>
        </w:tabs>
        <w:wordWrap/>
        <w:bidi w:val="0"/>
        <w:spacing w:before="0" w:after="0" w:line="500" w:lineRule="exact"/>
        <w:ind w:firstLine="522" w:firstLineChars="200"/>
        <w:jc w:val="left"/>
        <w:rPr>
          <w:rFonts w:hint="eastAsia" w:ascii="仿宋_GB2312" w:hAnsi="仿宋" w:eastAsia="仿宋_GB2312" w:cs="仿宋"/>
          <w:b w:val="0"/>
          <w:bCs w:val="0"/>
          <w:i w:val="0"/>
          <w:iCs w:val="0"/>
          <w:color w:val="000000"/>
          <w:sz w:val="28"/>
          <w:szCs w:val="28"/>
        </w:rPr>
      </w:pPr>
      <w:r>
        <w:rPr>
          <w:rFonts w:hint="eastAsia" w:ascii="仿宋_GB2312" w:hAnsi="仿宋" w:eastAsia="仿宋_GB2312" w:cs="仿宋"/>
          <w:b w:val="0"/>
          <w:bCs w:val="0"/>
          <w:i w:val="0"/>
          <w:iCs w:val="0"/>
          <w:color w:val="000000"/>
          <w:sz w:val="28"/>
          <w:szCs w:val="28"/>
        </w:rPr>
        <w:fldChar w:fldCharType="begin"/>
      </w:r>
      <w:r>
        <w:rPr>
          <w:rFonts w:hint="eastAsia" w:ascii="仿宋_GB2312" w:hAnsi="仿宋" w:eastAsia="仿宋_GB2312" w:cs="仿宋"/>
          <w:b w:val="0"/>
          <w:bCs w:val="0"/>
          <w:i w:val="0"/>
          <w:iCs w:val="0"/>
          <w:color w:val="000000"/>
          <w:sz w:val="28"/>
          <w:szCs w:val="28"/>
        </w:rPr>
        <w:instrText xml:space="preserve"> HYPERLINK \l "_Toc76134371" </w:instrText>
      </w:r>
      <w:r>
        <w:rPr>
          <w:rFonts w:hint="eastAsia" w:ascii="仿宋_GB2312" w:hAnsi="仿宋" w:eastAsia="仿宋_GB2312" w:cs="仿宋"/>
          <w:b w:val="0"/>
          <w:bCs w:val="0"/>
          <w:i w:val="0"/>
          <w:iCs w:val="0"/>
          <w:color w:val="000000"/>
          <w:sz w:val="28"/>
          <w:szCs w:val="28"/>
        </w:rPr>
        <w:fldChar w:fldCharType="separate"/>
      </w:r>
      <w:r>
        <w:rPr>
          <w:rStyle w:val="20"/>
          <w:rFonts w:hint="eastAsia" w:ascii="仿宋_GB2312" w:hAnsi="仿宋" w:eastAsia="仿宋_GB2312" w:cs="仿宋"/>
          <w:b w:val="0"/>
          <w:bCs w:val="0"/>
          <w:i w:val="0"/>
          <w:iCs w:val="0"/>
          <w:color w:val="000000"/>
          <w:sz w:val="28"/>
          <w:szCs w:val="28"/>
        </w:rPr>
        <w:t>第三章 数据全生命周期合规要求</w:t>
      </w:r>
      <w:r>
        <w:rPr>
          <w:rFonts w:hint="eastAsia" w:ascii="仿宋_GB2312" w:hAnsi="仿宋" w:eastAsia="仿宋_GB2312" w:cs="仿宋"/>
          <w:b w:val="0"/>
          <w:bCs w:val="0"/>
          <w:i w:val="0"/>
          <w:iCs w:val="0"/>
          <w:color w:val="000000"/>
          <w:sz w:val="28"/>
          <w:szCs w:val="28"/>
        </w:rPr>
        <w:fldChar w:fldCharType="end"/>
      </w:r>
    </w:p>
    <w:p>
      <w:pPr>
        <w:pStyle w:val="13"/>
        <w:keepNext w:val="0"/>
        <w:keepLines w:val="0"/>
        <w:pageBreakBefore w:val="0"/>
        <w:widowControl w:val="0"/>
        <w:tabs>
          <w:tab w:val="right" w:leader="dot" w:pos="8296"/>
        </w:tabs>
        <w:wordWrap/>
        <w:bidi w:val="0"/>
        <w:spacing w:line="500" w:lineRule="exact"/>
        <w:ind w:left="0" w:firstLine="522" w:firstLineChars="200"/>
        <w:jc w:val="left"/>
        <w:rPr>
          <w:rFonts w:hint="eastAsia" w:ascii="仿宋_GB2312" w:hAnsi="仿宋" w:eastAsia="仿宋_GB2312" w:cs="仿宋"/>
          <w:i w:val="0"/>
          <w:iCs w:val="0"/>
          <w:color w:val="000000"/>
          <w:sz w:val="28"/>
          <w:szCs w:val="28"/>
        </w:rPr>
      </w:pPr>
      <w:r>
        <w:rPr>
          <w:rFonts w:hint="eastAsia" w:ascii="仿宋_GB2312" w:hAnsi="仿宋" w:eastAsia="仿宋_GB2312" w:cs="仿宋"/>
          <w:i w:val="0"/>
          <w:iCs w:val="0"/>
          <w:color w:val="000000"/>
          <w:sz w:val="28"/>
          <w:szCs w:val="28"/>
        </w:rPr>
        <w:fldChar w:fldCharType="begin"/>
      </w:r>
      <w:r>
        <w:rPr>
          <w:rFonts w:hint="eastAsia" w:ascii="仿宋_GB2312" w:hAnsi="仿宋" w:eastAsia="仿宋_GB2312" w:cs="仿宋"/>
          <w:i w:val="0"/>
          <w:iCs w:val="0"/>
          <w:color w:val="000000"/>
          <w:sz w:val="28"/>
          <w:szCs w:val="28"/>
        </w:rPr>
        <w:instrText xml:space="preserve"> HYPERLINK \l "_Toc76134372" </w:instrText>
      </w:r>
      <w:r>
        <w:rPr>
          <w:rFonts w:hint="eastAsia" w:ascii="仿宋_GB2312" w:hAnsi="仿宋" w:eastAsia="仿宋_GB2312" w:cs="仿宋"/>
          <w:i w:val="0"/>
          <w:iCs w:val="0"/>
          <w:color w:val="000000"/>
          <w:sz w:val="28"/>
          <w:szCs w:val="28"/>
        </w:rPr>
        <w:fldChar w:fldCharType="separate"/>
      </w:r>
      <w:r>
        <w:rPr>
          <w:rStyle w:val="20"/>
          <w:rFonts w:hint="eastAsia" w:ascii="仿宋_GB2312" w:hAnsi="仿宋" w:eastAsia="仿宋_GB2312" w:cs="仿宋"/>
          <w:i w:val="0"/>
          <w:iCs w:val="0"/>
          <w:color w:val="000000"/>
          <w:sz w:val="28"/>
          <w:szCs w:val="28"/>
        </w:rPr>
        <w:t>第五条 数据全生命周期</w:t>
      </w:r>
      <w:r>
        <w:rPr>
          <w:rFonts w:hint="eastAsia" w:ascii="仿宋_GB2312" w:hAnsi="仿宋" w:eastAsia="仿宋_GB2312" w:cs="仿宋"/>
          <w:i w:val="0"/>
          <w:iCs w:val="0"/>
          <w:color w:val="000000"/>
          <w:sz w:val="28"/>
          <w:szCs w:val="28"/>
        </w:rPr>
        <w:fldChar w:fldCharType="end"/>
      </w:r>
    </w:p>
    <w:p>
      <w:pPr>
        <w:pStyle w:val="13"/>
        <w:keepNext w:val="0"/>
        <w:keepLines w:val="0"/>
        <w:pageBreakBefore w:val="0"/>
        <w:widowControl w:val="0"/>
        <w:tabs>
          <w:tab w:val="right" w:leader="dot" w:pos="8296"/>
        </w:tabs>
        <w:wordWrap/>
        <w:bidi w:val="0"/>
        <w:spacing w:line="500" w:lineRule="exact"/>
        <w:ind w:left="0" w:firstLine="522" w:firstLineChars="200"/>
        <w:jc w:val="left"/>
        <w:rPr>
          <w:rFonts w:hint="eastAsia" w:ascii="仿宋_GB2312" w:hAnsi="仿宋" w:eastAsia="仿宋_GB2312" w:cs="仿宋"/>
          <w:i w:val="0"/>
          <w:iCs w:val="0"/>
          <w:color w:val="000000"/>
          <w:sz w:val="28"/>
          <w:szCs w:val="28"/>
        </w:rPr>
      </w:pPr>
      <w:r>
        <w:rPr>
          <w:rFonts w:hint="eastAsia" w:ascii="仿宋_GB2312" w:hAnsi="仿宋" w:eastAsia="仿宋_GB2312" w:cs="仿宋"/>
          <w:i w:val="0"/>
          <w:iCs w:val="0"/>
          <w:color w:val="000000"/>
          <w:sz w:val="28"/>
          <w:szCs w:val="28"/>
        </w:rPr>
        <w:fldChar w:fldCharType="begin"/>
      </w:r>
      <w:r>
        <w:rPr>
          <w:rFonts w:hint="eastAsia" w:ascii="仿宋_GB2312" w:hAnsi="仿宋" w:eastAsia="仿宋_GB2312" w:cs="仿宋"/>
          <w:i w:val="0"/>
          <w:iCs w:val="0"/>
          <w:color w:val="000000"/>
          <w:sz w:val="28"/>
          <w:szCs w:val="28"/>
        </w:rPr>
        <w:instrText xml:space="preserve"> HYPERLINK \l "_Toc76134373" </w:instrText>
      </w:r>
      <w:r>
        <w:rPr>
          <w:rFonts w:hint="eastAsia" w:ascii="仿宋_GB2312" w:hAnsi="仿宋" w:eastAsia="仿宋_GB2312" w:cs="仿宋"/>
          <w:i w:val="0"/>
          <w:iCs w:val="0"/>
          <w:color w:val="000000"/>
          <w:sz w:val="28"/>
          <w:szCs w:val="28"/>
        </w:rPr>
        <w:fldChar w:fldCharType="separate"/>
      </w:r>
      <w:r>
        <w:rPr>
          <w:rStyle w:val="20"/>
          <w:rFonts w:hint="eastAsia" w:ascii="仿宋_GB2312" w:hAnsi="仿宋" w:eastAsia="仿宋_GB2312" w:cs="仿宋"/>
          <w:i w:val="0"/>
          <w:iCs w:val="0"/>
          <w:color w:val="000000"/>
          <w:sz w:val="28"/>
          <w:szCs w:val="28"/>
        </w:rPr>
        <w:t>第六条 数据收集合规要求</w:t>
      </w:r>
      <w:r>
        <w:rPr>
          <w:rFonts w:hint="eastAsia" w:ascii="仿宋_GB2312" w:hAnsi="仿宋" w:eastAsia="仿宋_GB2312" w:cs="仿宋"/>
          <w:i w:val="0"/>
          <w:iCs w:val="0"/>
          <w:color w:val="000000"/>
          <w:sz w:val="28"/>
          <w:szCs w:val="28"/>
        </w:rPr>
        <w:fldChar w:fldCharType="end"/>
      </w:r>
    </w:p>
    <w:p>
      <w:pPr>
        <w:pStyle w:val="13"/>
        <w:keepNext w:val="0"/>
        <w:keepLines w:val="0"/>
        <w:pageBreakBefore w:val="0"/>
        <w:widowControl w:val="0"/>
        <w:tabs>
          <w:tab w:val="right" w:leader="dot" w:pos="8296"/>
        </w:tabs>
        <w:wordWrap/>
        <w:bidi w:val="0"/>
        <w:spacing w:line="500" w:lineRule="exact"/>
        <w:ind w:left="0" w:firstLine="522" w:firstLineChars="200"/>
        <w:jc w:val="left"/>
        <w:rPr>
          <w:rFonts w:hint="eastAsia" w:ascii="仿宋_GB2312" w:hAnsi="仿宋" w:eastAsia="仿宋_GB2312" w:cs="仿宋"/>
          <w:i w:val="0"/>
          <w:iCs w:val="0"/>
          <w:color w:val="000000"/>
          <w:sz w:val="28"/>
          <w:szCs w:val="28"/>
        </w:rPr>
      </w:pPr>
      <w:r>
        <w:rPr>
          <w:rFonts w:hint="eastAsia" w:ascii="仿宋_GB2312" w:hAnsi="仿宋" w:eastAsia="仿宋_GB2312" w:cs="仿宋"/>
          <w:i w:val="0"/>
          <w:iCs w:val="0"/>
          <w:color w:val="000000"/>
          <w:sz w:val="28"/>
          <w:szCs w:val="28"/>
        </w:rPr>
        <w:fldChar w:fldCharType="begin"/>
      </w:r>
      <w:r>
        <w:rPr>
          <w:rFonts w:hint="eastAsia" w:ascii="仿宋_GB2312" w:hAnsi="仿宋" w:eastAsia="仿宋_GB2312" w:cs="仿宋"/>
          <w:i w:val="0"/>
          <w:iCs w:val="0"/>
          <w:color w:val="000000"/>
          <w:sz w:val="28"/>
          <w:szCs w:val="28"/>
        </w:rPr>
        <w:instrText xml:space="preserve"> HYPERLINK \l "_Toc76134374" </w:instrText>
      </w:r>
      <w:r>
        <w:rPr>
          <w:rFonts w:hint="eastAsia" w:ascii="仿宋_GB2312" w:hAnsi="仿宋" w:eastAsia="仿宋_GB2312" w:cs="仿宋"/>
          <w:i w:val="0"/>
          <w:iCs w:val="0"/>
          <w:color w:val="000000"/>
          <w:sz w:val="28"/>
          <w:szCs w:val="28"/>
        </w:rPr>
        <w:fldChar w:fldCharType="separate"/>
      </w:r>
      <w:r>
        <w:rPr>
          <w:rStyle w:val="20"/>
          <w:rFonts w:hint="eastAsia" w:ascii="仿宋_GB2312" w:hAnsi="仿宋" w:eastAsia="仿宋_GB2312" w:cs="仿宋"/>
          <w:i w:val="0"/>
          <w:iCs w:val="0"/>
          <w:color w:val="000000"/>
          <w:sz w:val="28"/>
          <w:szCs w:val="28"/>
        </w:rPr>
        <w:t>第七条 数据传输合规要求</w:t>
      </w:r>
      <w:r>
        <w:rPr>
          <w:rFonts w:hint="eastAsia" w:ascii="仿宋_GB2312" w:hAnsi="仿宋" w:eastAsia="仿宋_GB2312" w:cs="仿宋"/>
          <w:i w:val="0"/>
          <w:iCs w:val="0"/>
          <w:color w:val="000000"/>
          <w:sz w:val="28"/>
          <w:szCs w:val="28"/>
        </w:rPr>
        <w:fldChar w:fldCharType="end"/>
      </w:r>
    </w:p>
    <w:p>
      <w:pPr>
        <w:pStyle w:val="13"/>
        <w:keepNext w:val="0"/>
        <w:keepLines w:val="0"/>
        <w:pageBreakBefore w:val="0"/>
        <w:widowControl w:val="0"/>
        <w:tabs>
          <w:tab w:val="right" w:leader="dot" w:pos="8296"/>
        </w:tabs>
        <w:wordWrap/>
        <w:bidi w:val="0"/>
        <w:spacing w:line="500" w:lineRule="exact"/>
        <w:ind w:left="0" w:firstLine="522" w:firstLineChars="200"/>
        <w:jc w:val="left"/>
        <w:rPr>
          <w:rFonts w:hint="eastAsia" w:ascii="仿宋_GB2312" w:hAnsi="仿宋" w:eastAsia="仿宋_GB2312" w:cs="仿宋"/>
          <w:i w:val="0"/>
          <w:iCs w:val="0"/>
          <w:color w:val="000000"/>
          <w:sz w:val="28"/>
          <w:szCs w:val="28"/>
        </w:rPr>
      </w:pPr>
      <w:r>
        <w:rPr>
          <w:rFonts w:hint="eastAsia" w:ascii="仿宋_GB2312" w:hAnsi="仿宋" w:eastAsia="仿宋_GB2312" w:cs="仿宋"/>
          <w:i w:val="0"/>
          <w:iCs w:val="0"/>
          <w:color w:val="000000"/>
          <w:sz w:val="28"/>
          <w:szCs w:val="28"/>
        </w:rPr>
        <w:fldChar w:fldCharType="begin"/>
      </w:r>
      <w:r>
        <w:rPr>
          <w:rFonts w:hint="eastAsia" w:ascii="仿宋_GB2312" w:hAnsi="仿宋" w:eastAsia="仿宋_GB2312" w:cs="仿宋"/>
          <w:i w:val="0"/>
          <w:iCs w:val="0"/>
          <w:color w:val="000000"/>
          <w:sz w:val="28"/>
          <w:szCs w:val="28"/>
        </w:rPr>
        <w:instrText xml:space="preserve"> HYPERLINK \l "_Toc76134375" </w:instrText>
      </w:r>
      <w:r>
        <w:rPr>
          <w:rFonts w:hint="eastAsia" w:ascii="仿宋_GB2312" w:hAnsi="仿宋" w:eastAsia="仿宋_GB2312" w:cs="仿宋"/>
          <w:i w:val="0"/>
          <w:iCs w:val="0"/>
          <w:color w:val="000000"/>
          <w:sz w:val="28"/>
          <w:szCs w:val="28"/>
        </w:rPr>
        <w:fldChar w:fldCharType="separate"/>
      </w:r>
      <w:r>
        <w:rPr>
          <w:rStyle w:val="20"/>
          <w:rFonts w:hint="eastAsia" w:ascii="仿宋_GB2312" w:hAnsi="仿宋" w:eastAsia="仿宋_GB2312" w:cs="仿宋"/>
          <w:i w:val="0"/>
          <w:iCs w:val="0"/>
          <w:color w:val="000000"/>
          <w:sz w:val="28"/>
          <w:szCs w:val="28"/>
        </w:rPr>
        <w:t>第八条 数据存储合规要求</w:t>
      </w:r>
      <w:r>
        <w:rPr>
          <w:rFonts w:hint="eastAsia" w:ascii="仿宋_GB2312" w:hAnsi="仿宋" w:eastAsia="仿宋_GB2312" w:cs="仿宋"/>
          <w:i w:val="0"/>
          <w:iCs w:val="0"/>
          <w:color w:val="000000"/>
          <w:sz w:val="28"/>
          <w:szCs w:val="28"/>
        </w:rPr>
        <w:fldChar w:fldCharType="end"/>
      </w:r>
    </w:p>
    <w:p>
      <w:pPr>
        <w:pStyle w:val="13"/>
        <w:keepNext w:val="0"/>
        <w:keepLines w:val="0"/>
        <w:pageBreakBefore w:val="0"/>
        <w:widowControl w:val="0"/>
        <w:tabs>
          <w:tab w:val="right" w:leader="dot" w:pos="8296"/>
        </w:tabs>
        <w:wordWrap/>
        <w:bidi w:val="0"/>
        <w:spacing w:line="500" w:lineRule="exact"/>
        <w:ind w:left="0" w:firstLine="522" w:firstLineChars="200"/>
        <w:jc w:val="left"/>
        <w:rPr>
          <w:rFonts w:hint="eastAsia" w:ascii="仿宋_GB2312" w:hAnsi="仿宋" w:eastAsia="仿宋_GB2312" w:cs="仿宋"/>
          <w:i w:val="0"/>
          <w:iCs w:val="0"/>
          <w:color w:val="000000"/>
          <w:sz w:val="28"/>
          <w:szCs w:val="28"/>
        </w:rPr>
      </w:pPr>
      <w:r>
        <w:rPr>
          <w:rFonts w:hint="eastAsia" w:ascii="仿宋_GB2312" w:hAnsi="仿宋" w:eastAsia="仿宋_GB2312" w:cs="仿宋"/>
          <w:i w:val="0"/>
          <w:iCs w:val="0"/>
          <w:color w:val="000000"/>
          <w:sz w:val="28"/>
          <w:szCs w:val="28"/>
        </w:rPr>
        <w:fldChar w:fldCharType="begin"/>
      </w:r>
      <w:r>
        <w:rPr>
          <w:rFonts w:hint="eastAsia" w:ascii="仿宋_GB2312" w:hAnsi="仿宋" w:eastAsia="仿宋_GB2312" w:cs="仿宋"/>
          <w:i w:val="0"/>
          <w:iCs w:val="0"/>
          <w:color w:val="000000"/>
          <w:sz w:val="28"/>
          <w:szCs w:val="28"/>
        </w:rPr>
        <w:instrText xml:space="preserve"> HYPERLINK \l "_Toc76134376" </w:instrText>
      </w:r>
      <w:r>
        <w:rPr>
          <w:rFonts w:hint="eastAsia" w:ascii="仿宋_GB2312" w:hAnsi="仿宋" w:eastAsia="仿宋_GB2312" w:cs="仿宋"/>
          <w:i w:val="0"/>
          <w:iCs w:val="0"/>
          <w:color w:val="000000"/>
          <w:sz w:val="28"/>
          <w:szCs w:val="28"/>
        </w:rPr>
        <w:fldChar w:fldCharType="separate"/>
      </w:r>
      <w:r>
        <w:rPr>
          <w:rStyle w:val="20"/>
          <w:rFonts w:hint="eastAsia" w:ascii="仿宋_GB2312" w:hAnsi="仿宋" w:eastAsia="仿宋_GB2312" w:cs="仿宋"/>
          <w:i w:val="0"/>
          <w:iCs w:val="0"/>
          <w:color w:val="000000"/>
          <w:sz w:val="28"/>
          <w:szCs w:val="28"/>
        </w:rPr>
        <w:t>第九条 数据使用合规要求</w:t>
      </w:r>
      <w:r>
        <w:rPr>
          <w:rFonts w:hint="eastAsia" w:ascii="仿宋_GB2312" w:hAnsi="仿宋" w:eastAsia="仿宋_GB2312" w:cs="仿宋"/>
          <w:i w:val="0"/>
          <w:iCs w:val="0"/>
          <w:color w:val="000000"/>
          <w:sz w:val="28"/>
          <w:szCs w:val="28"/>
        </w:rPr>
        <w:fldChar w:fldCharType="end"/>
      </w:r>
    </w:p>
    <w:p>
      <w:pPr>
        <w:pStyle w:val="13"/>
        <w:keepNext w:val="0"/>
        <w:keepLines w:val="0"/>
        <w:pageBreakBefore w:val="0"/>
        <w:widowControl w:val="0"/>
        <w:tabs>
          <w:tab w:val="right" w:leader="dot" w:pos="8296"/>
        </w:tabs>
        <w:wordWrap/>
        <w:bidi w:val="0"/>
        <w:spacing w:line="500" w:lineRule="exact"/>
        <w:ind w:left="0" w:firstLine="522" w:firstLineChars="200"/>
        <w:jc w:val="left"/>
        <w:rPr>
          <w:rFonts w:hint="eastAsia" w:ascii="仿宋_GB2312" w:hAnsi="仿宋" w:eastAsia="仿宋_GB2312" w:cs="仿宋"/>
          <w:i w:val="0"/>
          <w:iCs w:val="0"/>
          <w:color w:val="000000"/>
          <w:sz w:val="28"/>
          <w:szCs w:val="28"/>
        </w:rPr>
      </w:pPr>
      <w:r>
        <w:rPr>
          <w:rFonts w:hint="eastAsia" w:ascii="仿宋_GB2312" w:hAnsi="仿宋" w:eastAsia="仿宋_GB2312" w:cs="仿宋"/>
          <w:i w:val="0"/>
          <w:iCs w:val="0"/>
          <w:color w:val="000000"/>
          <w:sz w:val="28"/>
          <w:szCs w:val="28"/>
        </w:rPr>
        <w:fldChar w:fldCharType="begin"/>
      </w:r>
      <w:r>
        <w:rPr>
          <w:rFonts w:hint="eastAsia" w:ascii="仿宋_GB2312" w:hAnsi="仿宋" w:eastAsia="仿宋_GB2312" w:cs="仿宋"/>
          <w:i w:val="0"/>
          <w:iCs w:val="0"/>
          <w:color w:val="000000"/>
          <w:sz w:val="28"/>
          <w:szCs w:val="28"/>
        </w:rPr>
        <w:instrText xml:space="preserve"> HYPERLINK \l "_Toc76134377" </w:instrText>
      </w:r>
      <w:r>
        <w:rPr>
          <w:rFonts w:hint="eastAsia" w:ascii="仿宋_GB2312" w:hAnsi="仿宋" w:eastAsia="仿宋_GB2312" w:cs="仿宋"/>
          <w:i w:val="0"/>
          <w:iCs w:val="0"/>
          <w:color w:val="000000"/>
          <w:sz w:val="28"/>
          <w:szCs w:val="28"/>
        </w:rPr>
        <w:fldChar w:fldCharType="separate"/>
      </w:r>
      <w:r>
        <w:rPr>
          <w:rStyle w:val="20"/>
          <w:rFonts w:hint="eastAsia" w:ascii="仿宋_GB2312" w:hAnsi="仿宋" w:eastAsia="仿宋_GB2312" w:cs="仿宋"/>
          <w:i w:val="0"/>
          <w:iCs w:val="0"/>
          <w:color w:val="000000"/>
          <w:sz w:val="28"/>
          <w:szCs w:val="28"/>
        </w:rPr>
        <w:t>第十条 数据共享合规要求</w:t>
      </w:r>
      <w:r>
        <w:rPr>
          <w:rFonts w:hint="eastAsia" w:ascii="仿宋_GB2312" w:hAnsi="仿宋" w:eastAsia="仿宋_GB2312" w:cs="仿宋"/>
          <w:i w:val="0"/>
          <w:iCs w:val="0"/>
          <w:color w:val="000000"/>
          <w:sz w:val="28"/>
          <w:szCs w:val="28"/>
        </w:rPr>
        <w:fldChar w:fldCharType="end"/>
      </w:r>
    </w:p>
    <w:p>
      <w:pPr>
        <w:pStyle w:val="13"/>
        <w:keepNext w:val="0"/>
        <w:keepLines w:val="0"/>
        <w:pageBreakBefore w:val="0"/>
        <w:widowControl w:val="0"/>
        <w:tabs>
          <w:tab w:val="right" w:leader="dot" w:pos="8296"/>
        </w:tabs>
        <w:wordWrap/>
        <w:bidi w:val="0"/>
        <w:spacing w:line="500" w:lineRule="exact"/>
        <w:ind w:left="0" w:firstLine="522" w:firstLineChars="200"/>
        <w:jc w:val="left"/>
        <w:rPr>
          <w:rFonts w:hint="eastAsia" w:ascii="仿宋_GB2312" w:hAnsi="仿宋" w:eastAsia="仿宋_GB2312" w:cs="仿宋"/>
          <w:i w:val="0"/>
          <w:iCs w:val="0"/>
          <w:color w:val="000000"/>
          <w:sz w:val="28"/>
          <w:szCs w:val="28"/>
        </w:rPr>
      </w:pPr>
      <w:r>
        <w:rPr>
          <w:rFonts w:hint="eastAsia" w:ascii="仿宋_GB2312" w:hAnsi="仿宋" w:eastAsia="仿宋_GB2312" w:cs="仿宋"/>
          <w:i w:val="0"/>
          <w:iCs w:val="0"/>
          <w:color w:val="000000"/>
          <w:sz w:val="28"/>
          <w:szCs w:val="28"/>
        </w:rPr>
        <w:fldChar w:fldCharType="begin"/>
      </w:r>
      <w:r>
        <w:rPr>
          <w:rFonts w:hint="eastAsia" w:ascii="仿宋_GB2312" w:hAnsi="仿宋" w:eastAsia="仿宋_GB2312" w:cs="仿宋"/>
          <w:i w:val="0"/>
          <w:iCs w:val="0"/>
          <w:color w:val="000000"/>
          <w:sz w:val="28"/>
          <w:szCs w:val="28"/>
        </w:rPr>
        <w:instrText xml:space="preserve"> HYPERLINK \l "_Toc76134378" </w:instrText>
      </w:r>
      <w:r>
        <w:rPr>
          <w:rFonts w:hint="eastAsia" w:ascii="仿宋_GB2312" w:hAnsi="仿宋" w:eastAsia="仿宋_GB2312" w:cs="仿宋"/>
          <w:i w:val="0"/>
          <w:iCs w:val="0"/>
          <w:color w:val="000000"/>
          <w:sz w:val="28"/>
          <w:szCs w:val="28"/>
        </w:rPr>
        <w:fldChar w:fldCharType="separate"/>
      </w:r>
      <w:r>
        <w:rPr>
          <w:rStyle w:val="20"/>
          <w:rFonts w:hint="eastAsia" w:ascii="仿宋_GB2312" w:hAnsi="仿宋" w:eastAsia="仿宋_GB2312" w:cs="仿宋"/>
          <w:i w:val="0"/>
          <w:iCs w:val="0"/>
          <w:color w:val="000000"/>
          <w:sz w:val="28"/>
          <w:szCs w:val="28"/>
        </w:rPr>
        <w:t>第十一条 数据删除和销毁合规要求</w:t>
      </w:r>
      <w:r>
        <w:rPr>
          <w:rFonts w:hint="eastAsia" w:ascii="仿宋_GB2312" w:hAnsi="仿宋" w:eastAsia="仿宋_GB2312" w:cs="仿宋"/>
          <w:i w:val="0"/>
          <w:iCs w:val="0"/>
          <w:color w:val="000000"/>
          <w:sz w:val="28"/>
          <w:szCs w:val="28"/>
        </w:rPr>
        <w:fldChar w:fldCharType="end"/>
      </w:r>
    </w:p>
    <w:p>
      <w:pPr>
        <w:pStyle w:val="11"/>
        <w:keepNext w:val="0"/>
        <w:keepLines w:val="0"/>
        <w:pageBreakBefore w:val="0"/>
        <w:widowControl w:val="0"/>
        <w:tabs>
          <w:tab w:val="right" w:leader="dot" w:pos="8296"/>
          <w:tab w:val="clear" w:pos="8720"/>
        </w:tabs>
        <w:wordWrap/>
        <w:bidi w:val="0"/>
        <w:spacing w:before="0" w:after="0" w:line="500" w:lineRule="exact"/>
        <w:ind w:firstLine="522" w:firstLineChars="200"/>
        <w:jc w:val="left"/>
        <w:rPr>
          <w:rFonts w:hint="eastAsia" w:ascii="仿宋_GB2312" w:hAnsi="仿宋" w:eastAsia="仿宋_GB2312" w:cs="仿宋"/>
          <w:b w:val="0"/>
          <w:bCs w:val="0"/>
          <w:i w:val="0"/>
          <w:iCs w:val="0"/>
          <w:color w:val="000000"/>
          <w:sz w:val="28"/>
          <w:szCs w:val="28"/>
        </w:rPr>
      </w:pPr>
      <w:r>
        <w:rPr>
          <w:rFonts w:hint="eastAsia" w:ascii="仿宋_GB2312" w:hAnsi="仿宋" w:eastAsia="仿宋_GB2312" w:cs="仿宋"/>
          <w:b w:val="0"/>
          <w:bCs w:val="0"/>
          <w:i w:val="0"/>
          <w:iCs w:val="0"/>
          <w:color w:val="000000"/>
          <w:sz w:val="28"/>
          <w:szCs w:val="28"/>
        </w:rPr>
        <w:fldChar w:fldCharType="begin"/>
      </w:r>
      <w:r>
        <w:rPr>
          <w:rFonts w:hint="eastAsia" w:ascii="仿宋_GB2312" w:hAnsi="仿宋" w:eastAsia="仿宋_GB2312" w:cs="仿宋"/>
          <w:b w:val="0"/>
          <w:bCs w:val="0"/>
          <w:i w:val="0"/>
          <w:iCs w:val="0"/>
          <w:color w:val="000000"/>
          <w:sz w:val="28"/>
          <w:szCs w:val="28"/>
        </w:rPr>
        <w:instrText xml:space="preserve"> HYPERLINK \l "_Toc76134379" </w:instrText>
      </w:r>
      <w:r>
        <w:rPr>
          <w:rFonts w:hint="eastAsia" w:ascii="仿宋_GB2312" w:hAnsi="仿宋" w:eastAsia="仿宋_GB2312" w:cs="仿宋"/>
          <w:b w:val="0"/>
          <w:bCs w:val="0"/>
          <w:i w:val="0"/>
          <w:iCs w:val="0"/>
          <w:color w:val="000000"/>
          <w:sz w:val="28"/>
          <w:szCs w:val="28"/>
        </w:rPr>
        <w:fldChar w:fldCharType="separate"/>
      </w:r>
      <w:r>
        <w:rPr>
          <w:rStyle w:val="20"/>
          <w:rFonts w:hint="eastAsia" w:ascii="仿宋_GB2312" w:hAnsi="仿宋" w:eastAsia="仿宋_GB2312" w:cs="仿宋"/>
          <w:b w:val="0"/>
          <w:bCs w:val="0"/>
          <w:i w:val="0"/>
          <w:iCs w:val="0"/>
          <w:color w:val="000000"/>
          <w:sz w:val="28"/>
          <w:szCs w:val="28"/>
        </w:rPr>
        <w:t>附录：企业数据合规相关法律法规、政策文件</w:t>
      </w:r>
      <w:r>
        <w:rPr>
          <w:rFonts w:hint="eastAsia" w:ascii="仿宋_GB2312" w:hAnsi="仿宋" w:eastAsia="仿宋_GB2312" w:cs="仿宋"/>
          <w:b w:val="0"/>
          <w:bCs w:val="0"/>
          <w:i w:val="0"/>
          <w:iCs w:val="0"/>
          <w:color w:val="000000"/>
          <w:sz w:val="28"/>
          <w:szCs w:val="28"/>
        </w:rPr>
        <w:fldChar w:fldCharType="end"/>
      </w:r>
    </w:p>
    <w:p>
      <w:pPr>
        <w:keepNext w:val="0"/>
        <w:keepLines w:val="0"/>
        <w:pageBreakBefore w:val="0"/>
        <w:widowControl w:val="0"/>
        <w:wordWrap/>
        <w:bidi w:val="0"/>
        <w:spacing w:after="0" w:line="500" w:lineRule="exact"/>
        <w:jc w:val="center"/>
        <w:rPr>
          <w:rFonts w:ascii="方正小标宋简体" w:hAnsi="方正小标宋简体" w:eastAsia="方正小标宋简体" w:cs="方正小标宋简体"/>
          <w:color w:val="000000"/>
          <w:sz w:val="40"/>
          <w:szCs w:val="40"/>
          <w:lang w:val="zh-CN"/>
        </w:rPr>
      </w:pPr>
      <w:r>
        <w:rPr>
          <w:rFonts w:hint="eastAsia" w:ascii="仿宋_GB2312" w:hAnsi="仿宋" w:eastAsia="仿宋_GB2312" w:cs="仿宋"/>
          <w:b w:val="0"/>
          <w:bCs w:val="0"/>
          <w:i w:val="0"/>
          <w:iCs w:val="0"/>
          <w:color w:val="000000"/>
          <w:sz w:val="28"/>
          <w:szCs w:val="28"/>
        </w:rPr>
        <w:br w:type="page"/>
      </w:r>
      <w:r>
        <w:rPr>
          <w:rFonts w:hint="eastAsia" w:ascii="仿宋_GB2312" w:hAnsi="仿宋" w:eastAsia="仿宋_GB2312" w:cs="仿宋"/>
          <w:i w:val="0"/>
          <w:iCs w:val="0"/>
          <w:color w:val="000000"/>
          <w:sz w:val="28"/>
          <w:szCs w:val="28"/>
          <w:lang w:val="zh-CN"/>
        </w:rPr>
        <w:fldChar w:fldCharType="end"/>
      </w:r>
      <w:r>
        <w:rPr>
          <w:rFonts w:hint="eastAsia" w:ascii="方正小标宋简体" w:hAnsi="方正小标宋简体" w:eastAsia="方正小标宋简体" w:cs="方正小标宋简体"/>
          <w:color w:val="000000"/>
          <w:sz w:val="40"/>
          <w:szCs w:val="40"/>
        </w:rPr>
        <w:t>企业数据合规律师业务指引</w:t>
      </w:r>
    </w:p>
    <w:p>
      <w:pPr>
        <w:pStyle w:val="2"/>
        <w:keepNext w:val="0"/>
        <w:keepLines w:val="0"/>
        <w:pageBreakBefore w:val="0"/>
        <w:widowControl w:val="0"/>
        <w:wordWrap/>
        <w:bidi w:val="0"/>
        <w:spacing w:before="0" w:after="0" w:line="500" w:lineRule="exact"/>
        <w:outlineLvl w:val="9"/>
        <w:rPr>
          <w:rFonts w:hint="eastAsia" w:ascii="仿宋" w:hAnsi="仿宋" w:eastAsia="仿宋" w:cs="仿宋"/>
          <w:b w:val="0"/>
          <w:bCs/>
          <w:color w:val="000000"/>
          <w:sz w:val="28"/>
          <w:szCs w:val="28"/>
        </w:rPr>
      </w:pPr>
      <w:bookmarkStart w:id="375" w:name="_Toc76134365"/>
    </w:p>
    <w:p>
      <w:pPr>
        <w:pStyle w:val="2"/>
        <w:keepNext w:val="0"/>
        <w:keepLines w:val="0"/>
        <w:pageBreakBefore w:val="0"/>
        <w:widowControl w:val="0"/>
        <w:wordWrap/>
        <w:bidi w:val="0"/>
        <w:spacing w:before="0" w:after="0" w:line="500" w:lineRule="exact"/>
        <w:jc w:val="center"/>
        <w:rPr>
          <w:rFonts w:hint="eastAsia" w:ascii="黑体" w:hAnsi="黑体" w:eastAsia="黑体" w:cs="黑体"/>
          <w:b w:val="0"/>
          <w:bCs/>
          <w:color w:val="000000"/>
          <w:sz w:val="28"/>
          <w:szCs w:val="28"/>
        </w:rPr>
      </w:pPr>
      <w:bookmarkStart w:id="376" w:name="_Toc30040"/>
      <w:r>
        <w:rPr>
          <w:rFonts w:hint="eastAsia" w:ascii="黑体" w:hAnsi="黑体" w:eastAsia="黑体" w:cs="黑体"/>
          <w:b w:val="0"/>
          <w:bCs/>
          <w:color w:val="000000"/>
          <w:sz w:val="28"/>
          <w:szCs w:val="28"/>
        </w:rPr>
        <w:t>第一章  总  则</w:t>
      </w:r>
      <w:bookmarkEnd w:id="375"/>
      <w:bookmarkEnd w:id="376"/>
    </w:p>
    <w:p>
      <w:pPr>
        <w:pStyle w:val="3"/>
        <w:keepNext w:val="0"/>
        <w:keepLines w:val="0"/>
        <w:pageBreakBefore w:val="0"/>
        <w:widowControl w:val="0"/>
        <w:wordWrap/>
        <w:bidi w:val="0"/>
        <w:spacing w:before="0" w:after="0" w:line="500" w:lineRule="exact"/>
        <w:ind w:firstLine="522" w:firstLineChars="200"/>
        <w:jc w:val="both"/>
        <w:rPr>
          <w:rFonts w:hint="eastAsia" w:ascii="仿宋" w:hAnsi="仿宋" w:eastAsia="仿宋" w:cs="仿宋"/>
          <w:color w:val="000000"/>
          <w:sz w:val="28"/>
          <w:szCs w:val="28"/>
        </w:rPr>
      </w:pPr>
      <w:bookmarkStart w:id="377" w:name="_Toc76134366"/>
      <w:r>
        <w:rPr>
          <w:rFonts w:hint="eastAsia" w:ascii="仿宋" w:hAnsi="仿宋" w:eastAsia="仿宋" w:cs="仿宋"/>
          <w:color w:val="000000"/>
          <w:sz w:val="28"/>
          <w:szCs w:val="28"/>
        </w:rPr>
        <w:t>第一条  本指引宗旨</w:t>
      </w:r>
      <w:bookmarkEnd w:id="377"/>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为指导律师承办企业数据合规业务，规范律师执业行为，保障律师依法履行职责，提高律师的法律服务质量和水平，防范职业风险，充分发挥律师在企业数据合规中的作用，依据《中华人民共和国民法典》、《中华人民共和国数据安全法》、《中华人民共和国网络安全法》等法律及相关行政法规、司法解释、部门规章、部门规范性文件，制定本指引。</w:t>
      </w:r>
    </w:p>
    <w:p>
      <w:pPr>
        <w:pStyle w:val="3"/>
        <w:keepNext w:val="0"/>
        <w:keepLines w:val="0"/>
        <w:pageBreakBefore w:val="0"/>
        <w:widowControl w:val="0"/>
        <w:wordWrap/>
        <w:bidi w:val="0"/>
        <w:spacing w:before="0" w:after="0" w:line="500" w:lineRule="exact"/>
        <w:ind w:firstLine="522" w:firstLineChars="200"/>
        <w:jc w:val="both"/>
        <w:rPr>
          <w:rFonts w:hint="eastAsia" w:ascii="仿宋" w:hAnsi="仿宋" w:eastAsia="仿宋" w:cs="仿宋"/>
          <w:color w:val="000000"/>
          <w:sz w:val="28"/>
          <w:szCs w:val="28"/>
        </w:rPr>
      </w:pPr>
      <w:bookmarkStart w:id="378" w:name="_Toc76134367"/>
      <w:r>
        <w:rPr>
          <w:rFonts w:hint="eastAsia" w:ascii="仿宋" w:hAnsi="仿宋" w:eastAsia="仿宋" w:cs="仿宋"/>
          <w:color w:val="000000"/>
          <w:sz w:val="28"/>
          <w:szCs w:val="28"/>
        </w:rPr>
        <w:t>第二条  企业数据合规的主要内涵</w:t>
      </w:r>
      <w:bookmarkEnd w:id="378"/>
    </w:p>
    <w:p>
      <w:pPr>
        <w:keepNext w:val="0"/>
        <w:keepLines w:val="0"/>
        <w:pageBreakBefore w:val="0"/>
        <w:widowControl w:val="0"/>
        <w:numPr>
          <w:ilvl w:val="0"/>
          <w:numId w:val="220"/>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数据是指任何以电子或者其他方式对信息的记录。</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数据合规的主要内涵包括三个方面，数据处理、数据安全、个人信息保护。</w:t>
      </w:r>
    </w:p>
    <w:p>
      <w:pPr>
        <w:keepNext w:val="0"/>
        <w:keepLines w:val="0"/>
        <w:pageBreakBefore w:val="0"/>
        <w:widowControl w:val="0"/>
        <w:numPr>
          <w:ilvl w:val="0"/>
          <w:numId w:val="221"/>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数据处理，包括数据的收集、存储、使用、加工、传输、提供、公开等。</w:t>
      </w:r>
    </w:p>
    <w:p>
      <w:pPr>
        <w:keepNext w:val="0"/>
        <w:keepLines w:val="0"/>
        <w:pageBreakBefore w:val="0"/>
        <w:widowControl w:val="0"/>
        <w:numPr>
          <w:ilvl w:val="0"/>
          <w:numId w:val="221"/>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数据安全，是指通过采取必要措施，确保数据处于有效保护和合法利用的状态，以及具备保障持续安全状态的能力。</w:t>
      </w:r>
    </w:p>
    <w:p>
      <w:pPr>
        <w:keepNext w:val="0"/>
        <w:keepLines w:val="0"/>
        <w:pageBreakBefore w:val="0"/>
        <w:widowControl w:val="0"/>
        <w:numPr>
          <w:ilvl w:val="0"/>
          <w:numId w:val="221"/>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个人信息保护是指对以电子或者其他方式记录的能够单独或者与其他信息结合识别特定自然人的各种信息，包括自然人的姓名、出生日期、身份证件号码、生物识别信息、住址、电话号码、电子邮箱、健康信息、行踪信息等进行保护，达到保密要求和安全使用。</w:t>
      </w:r>
    </w:p>
    <w:p>
      <w:pPr>
        <w:keepNext w:val="0"/>
        <w:keepLines w:val="0"/>
        <w:pageBreakBefore w:val="0"/>
        <w:widowControl w:val="0"/>
        <w:numPr>
          <w:ilvl w:val="0"/>
          <w:numId w:val="220"/>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企业数据合规指企业对于数据的收集、存储、使用、加工、传输、提供、公开、删除与数据所在地区的法律、行业规则相符合，既包括形式上使用数据合规，也包括数据内容本身的实质合规。</w:t>
      </w:r>
    </w:p>
    <w:p>
      <w:pPr>
        <w:keepNext w:val="0"/>
        <w:keepLines w:val="0"/>
        <w:pageBreakBefore w:val="0"/>
        <w:widowControl w:val="0"/>
        <w:numPr>
          <w:ilvl w:val="0"/>
          <w:numId w:val="220"/>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开展数据处理活动，应当遵守法律、法规，尊重社会公德和伦理，遵守商业道德和职业道德，诚实守信，履行数据安全保护义务，承担社会责任，不得危害国家安全、公共利益，不得损害个人、组织的合法权益。</w:t>
      </w:r>
    </w:p>
    <w:p>
      <w:pPr>
        <w:keepNext w:val="0"/>
        <w:keepLines w:val="0"/>
        <w:pageBreakBefore w:val="0"/>
        <w:widowControl w:val="0"/>
        <w:numPr>
          <w:ilvl w:val="0"/>
          <w:numId w:val="220"/>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应当按照我国网络安全等级保护制度的要求，履行安全保障义务，保障网络免受干扰、破坏或者未经授权的访问，使网络处于稳定可靠运行的状态，以及保障企业数据的完整性、保密性、可用性，并防止数据泄露或者被窃取、篡改。</w:t>
      </w:r>
    </w:p>
    <w:p>
      <w:pPr>
        <w:pStyle w:val="3"/>
        <w:keepNext w:val="0"/>
        <w:keepLines w:val="0"/>
        <w:pageBreakBefore w:val="0"/>
        <w:widowControl w:val="0"/>
        <w:wordWrap/>
        <w:bidi w:val="0"/>
        <w:spacing w:before="0" w:after="0" w:line="500" w:lineRule="exact"/>
        <w:ind w:firstLine="522" w:firstLineChars="200"/>
        <w:jc w:val="both"/>
        <w:rPr>
          <w:rFonts w:hint="eastAsia" w:ascii="仿宋" w:hAnsi="仿宋" w:eastAsia="仿宋" w:cs="仿宋"/>
          <w:color w:val="000000"/>
          <w:sz w:val="28"/>
          <w:szCs w:val="28"/>
        </w:rPr>
      </w:pPr>
      <w:bookmarkStart w:id="379" w:name="_Toc76134368"/>
      <w:r>
        <w:rPr>
          <w:rFonts w:hint="eastAsia" w:ascii="仿宋" w:hAnsi="仿宋" w:eastAsia="仿宋" w:cs="仿宋"/>
          <w:color w:val="000000"/>
          <w:sz w:val="28"/>
          <w:szCs w:val="28"/>
        </w:rPr>
        <w:t>第三条  律师企业数据合规业务的定义及内容</w:t>
      </w:r>
      <w:bookmarkEnd w:id="379"/>
    </w:p>
    <w:p>
      <w:pPr>
        <w:keepNext w:val="0"/>
        <w:keepLines w:val="0"/>
        <w:pageBreakBefore w:val="0"/>
        <w:widowControl w:val="0"/>
        <w:numPr>
          <w:ilvl w:val="0"/>
          <w:numId w:val="222"/>
        </w:numPr>
        <w:wordWrap/>
        <w:bidi w:val="0"/>
        <w:spacing w:after="0" w:line="500" w:lineRule="exact"/>
        <w:jc w:val="both"/>
        <w:rPr>
          <w:rFonts w:hint="eastAsia" w:ascii="仿宋" w:hAnsi="仿宋" w:eastAsia="仿宋" w:cs="仿宋"/>
          <w:b/>
          <w:bCs/>
          <w:color w:val="000000"/>
          <w:sz w:val="28"/>
          <w:szCs w:val="28"/>
        </w:rPr>
      </w:pPr>
      <w:r>
        <w:rPr>
          <w:rFonts w:hint="eastAsia" w:ascii="仿宋" w:hAnsi="仿宋" w:eastAsia="仿宋" w:cs="仿宋"/>
          <w:b/>
          <w:bCs/>
          <w:color w:val="000000"/>
          <w:sz w:val="28"/>
          <w:szCs w:val="28"/>
        </w:rPr>
        <w:t>律师企业数据合规业务定义</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律师承办企业数据合规业务是指律师接受客户委托，为目标企业数据合规体系的建立和完善提供法律服务的执业行为。</w:t>
      </w:r>
    </w:p>
    <w:p>
      <w:pPr>
        <w:keepNext w:val="0"/>
        <w:keepLines w:val="0"/>
        <w:pageBreakBefore w:val="0"/>
        <w:widowControl w:val="0"/>
        <w:numPr>
          <w:ilvl w:val="0"/>
          <w:numId w:val="222"/>
        </w:numPr>
        <w:wordWrap/>
        <w:bidi w:val="0"/>
        <w:spacing w:after="0" w:line="500" w:lineRule="exact"/>
        <w:jc w:val="both"/>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企业数据合规业务的内容</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律师的企业数据合规业务主要包括有效数据合规体系的打造、合规调查、行政监管和刑事调查的应对业务等板块。</w:t>
      </w:r>
    </w:p>
    <w:p>
      <w:pPr>
        <w:keepNext w:val="0"/>
        <w:keepLines w:val="0"/>
        <w:pageBreakBefore w:val="0"/>
        <w:widowControl w:val="0"/>
        <w:numPr>
          <w:ilvl w:val="0"/>
          <w:numId w:val="223"/>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有效企业数据合规体系的打造。相关业务形式可以包括两种：一是从无到有帮助企业制定数据合规计划，二是协助企业补充完善已有的数据合规计划。</w:t>
      </w:r>
    </w:p>
    <w:p>
      <w:pPr>
        <w:keepNext w:val="0"/>
        <w:keepLines w:val="0"/>
        <w:pageBreakBefore w:val="0"/>
        <w:widowControl w:val="0"/>
        <w:numPr>
          <w:ilvl w:val="0"/>
          <w:numId w:val="223"/>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企业数据合规调查是指企业数据合规尽职调查、合规内部调查、反舞弊调查，其最终所形成的合规尽职调查报告、合规内部调查报告、反舞弊调查报告就成为律师提供数据合规服务的产品终端。</w:t>
      </w:r>
    </w:p>
    <w:p>
      <w:pPr>
        <w:keepNext w:val="0"/>
        <w:keepLines w:val="0"/>
        <w:pageBreakBefore w:val="0"/>
        <w:widowControl w:val="0"/>
        <w:numPr>
          <w:ilvl w:val="0"/>
          <w:numId w:val="223"/>
        </w:numPr>
        <w:wordWrap/>
        <w:bidi w:val="0"/>
        <w:spacing w:after="0" w:line="500" w:lineRule="exact"/>
        <w:ind w:firstLine="522" w:firstLineChars="200"/>
        <w:jc w:val="both"/>
        <w:rPr>
          <w:rFonts w:hint="eastAsia" w:ascii="仿宋" w:hAnsi="仿宋" w:eastAsia="仿宋" w:cs="仿宋"/>
          <w:color w:val="000000"/>
          <w:sz w:val="28"/>
          <w:szCs w:val="28"/>
        </w:rPr>
      </w:pPr>
      <w:r>
        <w:rPr>
          <w:rFonts w:hint="eastAsia" w:ascii="仿宋_GB2312" w:hAnsi="仿宋" w:eastAsia="仿宋_GB2312" w:cs="仿宋"/>
          <w:color w:val="000000"/>
          <w:sz w:val="28"/>
          <w:szCs w:val="28"/>
        </w:rPr>
        <w:t>行政监管和刑事调查的应对业务。该项业务集中于两个环节，一是企业因数据合规问题而导致的行政监管以及处罚时的代理业务，二是公安机关介入后的刑事案件辩护业务。</w:t>
      </w:r>
    </w:p>
    <w:p>
      <w:pPr>
        <w:pStyle w:val="2"/>
        <w:keepNext w:val="0"/>
        <w:keepLines w:val="0"/>
        <w:pageBreakBefore w:val="0"/>
        <w:widowControl w:val="0"/>
        <w:wordWrap/>
        <w:bidi w:val="0"/>
        <w:spacing w:before="0" w:after="0" w:line="500" w:lineRule="exact"/>
        <w:jc w:val="center"/>
        <w:rPr>
          <w:rFonts w:hint="eastAsia" w:ascii="黑体" w:hAnsi="黑体" w:eastAsia="黑体" w:cs="黑体"/>
          <w:b w:val="0"/>
          <w:bCs/>
          <w:color w:val="000000"/>
          <w:sz w:val="28"/>
          <w:szCs w:val="28"/>
        </w:rPr>
      </w:pPr>
      <w:bookmarkStart w:id="380" w:name="_Toc76134369"/>
      <w:bookmarkStart w:id="381" w:name="_Toc30070"/>
      <w:r>
        <w:rPr>
          <w:rFonts w:hint="eastAsia" w:ascii="黑体" w:hAnsi="黑体" w:eastAsia="黑体" w:cs="黑体"/>
          <w:b w:val="0"/>
          <w:bCs/>
          <w:color w:val="000000"/>
          <w:sz w:val="28"/>
          <w:szCs w:val="28"/>
        </w:rPr>
        <w:t>第二章  企业数据合规体系的建立</w:t>
      </w:r>
      <w:bookmarkEnd w:id="380"/>
      <w:bookmarkEnd w:id="381"/>
    </w:p>
    <w:p>
      <w:pPr>
        <w:pStyle w:val="3"/>
        <w:keepNext w:val="0"/>
        <w:keepLines w:val="0"/>
        <w:pageBreakBefore w:val="0"/>
        <w:widowControl w:val="0"/>
        <w:wordWrap/>
        <w:bidi w:val="0"/>
        <w:spacing w:before="0" w:after="0" w:line="500" w:lineRule="exact"/>
        <w:ind w:firstLine="522" w:firstLineChars="200"/>
        <w:jc w:val="both"/>
        <w:rPr>
          <w:rFonts w:hint="eastAsia" w:ascii="仿宋" w:hAnsi="仿宋" w:eastAsia="仿宋" w:cs="仿宋"/>
          <w:color w:val="000000"/>
          <w:sz w:val="28"/>
          <w:szCs w:val="28"/>
        </w:rPr>
      </w:pPr>
      <w:bookmarkStart w:id="382" w:name="_Toc76134370"/>
      <w:r>
        <w:rPr>
          <w:rFonts w:hint="eastAsia" w:ascii="仿宋" w:hAnsi="仿宋" w:eastAsia="仿宋" w:cs="仿宋"/>
          <w:color w:val="000000"/>
          <w:sz w:val="28"/>
          <w:szCs w:val="28"/>
        </w:rPr>
        <w:t>第四条  企业数据合规体系的建立</w:t>
      </w:r>
      <w:bookmarkEnd w:id="382"/>
    </w:p>
    <w:p>
      <w:pPr>
        <w:keepNext w:val="0"/>
        <w:keepLines w:val="0"/>
        <w:pageBreakBefore w:val="0"/>
        <w:widowControl w:val="0"/>
        <w:numPr>
          <w:ilvl w:val="0"/>
          <w:numId w:val="224"/>
        </w:numPr>
        <w:wordWrap/>
        <w:bidi w:val="0"/>
        <w:spacing w:after="0" w:line="500" w:lineRule="exact"/>
        <w:jc w:val="both"/>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一个有效的企业数据合规体系一般包含合规组织体系、合规政策、数据分级管理与保护制度。</w:t>
      </w:r>
    </w:p>
    <w:p>
      <w:pPr>
        <w:keepNext w:val="0"/>
        <w:keepLines w:val="0"/>
        <w:pageBreakBefore w:val="0"/>
        <w:widowControl w:val="0"/>
        <w:numPr>
          <w:ilvl w:val="0"/>
          <w:numId w:val="224"/>
        </w:numPr>
        <w:wordWrap/>
        <w:bidi w:val="0"/>
        <w:spacing w:after="0" w:line="500" w:lineRule="exact"/>
        <w:jc w:val="both"/>
        <w:rPr>
          <w:rFonts w:hint="eastAsia" w:ascii="仿宋" w:hAnsi="仿宋" w:eastAsia="仿宋" w:cs="仿宋"/>
          <w:b/>
          <w:bCs/>
          <w:color w:val="000000"/>
          <w:sz w:val="28"/>
          <w:szCs w:val="28"/>
        </w:rPr>
      </w:pPr>
      <w:r>
        <w:rPr>
          <w:rFonts w:hint="eastAsia" w:ascii="仿宋" w:hAnsi="仿宋" w:eastAsia="仿宋" w:cs="仿宋"/>
          <w:b/>
          <w:bCs/>
          <w:color w:val="000000"/>
          <w:sz w:val="28"/>
          <w:szCs w:val="28"/>
        </w:rPr>
        <w:t>合规组织体系</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应根据自身数据收集、存储、使用等数据处理状况，考量数据安全问题、数据不合规使用等情形给数据主体造成的损害，设置企业内部的合规组织系统，采取必要的保障措施，以便符合数据安全、个人信息保护相关法律法规的要求以保障数据主体的权利。</w:t>
      </w:r>
    </w:p>
    <w:p>
      <w:pPr>
        <w:keepNext w:val="0"/>
        <w:keepLines w:val="0"/>
        <w:pageBreakBefore w:val="0"/>
        <w:widowControl w:val="0"/>
        <w:numPr>
          <w:ilvl w:val="0"/>
          <w:numId w:val="225"/>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建立企业数据合规组织体系，通常指企业按照规模、层级设置的合规委员会、首席合规官、合规部门、合规人员，以及明确部门与相关岗位的职责和总体要求。</w:t>
      </w:r>
    </w:p>
    <w:p>
      <w:pPr>
        <w:keepNext w:val="0"/>
        <w:keepLines w:val="0"/>
        <w:pageBreakBefore w:val="0"/>
        <w:widowControl w:val="0"/>
        <w:numPr>
          <w:ilvl w:val="0"/>
          <w:numId w:val="225"/>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企业合规负责人应由具有相关管理工作经历和个人信息保护专业知识的人员担任，参与有关个人信息处理活动的重要决策直接向企业法定代表人或主要负责人报告企业数据合规工作。</w:t>
      </w:r>
    </w:p>
    <w:p>
      <w:pPr>
        <w:keepNext w:val="0"/>
        <w:keepLines w:val="0"/>
        <w:pageBreakBefore w:val="0"/>
        <w:widowControl w:val="0"/>
        <w:numPr>
          <w:ilvl w:val="0"/>
          <w:numId w:val="225"/>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企业内部应当对从事企业数据合规岗位相关人员进行下列特殊规定：</w:t>
      </w:r>
    </w:p>
    <w:p>
      <w:pPr>
        <w:keepNext w:val="0"/>
        <w:keepLines w:val="0"/>
        <w:pageBreakBefore w:val="0"/>
        <w:widowControl w:val="0"/>
        <w:numPr>
          <w:ilvl w:val="0"/>
          <w:numId w:val="226"/>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应与从事企业数据处理特别是个人信息处理岗位上的相关人员签署保密协议，对大量接触个人敏感信息的人员事先进行背景审查，以了解其犯罪记录、诚信状况等，同时在其调离岗位或终止劳动合同时，也应要求事后继续履行保密义务；</w:t>
      </w:r>
    </w:p>
    <w:p>
      <w:pPr>
        <w:keepNext w:val="0"/>
        <w:keepLines w:val="0"/>
        <w:pageBreakBefore w:val="0"/>
        <w:widowControl w:val="0"/>
        <w:numPr>
          <w:ilvl w:val="0"/>
          <w:numId w:val="226"/>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应明确内部涉及企业数据处理不同岗位的安全职责，建立发生安全事件的处罚机制；</w:t>
      </w:r>
    </w:p>
    <w:p>
      <w:pPr>
        <w:keepNext w:val="0"/>
        <w:keepLines w:val="0"/>
        <w:pageBreakBefore w:val="0"/>
        <w:widowControl w:val="0"/>
        <w:numPr>
          <w:ilvl w:val="0"/>
          <w:numId w:val="226"/>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应建立相应的内部制度和政策对员工提出企业数据合规的指引和要求；</w:t>
      </w:r>
    </w:p>
    <w:p>
      <w:pPr>
        <w:keepNext w:val="0"/>
        <w:keepLines w:val="0"/>
        <w:pageBreakBefore w:val="0"/>
        <w:widowControl w:val="0"/>
        <w:numPr>
          <w:ilvl w:val="0"/>
          <w:numId w:val="226"/>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应定期或在数据合规政策发生重大变化时，对企业数据处理岗位上的相关人员开展企业数据安全专业化培训和考核，确保相关人员能熟练掌握随时变化的数据合规政策。</w:t>
      </w:r>
    </w:p>
    <w:p>
      <w:pPr>
        <w:keepNext w:val="0"/>
        <w:keepLines w:val="0"/>
        <w:pageBreakBefore w:val="0"/>
        <w:widowControl w:val="0"/>
        <w:numPr>
          <w:ilvl w:val="0"/>
          <w:numId w:val="224"/>
        </w:numPr>
        <w:wordWrap/>
        <w:bidi w:val="0"/>
        <w:spacing w:after="0" w:line="500" w:lineRule="exact"/>
        <w:jc w:val="both"/>
        <w:rPr>
          <w:rFonts w:hint="eastAsia" w:ascii="仿宋" w:hAnsi="仿宋" w:eastAsia="仿宋" w:cs="仿宋"/>
          <w:b/>
          <w:bCs/>
          <w:color w:val="000000"/>
          <w:sz w:val="28"/>
          <w:szCs w:val="28"/>
        </w:rPr>
      </w:pPr>
      <w:r>
        <w:rPr>
          <w:rFonts w:hint="eastAsia" w:ascii="仿宋" w:hAnsi="仿宋" w:eastAsia="仿宋" w:cs="仿宋"/>
          <w:b/>
          <w:bCs/>
          <w:color w:val="000000"/>
          <w:sz w:val="28"/>
          <w:szCs w:val="28"/>
        </w:rPr>
        <w:t>合规政策设计</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应根据法律、行政法规、司法解释、部门规章、部门规范性文件的规定，制定数据处理、个人信息保护、网络安全的合规政策，制定员工行为准则，清晰地界定企业经营行为的法律边界，表明企业对违法违规数据处理行为的禁止态度。</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数据合规政策的制定主要以合规管理指引和员工手册的形式，针对不同的合规风险点和合规风险领域建立不同的行为准则，以及依据特定行业中企业经常发生的违规行为而确定企业数据合规的高风险爆发点以及重点风险领域。</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对于企业数据合规重点风险领域则需要根据企业的重点岗位、重点人员、重点业务加以确定，且对每个风险领域和风险点都需要设置相应的管理规范和行为准则，为企业和员工划定行为的规范和边界。</w:t>
      </w:r>
    </w:p>
    <w:p>
      <w:pPr>
        <w:keepNext w:val="0"/>
        <w:keepLines w:val="0"/>
        <w:pageBreakBefore w:val="0"/>
        <w:widowControl w:val="0"/>
        <w:numPr>
          <w:ilvl w:val="0"/>
          <w:numId w:val="224"/>
        </w:numPr>
        <w:wordWrap/>
        <w:bidi w:val="0"/>
        <w:spacing w:after="0" w:line="500" w:lineRule="exact"/>
        <w:jc w:val="both"/>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数据分级管理与保护制度</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应当建立数据分类分级保护制度，根据数据的重要程度，以及一旦遭到篡改、破坏、泄露或者非法获取、非法利用，对国家安全、社会公共利益或者企业自身、个人、其他组织合法权益造成的危害程度，对数据实行分类分级保护。</w:t>
      </w:r>
    </w:p>
    <w:p>
      <w:pPr>
        <w:keepNext w:val="0"/>
        <w:keepLines w:val="0"/>
        <w:pageBreakBefore w:val="0"/>
        <w:widowControl w:val="0"/>
        <w:numPr>
          <w:ilvl w:val="0"/>
          <w:numId w:val="227"/>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确立数据分级的目标和原则；</w:t>
      </w:r>
    </w:p>
    <w:p>
      <w:pPr>
        <w:keepNext w:val="0"/>
        <w:keepLines w:val="0"/>
        <w:pageBreakBefore w:val="0"/>
        <w:widowControl w:val="0"/>
        <w:numPr>
          <w:ilvl w:val="0"/>
          <w:numId w:val="227"/>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明确数据分级工作涉及的角色、部门及相关职责；</w:t>
      </w:r>
    </w:p>
    <w:p>
      <w:pPr>
        <w:keepNext w:val="0"/>
        <w:keepLines w:val="0"/>
        <w:pageBreakBefore w:val="0"/>
        <w:widowControl w:val="0"/>
        <w:numPr>
          <w:ilvl w:val="0"/>
          <w:numId w:val="227"/>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明确数据分级的方法和具体要求；</w:t>
      </w:r>
    </w:p>
    <w:p>
      <w:pPr>
        <w:keepNext w:val="0"/>
        <w:keepLines w:val="0"/>
        <w:pageBreakBefore w:val="0"/>
        <w:widowControl w:val="0"/>
        <w:numPr>
          <w:ilvl w:val="0"/>
          <w:numId w:val="227"/>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确立数据分级的日常管理流程和操作规程，以及分级结果的确定、评审、批准、发布和变更机制；</w:t>
      </w:r>
    </w:p>
    <w:p>
      <w:pPr>
        <w:keepNext w:val="0"/>
        <w:keepLines w:val="0"/>
        <w:pageBreakBefore w:val="0"/>
        <w:widowControl w:val="0"/>
        <w:numPr>
          <w:ilvl w:val="0"/>
          <w:numId w:val="227"/>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制定数据分级管理相关绩效考核和评价机制；</w:t>
      </w:r>
    </w:p>
    <w:p>
      <w:pPr>
        <w:pStyle w:val="2"/>
        <w:keepNext w:val="0"/>
        <w:keepLines w:val="0"/>
        <w:pageBreakBefore w:val="0"/>
        <w:widowControl w:val="0"/>
        <w:wordWrap/>
        <w:bidi w:val="0"/>
        <w:spacing w:before="0" w:after="0" w:line="500" w:lineRule="exact"/>
        <w:jc w:val="center"/>
        <w:rPr>
          <w:rFonts w:hint="eastAsia" w:ascii="黑体" w:hAnsi="黑体" w:eastAsia="黑体" w:cs="黑体"/>
          <w:b w:val="0"/>
          <w:bCs/>
          <w:color w:val="000000"/>
          <w:sz w:val="28"/>
          <w:szCs w:val="28"/>
        </w:rPr>
      </w:pPr>
      <w:bookmarkStart w:id="383" w:name="_Toc76134371"/>
      <w:bookmarkStart w:id="384" w:name="_Toc21131"/>
      <w:r>
        <w:rPr>
          <w:rFonts w:hint="eastAsia" w:ascii="黑体" w:hAnsi="黑体" w:eastAsia="黑体" w:cs="黑体"/>
          <w:b w:val="0"/>
          <w:bCs/>
          <w:color w:val="000000"/>
          <w:sz w:val="28"/>
          <w:szCs w:val="28"/>
        </w:rPr>
        <w:t>第三章  数据全生命周期合规要求</w:t>
      </w:r>
      <w:bookmarkEnd w:id="383"/>
      <w:bookmarkEnd w:id="384"/>
    </w:p>
    <w:p>
      <w:pPr>
        <w:pStyle w:val="3"/>
        <w:keepNext w:val="0"/>
        <w:keepLines w:val="0"/>
        <w:pageBreakBefore w:val="0"/>
        <w:widowControl w:val="0"/>
        <w:wordWrap/>
        <w:bidi w:val="0"/>
        <w:spacing w:before="0" w:after="0" w:line="500" w:lineRule="exact"/>
        <w:ind w:firstLine="522" w:firstLineChars="200"/>
        <w:jc w:val="both"/>
        <w:rPr>
          <w:rFonts w:hint="eastAsia" w:ascii="仿宋" w:hAnsi="仿宋" w:eastAsia="仿宋" w:cs="仿宋"/>
          <w:color w:val="000000"/>
          <w:sz w:val="28"/>
          <w:szCs w:val="28"/>
        </w:rPr>
      </w:pPr>
      <w:bookmarkStart w:id="385" w:name="_Toc76134372"/>
      <w:r>
        <w:rPr>
          <w:rFonts w:hint="eastAsia" w:ascii="仿宋" w:hAnsi="仿宋" w:eastAsia="仿宋" w:cs="仿宋"/>
          <w:color w:val="000000"/>
          <w:sz w:val="28"/>
          <w:szCs w:val="28"/>
        </w:rPr>
        <w:t>第五条  数据全生命周期</w:t>
      </w:r>
      <w:bookmarkEnd w:id="385"/>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数据全生命周期，是指数据从产生，经过数据收集、数据传输、数据存储、数据使用（包括计算、分析、可视化等）、数据交换，直至数据销毁等各种生存形态的演变过程。</w:t>
      </w:r>
    </w:p>
    <w:p>
      <w:pPr>
        <w:pStyle w:val="3"/>
        <w:keepNext w:val="0"/>
        <w:keepLines w:val="0"/>
        <w:pageBreakBefore w:val="0"/>
        <w:widowControl w:val="0"/>
        <w:wordWrap/>
        <w:bidi w:val="0"/>
        <w:spacing w:before="0" w:after="0" w:line="500" w:lineRule="exact"/>
        <w:ind w:firstLine="522" w:firstLineChars="200"/>
        <w:jc w:val="both"/>
        <w:rPr>
          <w:rFonts w:hint="eastAsia" w:ascii="仿宋" w:hAnsi="仿宋" w:eastAsia="仿宋" w:cs="仿宋"/>
          <w:color w:val="000000"/>
          <w:sz w:val="28"/>
          <w:szCs w:val="28"/>
        </w:rPr>
      </w:pPr>
      <w:bookmarkStart w:id="386" w:name="_Toc76134373"/>
      <w:r>
        <w:rPr>
          <w:rFonts w:hint="eastAsia" w:ascii="仿宋" w:hAnsi="仿宋" w:eastAsia="仿宋" w:cs="仿宋"/>
          <w:color w:val="000000"/>
          <w:sz w:val="28"/>
          <w:szCs w:val="28"/>
        </w:rPr>
        <w:t>第六条  数据收集合规要求</w:t>
      </w:r>
      <w:bookmarkEnd w:id="386"/>
    </w:p>
    <w:p>
      <w:pPr>
        <w:keepNext w:val="0"/>
        <w:keepLines w:val="0"/>
        <w:pageBreakBefore w:val="0"/>
        <w:widowControl w:val="0"/>
        <w:numPr>
          <w:ilvl w:val="0"/>
          <w:numId w:val="228"/>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数据收集是收集者获得数据控制权的行为，包括由数据主体主动提供、通过与数据主体交互或记录数据主体的行为等自动收集行为，以及通过共享、购买、收集公开信息等间接方式收集数据等行为。</w:t>
      </w:r>
    </w:p>
    <w:p>
      <w:pPr>
        <w:keepNext w:val="0"/>
        <w:keepLines w:val="0"/>
        <w:pageBreakBefore w:val="0"/>
        <w:widowControl w:val="0"/>
        <w:numPr>
          <w:ilvl w:val="0"/>
          <w:numId w:val="228"/>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数据收集的主要方式</w:t>
      </w:r>
    </w:p>
    <w:p>
      <w:pPr>
        <w:keepNext w:val="0"/>
        <w:keepLines w:val="0"/>
        <w:pageBreakBefore w:val="0"/>
        <w:widowControl w:val="0"/>
        <w:numPr>
          <w:ilvl w:val="0"/>
          <w:numId w:val="229"/>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收集者通过与数据主体交互或记录数据主体行为而直接、主动地收集数据，此种方式常见于企业通过App采集和web端采集收集个人用户的数据，包括个人身份信息、交易信息、财产信息、地理位置信息、健康信息、行踪信息等。</w:t>
      </w:r>
    </w:p>
    <w:p>
      <w:pPr>
        <w:keepNext w:val="0"/>
        <w:keepLines w:val="0"/>
        <w:pageBreakBefore w:val="0"/>
        <w:widowControl w:val="0"/>
        <w:numPr>
          <w:ilvl w:val="0"/>
          <w:numId w:val="229"/>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数据收集者从公开或半公开的互联网平台收集数据，使用该种方式收集数据主要是通过爬虫技术或API等方式从公开或半公开的互联网平台收集数据。</w:t>
      </w:r>
    </w:p>
    <w:p>
      <w:pPr>
        <w:keepNext w:val="0"/>
        <w:keepLines w:val="0"/>
        <w:pageBreakBefore w:val="0"/>
        <w:widowControl w:val="0"/>
        <w:numPr>
          <w:ilvl w:val="0"/>
          <w:numId w:val="229"/>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数据收集者通过与第三方共享、购买的方式收集数据。应当审查第三方对数据是否具有所有权，以及审查第三方收集数据的方式是否合法、合规。</w:t>
      </w:r>
    </w:p>
    <w:p>
      <w:pPr>
        <w:keepNext w:val="0"/>
        <w:keepLines w:val="0"/>
        <w:pageBreakBefore w:val="0"/>
        <w:widowControl w:val="0"/>
        <w:numPr>
          <w:ilvl w:val="0"/>
          <w:numId w:val="228"/>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数据收集的基本原则</w:t>
      </w:r>
    </w:p>
    <w:p>
      <w:pPr>
        <w:keepNext w:val="0"/>
        <w:keepLines w:val="0"/>
        <w:pageBreakBefore w:val="0"/>
        <w:widowControl w:val="0"/>
        <w:numPr>
          <w:ilvl w:val="0"/>
          <w:numId w:val="230"/>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合法、知情同意、必要、安全、禁止泄漏原则。</w:t>
      </w:r>
    </w:p>
    <w:p>
      <w:pPr>
        <w:pStyle w:val="26"/>
        <w:keepNext w:val="0"/>
        <w:keepLines w:val="0"/>
        <w:pageBreakBefore w:val="0"/>
        <w:widowControl w:val="0"/>
        <w:numPr>
          <w:ilvl w:val="0"/>
          <w:numId w:val="230"/>
        </w:numPr>
        <w:wordWrap/>
        <w:bidi w:val="0"/>
        <w:spacing w:line="500" w:lineRule="exact"/>
        <w:ind w:firstLine="52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企业收集数据，应当采取合法、正当的方式，不得窃取或者以其他非法方式获取数据。</w:t>
      </w:r>
    </w:p>
    <w:p>
      <w:pPr>
        <w:keepNext w:val="0"/>
        <w:keepLines w:val="0"/>
        <w:pageBreakBefore w:val="0"/>
        <w:widowControl w:val="0"/>
        <w:numPr>
          <w:ilvl w:val="0"/>
          <w:numId w:val="230"/>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企业应当向数据主体公开收集数据的规则，明示收集数据的目的、用途、方式、范围、采集源、采集渠道等内容，且应获得数据主体的同意和授权，。</w:t>
      </w:r>
    </w:p>
    <w:p>
      <w:pPr>
        <w:keepNext w:val="0"/>
        <w:keepLines w:val="0"/>
        <w:pageBreakBefore w:val="0"/>
        <w:widowControl w:val="0"/>
        <w:numPr>
          <w:ilvl w:val="0"/>
          <w:numId w:val="230"/>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企业不应收集与提供产品、服务无关的数据，不应当超范围收集数据。</w:t>
      </w:r>
    </w:p>
    <w:p>
      <w:pPr>
        <w:keepNext w:val="0"/>
        <w:keepLines w:val="0"/>
        <w:pageBreakBefore w:val="0"/>
        <w:widowControl w:val="0"/>
        <w:numPr>
          <w:ilvl w:val="0"/>
          <w:numId w:val="230"/>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企业应保障所收集数据的安全，并落实相应数据安全等级保护要求。</w:t>
      </w:r>
    </w:p>
    <w:p>
      <w:pPr>
        <w:keepNext w:val="0"/>
        <w:keepLines w:val="0"/>
        <w:pageBreakBefore w:val="0"/>
        <w:widowControl w:val="0"/>
        <w:numPr>
          <w:ilvl w:val="0"/>
          <w:numId w:val="230"/>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数据收集者应对所收集的数据严格保密，不得泄露、篡改、损毁，不得擅自出售或者非法向他人提供。</w:t>
      </w:r>
    </w:p>
    <w:p>
      <w:pPr>
        <w:pStyle w:val="3"/>
        <w:keepNext w:val="0"/>
        <w:keepLines w:val="0"/>
        <w:pageBreakBefore w:val="0"/>
        <w:widowControl w:val="0"/>
        <w:wordWrap/>
        <w:bidi w:val="0"/>
        <w:spacing w:before="0" w:after="0" w:line="500" w:lineRule="exact"/>
        <w:ind w:firstLine="522" w:firstLineChars="200"/>
        <w:jc w:val="both"/>
        <w:rPr>
          <w:rFonts w:hint="eastAsia" w:ascii="仿宋" w:hAnsi="仿宋" w:eastAsia="仿宋" w:cs="仿宋"/>
          <w:color w:val="000000"/>
          <w:sz w:val="28"/>
          <w:szCs w:val="28"/>
        </w:rPr>
      </w:pPr>
      <w:bookmarkStart w:id="387" w:name="_Toc76134374"/>
      <w:r>
        <w:rPr>
          <w:rFonts w:hint="eastAsia" w:ascii="仿宋" w:hAnsi="仿宋" w:eastAsia="仿宋" w:cs="仿宋"/>
          <w:color w:val="000000"/>
          <w:sz w:val="28"/>
          <w:szCs w:val="28"/>
        </w:rPr>
        <w:t>第七条  数据传输合规要求</w:t>
      </w:r>
      <w:bookmarkEnd w:id="387"/>
    </w:p>
    <w:p>
      <w:pPr>
        <w:keepNext w:val="0"/>
        <w:keepLines w:val="0"/>
        <w:pageBreakBefore w:val="0"/>
        <w:widowControl w:val="0"/>
        <w:numPr>
          <w:ilvl w:val="0"/>
          <w:numId w:val="231"/>
        </w:numPr>
        <w:wordWrap/>
        <w:bidi w:val="0"/>
        <w:spacing w:after="0" w:line="500" w:lineRule="exact"/>
        <w:jc w:val="both"/>
        <w:rPr>
          <w:rFonts w:hint="eastAsia" w:ascii="仿宋" w:hAnsi="仿宋" w:eastAsia="仿宋" w:cs="仿宋"/>
          <w:b/>
          <w:bCs/>
          <w:color w:val="000000"/>
          <w:sz w:val="28"/>
          <w:szCs w:val="28"/>
        </w:rPr>
      </w:pPr>
      <w:r>
        <w:rPr>
          <w:rFonts w:hint="eastAsia" w:ascii="仿宋" w:hAnsi="仿宋" w:eastAsia="仿宋" w:cs="仿宋"/>
          <w:b/>
          <w:bCs/>
          <w:color w:val="000000"/>
          <w:sz w:val="28"/>
          <w:szCs w:val="28"/>
        </w:rPr>
        <w:t>加密传输</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做好传输接口管控和监测，并对涉敏数据进行加密传输。</w:t>
      </w:r>
    </w:p>
    <w:p>
      <w:pPr>
        <w:keepNext w:val="0"/>
        <w:keepLines w:val="0"/>
        <w:pageBreakBefore w:val="0"/>
        <w:widowControl w:val="0"/>
        <w:numPr>
          <w:ilvl w:val="0"/>
          <w:numId w:val="231"/>
        </w:numPr>
        <w:wordWrap/>
        <w:bidi w:val="0"/>
        <w:spacing w:after="0" w:line="500" w:lineRule="exact"/>
        <w:jc w:val="both"/>
        <w:rPr>
          <w:rFonts w:hint="eastAsia" w:ascii="仿宋" w:hAnsi="仿宋" w:eastAsia="仿宋" w:cs="仿宋"/>
          <w:b/>
          <w:bCs/>
          <w:color w:val="000000"/>
          <w:sz w:val="28"/>
          <w:szCs w:val="28"/>
        </w:rPr>
      </w:pPr>
      <w:r>
        <w:rPr>
          <w:rFonts w:hint="eastAsia" w:ascii="仿宋" w:hAnsi="仿宋" w:eastAsia="仿宋" w:cs="仿宋"/>
          <w:b/>
          <w:bCs/>
          <w:color w:val="000000"/>
          <w:sz w:val="28"/>
          <w:szCs w:val="28"/>
        </w:rPr>
        <w:t>制度流程</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建立数据传输安全管理规范，明确数据传输安全要求，确定需要对数据传输加密的场景。由于加密技术的实现都依赖密钥，所以需要建立密钥管理安全规范，明确密钥生成、分发、存取、更新、备份和销毁的流程和要求。</w:t>
      </w:r>
    </w:p>
    <w:p>
      <w:pPr>
        <w:pStyle w:val="3"/>
        <w:keepNext w:val="0"/>
        <w:keepLines w:val="0"/>
        <w:pageBreakBefore w:val="0"/>
        <w:widowControl w:val="0"/>
        <w:wordWrap/>
        <w:bidi w:val="0"/>
        <w:spacing w:before="0" w:after="0" w:line="500" w:lineRule="exact"/>
        <w:ind w:firstLine="522" w:firstLineChars="200"/>
        <w:jc w:val="both"/>
        <w:rPr>
          <w:rFonts w:hint="eastAsia" w:ascii="仿宋" w:hAnsi="仿宋" w:eastAsia="仿宋" w:cs="仿宋"/>
          <w:color w:val="000000"/>
          <w:sz w:val="28"/>
          <w:szCs w:val="28"/>
        </w:rPr>
      </w:pPr>
      <w:bookmarkStart w:id="388" w:name="_Toc76134375"/>
      <w:r>
        <w:rPr>
          <w:rFonts w:hint="eastAsia" w:ascii="仿宋" w:hAnsi="仿宋" w:eastAsia="仿宋" w:cs="仿宋"/>
          <w:color w:val="000000"/>
          <w:sz w:val="28"/>
          <w:szCs w:val="28"/>
        </w:rPr>
        <w:t>第八条  数据存储合规要求</w:t>
      </w:r>
      <w:bookmarkEnd w:id="388"/>
    </w:p>
    <w:p>
      <w:pPr>
        <w:keepNext w:val="0"/>
        <w:keepLines w:val="0"/>
        <w:pageBreakBefore w:val="0"/>
        <w:widowControl w:val="0"/>
        <w:numPr>
          <w:ilvl w:val="0"/>
          <w:numId w:val="232"/>
        </w:numPr>
        <w:wordWrap/>
        <w:bidi w:val="0"/>
        <w:spacing w:after="0" w:line="500" w:lineRule="exact"/>
        <w:jc w:val="both"/>
        <w:rPr>
          <w:rFonts w:hint="eastAsia" w:ascii="仿宋" w:hAnsi="仿宋" w:eastAsia="仿宋" w:cs="仿宋"/>
          <w:b/>
          <w:bCs/>
          <w:color w:val="000000"/>
          <w:sz w:val="28"/>
          <w:szCs w:val="28"/>
        </w:rPr>
      </w:pPr>
      <w:r>
        <w:rPr>
          <w:rFonts w:hint="eastAsia" w:ascii="仿宋" w:hAnsi="仿宋" w:eastAsia="仿宋" w:cs="仿宋"/>
          <w:b/>
          <w:bCs/>
          <w:color w:val="000000"/>
          <w:sz w:val="28"/>
          <w:szCs w:val="28"/>
        </w:rPr>
        <w:t>重要数据境内存储</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关键信息基础设施的企业在中华人民共和国境内运营中收集和产生的个人信息和重要数据应当在境内存储。因业务需要，确需向境外提供的，应当按照国家网信部门会同国务院有关部门制定的办法进行安全评估。</w:t>
      </w:r>
    </w:p>
    <w:p>
      <w:pPr>
        <w:keepNext w:val="0"/>
        <w:keepLines w:val="0"/>
        <w:pageBreakBefore w:val="0"/>
        <w:widowControl w:val="0"/>
        <w:numPr>
          <w:ilvl w:val="0"/>
          <w:numId w:val="232"/>
        </w:numPr>
        <w:wordWrap/>
        <w:bidi w:val="0"/>
        <w:spacing w:after="0" w:line="500" w:lineRule="exact"/>
        <w:jc w:val="both"/>
        <w:rPr>
          <w:rFonts w:hint="eastAsia" w:ascii="仿宋" w:hAnsi="仿宋" w:eastAsia="仿宋" w:cs="仿宋"/>
          <w:b/>
          <w:bCs/>
          <w:color w:val="000000"/>
          <w:sz w:val="28"/>
          <w:szCs w:val="28"/>
        </w:rPr>
      </w:pPr>
      <w:r>
        <w:rPr>
          <w:rFonts w:hint="eastAsia" w:ascii="仿宋" w:hAnsi="仿宋" w:eastAsia="仿宋" w:cs="仿宋"/>
          <w:b/>
          <w:bCs/>
          <w:color w:val="000000"/>
          <w:sz w:val="28"/>
          <w:szCs w:val="28"/>
        </w:rPr>
        <w:t>存储期限</w:t>
      </w:r>
    </w:p>
    <w:p>
      <w:pPr>
        <w:keepNext w:val="0"/>
        <w:keepLines w:val="0"/>
        <w:pageBreakBefore w:val="0"/>
        <w:widowControl w:val="0"/>
        <w:numPr>
          <w:ilvl w:val="0"/>
          <w:numId w:val="233"/>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根据《网络安全法》、《互联网安全保护技术措施规定》、《互联网信息服务管理办法》、《互联网电子邮件服务管理办法》、《网络出版服务管理规定》等规定，企业应当保留网络日志至少6个月。</w:t>
      </w:r>
    </w:p>
    <w:p>
      <w:pPr>
        <w:keepNext w:val="0"/>
        <w:keepLines w:val="0"/>
        <w:pageBreakBefore w:val="0"/>
        <w:widowControl w:val="0"/>
        <w:numPr>
          <w:ilvl w:val="0"/>
          <w:numId w:val="233"/>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企业对于从用户、第三方、公开渠道获得的与用户相关的个人信息、数据进行处理的，应当在事前进行风险评估，并对处理情况进行记录，风险评估报告和处理情况记录应当至少保存三年。</w:t>
      </w:r>
    </w:p>
    <w:p>
      <w:pPr>
        <w:keepNext w:val="0"/>
        <w:keepLines w:val="0"/>
        <w:pageBreakBefore w:val="0"/>
        <w:widowControl w:val="0"/>
        <w:numPr>
          <w:ilvl w:val="0"/>
          <w:numId w:val="232"/>
        </w:numPr>
        <w:wordWrap/>
        <w:bidi w:val="0"/>
        <w:spacing w:after="0" w:line="500" w:lineRule="exact"/>
        <w:jc w:val="both"/>
        <w:rPr>
          <w:rFonts w:hint="eastAsia" w:ascii="仿宋_GB2312" w:hAnsi="仿宋" w:eastAsia="仿宋_GB2312" w:cs="仿宋"/>
          <w:b/>
          <w:bCs/>
          <w:color w:val="000000"/>
          <w:sz w:val="28"/>
          <w:szCs w:val="28"/>
        </w:rPr>
      </w:pPr>
      <w:r>
        <w:rPr>
          <w:rFonts w:hint="eastAsia" w:ascii="仿宋_GB2312" w:hAnsi="仿宋" w:eastAsia="仿宋_GB2312" w:cs="仿宋"/>
          <w:b/>
          <w:bCs/>
          <w:color w:val="000000"/>
          <w:sz w:val="28"/>
          <w:szCs w:val="28"/>
        </w:rPr>
        <w:t>存储合规要求</w:t>
      </w:r>
    </w:p>
    <w:p>
      <w:pPr>
        <w:keepNext w:val="0"/>
        <w:keepLines w:val="0"/>
        <w:pageBreakBefore w:val="0"/>
        <w:widowControl w:val="0"/>
        <w:numPr>
          <w:ilvl w:val="0"/>
          <w:numId w:val="234"/>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建立数据存储的安全策略；</w:t>
      </w:r>
    </w:p>
    <w:p>
      <w:pPr>
        <w:keepNext w:val="0"/>
        <w:keepLines w:val="0"/>
        <w:pageBreakBefore w:val="0"/>
        <w:widowControl w:val="0"/>
        <w:numPr>
          <w:ilvl w:val="0"/>
          <w:numId w:val="234"/>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建立企业内部数据存储安全管理制度；</w:t>
      </w:r>
    </w:p>
    <w:p>
      <w:pPr>
        <w:keepNext w:val="0"/>
        <w:keepLines w:val="0"/>
        <w:pageBreakBefore w:val="0"/>
        <w:widowControl w:val="0"/>
        <w:numPr>
          <w:ilvl w:val="0"/>
          <w:numId w:val="234"/>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建立加密系统；</w:t>
      </w:r>
    </w:p>
    <w:p>
      <w:pPr>
        <w:keepNext w:val="0"/>
        <w:keepLines w:val="0"/>
        <w:pageBreakBefore w:val="0"/>
        <w:widowControl w:val="0"/>
        <w:numPr>
          <w:ilvl w:val="0"/>
          <w:numId w:val="234"/>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数据丢失预防，建立备份和恢复制度；</w:t>
      </w:r>
    </w:p>
    <w:p>
      <w:pPr>
        <w:keepNext w:val="0"/>
        <w:keepLines w:val="0"/>
        <w:pageBreakBefore w:val="0"/>
        <w:widowControl w:val="0"/>
        <w:numPr>
          <w:ilvl w:val="0"/>
          <w:numId w:val="234"/>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关注企业网络安全性。</w:t>
      </w:r>
    </w:p>
    <w:p>
      <w:pPr>
        <w:pStyle w:val="3"/>
        <w:keepNext w:val="0"/>
        <w:keepLines w:val="0"/>
        <w:pageBreakBefore w:val="0"/>
        <w:widowControl w:val="0"/>
        <w:wordWrap/>
        <w:bidi w:val="0"/>
        <w:spacing w:before="0" w:after="0" w:line="500" w:lineRule="exact"/>
        <w:ind w:firstLine="522" w:firstLineChars="200"/>
        <w:jc w:val="both"/>
        <w:rPr>
          <w:rFonts w:hint="eastAsia" w:ascii="仿宋" w:hAnsi="仿宋" w:eastAsia="仿宋" w:cs="仿宋"/>
          <w:color w:val="000000"/>
          <w:sz w:val="28"/>
          <w:szCs w:val="28"/>
        </w:rPr>
      </w:pPr>
      <w:bookmarkStart w:id="389" w:name="_Toc76134376"/>
      <w:r>
        <w:rPr>
          <w:rFonts w:hint="eastAsia" w:ascii="仿宋" w:hAnsi="仿宋" w:eastAsia="仿宋" w:cs="仿宋"/>
          <w:color w:val="000000"/>
          <w:sz w:val="28"/>
          <w:szCs w:val="28"/>
        </w:rPr>
        <w:t>第九条  数据使用合规要求</w:t>
      </w:r>
      <w:bookmarkEnd w:id="389"/>
    </w:p>
    <w:p>
      <w:pPr>
        <w:keepNext w:val="0"/>
        <w:keepLines w:val="0"/>
        <w:pageBreakBefore w:val="0"/>
        <w:widowControl w:val="0"/>
        <w:numPr>
          <w:ilvl w:val="0"/>
          <w:numId w:val="235"/>
        </w:numPr>
        <w:wordWrap/>
        <w:bidi w:val="0"/>
        <w:spacing w:after="0" w:line="500" w:lineRule="exact"/>
        <w:jc w:val="both"/>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数据访问控制措施</w:t>
      </w:r>
    </w:p>
    <w:p>
      <w:pPr>
        <w:keepNext w:val="0"/>
        <w:keepLines w:val="0"/>
        <w:pageBreakBefore w:val="0"/>
        <w:widowControl w:val="0"/>
        <w:numPr>
          <w:ilvl w:val="0"/>
          <w:numId w:val="236"/>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对被授权访问数据的人员，严格遵循数据处理最小化、必要原则，明确数据的处理和使用规范。对数据进行操作时，应做好去标识化处理，明确数据脱敏的业务场景和统一使用适合的脱敏技术。</w:t>
      </w:r>
    </w:p>
    <w:p>
      <w:pPr>
        <w:keepNext w:val="0"/>
        <w:keepLines w:val="0"/>
        <w:pageBreakBefore w:val="0"/>
        <w:widowControl w:val="0"/>
        <w:numPr>
          <w:ilvl w:val="0"/>
          <w:numId w:val="236"/>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对数据的重要操作设置内部审批流程，特别是进行批量修改、拷贝、下载等重要操作。</w:t>
      </w:r>
    </w:p>
    <w:p>
      <w:pPr>
        <w:keepNext w:val="0"/>
        <w:keepLines w:val="0"/>
        <w:pageBreakBefore w:val="0"/>
        <w:widowControl w:val="0"/>
        <w:numPr>
          <w:ilvl w:val="0"/>
          <w:numId w:val="235"/>
        </w:numPr>
        <w:wordWrap/>
        <w:bidi w:val="0"/>
        <w:spacing w:after="0" w:line="500" w:lineRule="exact"/>
        <w:jc w:val="both"/>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个人信息展示</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涉及通过界面展示个人信息的（如显示屏幕、纸面），个人信息控制者宜对需展示的个人信息采取去标识化处理等措施，降低个人信息在展示环节的泄露风险。例如，在个人信息展示时，防止内部非授权人员及个人信息主体之外的其他人员未经授权获取个人信息。</w:t>
      </w:r>
    </w:p>
    <w:p>
      <w:pPr>
        <w:keepNext w:val="0"/>
        <w:keepLines w:val="0"/>
        <w:pageBreakBefore w:val="0"/>
        <w:widowControl w:val="0"/>
        <w:numPr>
          <w:ilvl w:val="0"/>
          <w:numId w:val="235"/>
        </w:numPr>
        <w:wordWrap/>
        <w:bidi w:val="0"/>
        <w:spacing w:after="0" w:line="500" w:lineRule="exact"/>
        <w:jc w:val="both"/>
        <w:rPr>
          <w:rFonts w:hint="eastAsia" w:ascii="仿宋" w:hAnsi="仿宋" w:eastAsia="仿宋" w:cs="仿宋"/>
          <w:b/>
          <w:bCs/>
          <w:color w:val="000000"/>
          <w:sz w:val="28"/>
          <w:szCs w:val="28"/>
        </w:rPr>
      </w:pPr>
      <w:r>
        <w:rPr>
          <w:rFonts w:hint="eastAsia" w:ascii="仿宋" w:hAnsi="仿宋" w:eastAsia="仿宋" w:cs="仿宋"/>
          <w:b/>
          <w:bCs/>
          <w:color w:val="000000"/>
          <w:sz w:val="28"/>
          <w:szCs w:val="28"/>
        </w:rPr>
        <w:t>用户画像</w:t>
      </w:r>
    </w:p>
    <w:p>
      <w:pPr>
        <w:keepNext w:val="0"/>
        <w:keepLines w:val="0"/>
        <w:pageBreakBefore w:val="0"/>
        <w:widowControl w:val="0"/>
        <w:numPr>
          <w:ilvl w:val="0"/>
          <w:numId w:val="237"/>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对个人信息主体的特征描述不应：</w:t>
      </w:r>
    </w:p>
    <w:p>
      <w:pPr>
        <w:keepNext w:val="0"/>
        <w:keepLines w:val="0"/>
        <w:pageBreakBefore w:val="0"/>
        <w:widowControl w:val="0"/>
        <w:numPr>
          <w:ilvl w:val="0"/>
          <w:numId w:val="238"/>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包含淫秽、色情、赌博、迷信、恐怖、暴力的内容； </w:t>
      </w:r>
    </w:p>
    <w:p>
      <w:pPr>
        <w:keepNext w:val="0"/>
        <w:keepLines w:val="0"/>
        <w:pageBreakBefore w:val="0"/>
        <w:widowControl w:val="0"/>
        <w:numPr>
          <w:ilvl w:val="0"/>
          <w:numId w:val="238"/>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表达对民族、种族、宗教、残疾、疾病歧视的内容。</w:t>
      </w:r>
    </w:p>
    <w:p>
      <w:pPr>
        <w:keepNext w:val="0"/>
        <w:keepLines w:val="0"/>
        <w:pageBreakBefore w:val="0"/>
        <w:widowControl w:val="0"/>
        <w:numPr>
          <w:ilvl w:val="0"/>
          <w:numId w:val="237"/>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在业务运营或对外业务合作中使用不应：</w:t>
      </w:r>
    </w:p>
    <w:p>
      <w:pPr>
        <w:keepNext w:val="0"/>
        <w:keepLines w:val="0"/>
        <w:pageBreakBefore w:val="0"/>
        <w:widowControl w:val="0"/>
        <w:numPr>
          <w:ilvl w:val="0"/>
          <w:numId w:val="239"/>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侵害公民、法人和其他组织的合法权益；</w:t>
      </w:r>
    </w:p>
    <w:p>
      <w:pPr>
        <w:keepNext w:val="0"/>
        <w:keepLines w:val="0"/>
        <w:pageBreakBefore w:val="0"/>
        <w:widowControl w:val="0"/>
        <w:numPr>
          <w:ilvl w:val="0"/>
          <w:numId w:val="239"/>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危害国家安全、荣誉和利益，煽动颠覆国家政权、推翻社会主义制度，煽动分裂国家、破坏国家统一，宣扬恐怖主义、极端主义，宣扬民族仇恨、民族歧视，传播暴力、淫秽色情信息，编造、传播虚假信息扰乱经济秩序和社会秩序。</w:t>
      </w:r>
    </w:p>
    <w:p>
      <w:pPr>
        <w:keepNext w:val="0"/>
        <w:keepLines w:val="0"/>
        <w:pageBreakBefore w:val="0"/>
        <w:widowControl w:val="0"/>
        <w:numPr>
          <w:ilvl w:val="0"/>
          <w:numId w:val="237"/>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除为实现个人信息主体授权同意的使用目的所必需外，使用个人信息时应消除明确身份指向性，避免精确定位到特定个人。</w:t>
      </w:r>
    </w:p>
    <w:p>
      <w:pPr>
        <w:pStyle w:val="3"/>
        <w:keepNext w:val="0"/>
        <w:keepLines w:val="0"/>
        <w:pageBreakBefore w:val="0"/>
        <w:widowControl w:val="0"/>
        <w:wordWrap/>
        <w:bidi w:val="0"/>
        <w:spacing w:before="0" w:after="0" w:line="500" w:lineRule="exact"/>
        <w:ind w:firstLine="522" w:firstLineChars="200"/>
        <w:jc w:val="both"/>
        <w:rPr>
          <w:rFonts w:hint="eastAsia" w:ascii="仿宋" w:hAnsi="仿宋" w:eastAsia="仿宋" w:cs="仿宋"/>
          <w:color w:val="000000"/>
          <w:sz w:val="28"/>
          <w:szCs w:val="28"/>
        </w:rPr>
      </w:pPr>
      <w:bookmarkStart w:id="390" w:name="_Toc76134377"/>
      <w:r>
        <w:rPr>
          <w:rFonts w:hint="eastAsia" w:ascii="仿宋" w:hAnsi="仿宋" w:eastAsia="仿宋" w:cs="仿宋"/>
          <w:color w:val="000000"/>
          <w:sz w:val="28"/>
          <w:szCs w:val="28"/>
        </w:rPr>
        <w:t>第十条  数据共享合规要求</w:t>
      </w:r>
      <w:bookmarkEnd w:id="390"/>
    </w:p>
    <w:p>
      <w:pPr>
        <w:keepNext w:val="0"/>
        <w:keepLines w:val="0"/>
        <w:pageBreakBefore w:val="0"/>
        <w:widowControl w:val="0"/>
        <w:numPr>
          <w:ilvl w:val="0"/>
          <w:numId w:val="240"/>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建立数据共享规范，共享前应进行严格的审批并存档，同时开展个人信息安全影响评估。</w:t>
      </w:r>
    </w:p>
    <w:p>
      <w:pPr>
        <w:keepNext w:val="0"/>
        <w:keepLines w:val="0"/>
        <w:pageBreakBefore w:val="0"/>
        <w:widowControl w:val="0"/>
        <w:numPr>
          <w:ilvl w:val="0"/>
          <w:numId w:val="240"/>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共享前开展风险评估（记录留存3年），与共享的接口调用方签订合作协议。</w:t>
      </w:r>
    </w:p>
    <w:p>
      <w:pPr>
        <w:keepNext w:val="0"/>
        <w:keepLines w:val="0"/>
        <w:pageBreakBefore w:val="0"/>
        <w:widowControl w:val="0"/>
        <w:numPr>
          <w:ilvl w:val="0"/>
          <w:numId w:val="240"/>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开展共享监测和审计，数据导入导出应进行严格的审批和监控，建立数据交换、共享审核流程和监管平台，以确保数据对于数据共享的所有操作和行为进行日志记录，并对高危行为进行风险识别和管控。</w:t>
      </w:r>
    </w:p>
    <w:p>
      <w:pPr>
        <w:pStyle w:val="3"/>
        <w:keepNext w:val="0"/>
        <w:keepLines w:val="0"/>
        <w:pageBreakBefore w:val="0"/>
        <w:widowControl w:val="0"/>
        <w:wordWrap/>
        <w:bidi w:val="0"/>
        <w:spacing w:before="0" w:after="0" w:line="500" w:lineRule="exact"/>
        <w:ind w:firstLine="522" w:firstLineChars="200"/>
        <w:jc w:val="both"/>
        <w:rPr>
          <w:rFonts w:hint="eastAsia" w:ascii="仿宋" w:hAnsi="仿宋" w:eastAsia="仿宋" w:cs="仿宋"/>
          <w:color w:val="000000"/>
          <w:sz w:val="28"/>
          <w:szCs w:val="28"/>
        </w:rPr>
      </w:pPr>
      <w:bookmarkStart w:id="391" w:name="_Toc76134378"/>
      <w:r>
        <w:rPr>
          <w:rFonts w:hint="eastAsia" w:ascii="仿宋" w:hAnsi="仿宋" w:eastAsia="仿宋" w:cs="仿宋"/>
          <w:color w:val="000000"/>
          <w:sz w:val="28"/>
          <w:szCs w:val="28"/>
        </w:rPr>
        <w:t>第十一条  数据删除和销毁合规要求</w:t>
      </w:r>
      <w:bookmarkEnd w:id="391"/>
    </w:p>
    <w:p>
      <w:pPr>
        <w:keepNext w:val="0"/>
        <w:keepLines w:val="0"/>
        <w:pageBreakBefore w:val="0"/>
        <w:widowControl w:val="0"/>
        <w:numPr>
          <w:ilvl w:val="0"/>
          <w:numId w:val="241"/>
        </w:numPr>
        <w:wordWrap/>
        <w:bidi w:val="0"/>
        <w:spacing w:after="0" w:line="500" w:lineRule="exact"/>
        <w:jc w:val="both"/>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数据删除和销毁</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“个人信息删除”是指：在实现日常业务功能所涉及的系统中去除个人信息的行为，使其保持不可被检索、访问的状态。</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“数据销毁”的定义：数据销毁标准用于规范数据销毁和介质销毁的安全机制和技术要求，确保存储数据永久删除、不可恢复，主要包括数据销毁、介质销毁等标准。</w:t>
      </w:r>
    </w:p>
    <w:p>
      <w:pPr>
        <w:keepNext w:val="0"/>
        <w:keepLines w:val="0"/>
        <w:pageBreakBefore w:val="0"/>
        <w:widowControl w:val="0"/>
        <w:numPr>
          <w:ilvl w:val="0"/>
          <w:numId w:val="241"/>
        </w:numPr>
        <w:wordWrap/>
        <w:bidi w:val="0"/>
        <w:spacing w:after="0" w:line="500" w:lineRule="exact"/>
        <w:jc w:val="both"/>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数据删除合规要求</w:t>
      </w:r>
    </w:p>
    <w:p>
      <w:pPr>
        <w:keepNext w:val="0"/>
        <w:keepLines w:val="0"/>
        <w:pageBreakBefore w:val="0"/>
        <w:widowControl w:val="0"/>
        <w:numPr>
          <w:ilvl w:val="0"/>
          <w:numId w:val="242"/>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企业应当删除存在如下两种情形的个人信息：</w:t>
      </w:r>
    </w:p>
    <w:p>
      <w:pPr>
        <w:keepNext w:val="0"/>
        <w:keepLines w:val="0"/>
        <w:pageBreakBefore w:val="0"/>
        <w:widowControl w:val="0"/>
        <w:numPr>
          <w:ilvl w:val="0"/>
          <w:numId w:val="243"/>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企业违反法律、行政法规的规定处理个人信息的；</w:t>
      </w:r>
    </w:p>
    <w:p>
      <w:pPr>
        <w:keepNext w:val="0"/>
        <w:keepLines w:val="0"/>
        <w:pageBreakBefore w:val="0"/>
        <w:widowControl w:val="0"/>
        <w:numPr>
          <w:ilvl w:val="0"/>
          <w:numId w:val="243"/>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企业违反与自然人之间的约定处理个人信息的。</w:t>
      </w:r>
    </w:p>
    <w:p>
      <w:pPr>
        <w:keepNext w:val="0"/>
        <w:keepLines w:val="0"/>
        <w:pageBreakBefore w:val="0"/>
        <w:widowControl w:val="0"/>
        <w:numPr>
          <w:ilvl w:val="0"/>
          <w:numId w:val="242"/>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符合以下情形，个人信息主体要求删除的，企业也应及时删除个人信息：</w:t>
      </w:r>
    </w:p>
    <w:p>
      <w:pPr>
        <w:keepNext w:val="0"/>
        <w:keepLines w:val="0"/>
        <w:pageBreakBefore w:val="0"/>
        <w:widowControl w:val="0"/>
        <w:numPr>
          <w:ilvl w:val="0"/>
          <w:numId w:val="244"/>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企业违反法律法规规定，收集、使用个人信息的；</w:t>
      </w:r>
    </w:p>
    <w:p>
      <w:pPr>
        <w:keepNext w:val="0"/>
        <w:keepLines w:val="0"/>
        <w:pageBreakBefore w:val="0"/>
        <w:widowControl w:val="0"/>
        <w:numPr>
          <w:ilvl w:val="0"/>
          <w:numId w:val="244"/>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企业违反与个人信息主体的约定，收集、使用个人信息的。</w:t>
      </w:r>
    </w:p>
    <w:p>
      <w:pPr>
        <w:keepNext w:val="0"/>
        <w:keepLines w:val="0"/>
        <w:pageBreakBefore w:val="0"/>
        <w:widowControl w:val="0"/>
        <w:numPr>
          <w:ilvl w:val="0"/>
          <w:numId w:val="244"/>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企业违反法律法规规定或违反与个人信息主体的约定向第三方共享、转让个人信息，且个人信息主体要求删除的，企业应立即停止共享、转让的行为，并通知第三方及时删除。</w:t>
      </w:r>
    </w:p>
    <w:p>
      <w:pPr>
        <w:keepNext w:val="0"/>
        <w:keepLines w:val="0"/>
        <w:pageBreakBefore w:val="0"/>
        <w:widowControl w:val="0"/>
        <w:numPr>
          <w:ilvl w:val="0"/>
          <w:numId w:val="244"/>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企业违反法律法规规定或违反与个人信息主体的约定，公开披露个人信息，且个人信息主体要求删除的，企业应立即停止公开披露的行为，并发布通知要求相关接收方删除相应的信息。</w:t>
      </w:r>
    </w:p>
    <w:p>
      <w:pPr>
        <w:keepNext w:val="0"/>
        <w:keepLines w:val="0"/>
        <w:pageBreakBefore w:val="0"/>
        <w:widowControl w:val="0"/>
        <w:numPr>
          <w:ilvl w:val="0"/>
          <w:numId w:val="241"/>
        </w:numPr>
        <w:wordWrap/>
        <w:bidi w:val="0"/>
        <w:spacing w:after="0" w:line="500" w:lineRule="exact"/>
        <w:jc w:val="both"/>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数据或介质销毁合规要求</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应建立数据销毁机制，明确存储介质删除方法，数据销毁需由企业领导审批，同时采用可靠的技术手段，确保被删除和销毁的用户个人数据不能被再次还原。针对不同的存储介质和设备有其不可逆的销毁技术及流程，建立销毁监察机制，严防数据销毁阶段可能出现的数据泄露问题。</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数据销毁包含物理层面和逻辑层面的销毁，按照处理成本、复杂性和安全性由低到高的顺序，将数据销毁方式分为以下三个级别：</w:t>
      </w:r>
    </w:p>
    <w:p>
      <w:pPr>
        <w:keepNext w:val="0"/>
        <w:keepLines w:val="0"/>
        <w:pageBreakBefore w:val="0"/>
        <w:widowControl w:val="0"/>
        <w:numPr>
          <w:ilvl w:val="0"/>
          <w:numId w:val="245"/>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数据覆盖</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数据残留可以通过数据覆盖来进行消除，由于数据覆盖可以由软件完成，企业可以有选择地部分或全部数据残留。</w:t>
      </w:r>
    </w:p>
    <w:p>
      <w:pPr>
        <w:keepNext w:val="0"/>
        <w:keepLines w:val="0"/>
        <w:pageBreakBefore w:val="0"/>
        <w:widowControl w:val="0"/>
        <w:numPr>
          <w:ilvl w:val="0"/>
          <w:numId w:val="245"/>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消磁</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消磁是指删除或减少存储磁盘或驱动器的磁场。</w:t>
      </w:r>
    </w:p>
    <w:p>
      <w:pPr>
        <w:keepNext w:val="0"/>
        <w:keepLines w:val="0"/>
        <w:pageBreakBefore w:val="0"/>
        <w:widowControl w:val="0"/>
        <w:numPr>
          <w:ilvl w:val="0"/>
          <w:numId w:val="245"/>
        </w:numPr>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物理破坏数据及其存储介质</w:t>
      </w:r>
    </w:p>
    <w:p>
      <w:pPr>
        <w:keepNext w:val="0"/>
        <w:keepLines w:val="0"/>
        <w:pageBreakBefore w:val="0"/>
        <w:widowControl w:val="0"/>
        <w:wordWrap/>
        <w:bidi w:val="0"/>
        <w:spacing w:after="0" w:line="500" w:lineRule="exact"/>
        <w:ind w:firstLine="522"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存在多种方式对数据进行物理销毁，例如磁盘粉碎、熔化或任何其他导致物理存储介质不可用和不可读的方法。</w:t>
      </w:r>
    </w:p>
    <w:p>
      <w:pPr>
        <w:keepNext w:val="0"/>
        <w:keepLines w:val="0"/>
        <w:pageBreakBefore w:val="0"/>
        <w:widowControl w:val="0"/>
        <w:wordWrap/>
        <w:bidi w:val="0"/>
        <w:spacing w:after="227" w:afterLines="50" w:line="500" w:lineRule="exact"/>
        <w:ind w:firstLine="522" w:firstLineChars="200"/>
        <w:outlineLvl w:val="0"/>
        <w:rPr>
          <w:rFonts w:ascii="仿宋_GB2312" w:hAnsi="仿宋" w:eastAsia="仿宋_GB2312"/>
          <w:color w:val="000000"/>
          <w:sz w:val="28"/>
          <w:szCs w:val="28"/>
        </w:rPr>
      </w:pPr>
      <w:r>
        <w:rPr>
          <w:rFonts w:hint="eastAsia" w:ascii="仿宋_GB2312" w:hAnsi="仿宋" w:eastAsia="仿宋_GB2312"/>
          <w:color w:val="000000"/>
          <w:sz w:val="28"/>
          <w:szCs w:val="28"/>
        </w:rPr>
        <w:br w:type="page"/>
      </w:r>
      <w:bookmarkStart w:id="392" w:name="_Toc15281"/>
      <w:bookmarkStart w:id="393" w:name="_Toc76134379"/>
      <w:r>
        <w:rPr>
          <w:rFonts w:hint="eastAsia" w:ascii="黑体" w:hAnsi="黑体" w:eastAsia="黑体" w:cs="黑体"/>
          <w:color w:val="000000"/>
          <w:sz w:val="28"/>
          <w:szCs w:val="28"/>
        </w:rPr>
        <w:t>附录1：企业数据合规相关法律法规、政策文件</w:t>
      </w:r>
      <w:bookmarkEnd w:id="392"/>
      <w:bookmarkEnd w:id="393"/>
    </w:p>
    <w:tbl>
      <w:tblPr>
        <w:tblStyle w:val="15"/>
        <w:tblW w:w="513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5"/>
        <w:gridCol w:w="662"/>
        <w:gridCol w:w="5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blHeader/>
        </w:trPr>
        <w:tc>
          <w:tcPr>
            <w:tcW w:w="1269" w:type="pct"/>
            <w:noWrap/>
            <w:vAlign w:val="center"/>
          </w:tcPr>
          <w:p>
            <w:pPr>
              <w:keepNext w:val="0"/>
              <w:keepLines w:val="0"/>
              <w:pageBreakBefore w:val="0"/>
              <w:widowControl w:val="0"/>
              <w:wordWrap/>
              <w:bidi w:val="0"/>
              <w:spacing w:before="91" w:beforeLines="20" w:after="91" w:afterLines="20" w:line="500" w:lineRule="exact"/>
              <w:jc w:val="center"/>
              <w:rPr>
                <w:rFonts w:hint="eastAsia" w:ascii="仿宋_GB2312" w:hAnsi="黑体" w:eastAsia="仿宋_GB2312" w:cs="黑体"/>
                <w:b/>
                <w:color w:val="000000"/>
                <w:sz w:val="24"/>
                <w:szCs w:val="24"/>
              </w:rPr>
            </w:pPr>
            <w:r>
              <w:rPr>
                <w:rFonts w:hint="eastAsia" w:ascii="仿宋_GB2312" w:hAnsi="黑体" w:eastAsia="仿宋_GB2312" w:cs="黑体"/>
                <w:b/>
                <w:color w:val="000000"/>
                <w:sz w:val="24"/>
                <w:szCs w:val="24"/>
              </w:rPr>
              <w:t>效力级别</w:t>
            </w:r>
          </w:p>
        </w:tc>
        <w:tc>
          <w:tcPr>
            <w:tcW w:w="425" w:type="pct"/>
            <w:noWrap/>
            <w:vAlign w:val="center"/>
          </w:tcPr>
          <w:p>
            <w:pPr>
              <w:keepNext w:val="0"/>
              <w:keepLines w:val="0"/>
              <w:pageBreakBefore w:val="0"/>
              <w:widowControl w:val="0"/>
              <w:wordWrap/>
              <w:bidi w:val="0"/>
              <w:spacing w:before="91" w:beforeLines="20" w:after="91" w:afterLines="20" w:line="500" w:lineRule="exact"/>
              <w:ind w:left="-95" w:leftChars="-50" w:right="-95" w:rightChars="-50"/>
              <w:jc w:val="center"/>
              <w:rPr>
                <w:rFonts w:hint="eastAsia" w:ascii="仿宋_GB2312" w:hAnsi="黑体" w:eastAsia="仿宋_GB2312" w:cs="黑体"/>
                <w:b/>
                <w:color w:val="000000"/>
                <w:sz w:val="24"/>
                <w:szCs w:val="24"/>
              </w:rPr>
            </w:pPr>
            <w:r>
              <w:rPr>
                <w:rFonts w:hint="eastAsia" w:ascii="仿宋_GB2312" w:hAnsi="黑体" w:eastAsia="仿宋_GB2312" w:cs="黑体"/>
                <w:b/>
                <w:color w:val="000000"/>
                <w:sz w:val="24"/>
                <w:szCs w:val="24"/>
              </w:rPr>
              <w:t>序号</w:t>
            </w:r>
          </w:p>
        </w:tc>
        <w:tc>
          <w:tcPr>
            <w:tcW w:w="3305" w:type="pct"/>
            <w:noWrap w:val="0"/>
            <w:vAlign w:val="center"/>
          </w:tcPr>
          <w:p>
            <w:pPr>
              <w:keepNext w:val="0"/>
              <w:keepLines w:val="0"/>
              <w:pageBreakBefore w:val="0"/>
              <w:widowControl w:val="0"/>
              <w:wordWrap/>
              <w:bidi w:val="0"/>
              <w:spacing w:before="91" w:beforeLines="20" w:after="91" w:afterLines="20" w:line="500" w:lineRule="exact"/>
              <w:jc w:val="center"/>
              <w:rPr>
                <w:rFonts w:hint="eastAsia" w:ascii="仿宋_GB2312" w:hAnsi="黑体" w:eastAsia="仿宋_GB2312" w:cs="黑体"/>
                <w:b/>
                <w:color w:val="000000"/>
                <w:sz w:val="24"/>
                <w:szCs w:val="24"/>
              </w:rPr>
            </w:pPr>
            <w:r>
              <w:rPr>
                <w:rFonts w:hint="eastAsia" w:ascii="仿宋_GB2312" w:hAnsi="黑体" w:eastAsia="仿宋_GB2312" w:cs="黑体"/>
                <w:b/>
                <w:color w:val="000000"/>
                <w:sz w:val="24"/>
                <w:szCs w:val="24"/>
              </w:rPr>
              <w:t>文件名称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restar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楷体" w:eastAsia="仿宋_GB2312" w:cs="楷体"/>
                <w:b/>
                <w:bCs/>
                <w:color w:val="000000"/>
                <w:sz w:val="24"/>
                <w:szCs w:val="24"/>
              </w:rPr>
              <w:t>法律</w:t>
            </w: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1</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中华人民共和国宪法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2</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中华人民共和国民法典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3</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中华人民共和国刑法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4</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中华人民共和国民事诉讼法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5</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中华人民共和国消费者权益保护法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6</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中华人民共和国网络安全法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7</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中华人民共和国数据安全法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8</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中华人民共和国证券法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9</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中华人民共和国证券投资基金法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10</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中华人民共和国电子商务法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11</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中华人民共和国广告法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12</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中华人民共和国居民身份证法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13</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中华人民共和国密码法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14</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中华人民共和国电子签名法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15</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中华人民共和国社会保险法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16</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中华人民共和国未成年人保护法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17</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中华人民共和国国家情报法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18</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中华人民共和国反恐怖主义法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19</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中华人民共和国测绘法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20</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中华人民共和国统计法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21</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中华人民共和国旅游法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22</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中华人民共和国护照法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23</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中华人民共和国治安管理处罚法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24</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中华人民共和国传染病防治法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25</w:t>
            </w:r>
          </w:p>
        </w:tc>
        <w:tc>
          <w:tcPr>
            <w:tcW w:w="3305" w:type="pct"/>
            <w:noWrap w:val="0"/>
            <w:vAlign w:val="bottom"/>
          </w:tcPr>
          <w:p>
            <w:pPr>
              <w:keepNext w:val="0"/>
              <w:keepLines w:val="0"/>
              <w:pageBreakBefore w:val="0"/>
              <w:widowControl w:val="0"/>
              <w:wordWrap/>
              <w:bidi w:val="0"/>
              <w:spacing w:after="0" w:line="500" w:lineRule="exact"/>
              <w:ind w:left="-57" w:leftChars="-30" w:right="-57" w:rightChars="-30"/>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全国人民代表大会常务委员会关于加强网络信息保护的决定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restart"/>
            <w:noWrap/>
            <w:vAlign w:val="center"/>
          </w:tcPr>
          <w:p>
            <w:pPr>
              <w:keepNext w:val="0"/>
              <w:keepLines w:val="0"/>
              <w:pageBreakBefore w:val="0"/>
              <w:widowControl w:val="0"/>
              <w:wordWrap/>
              <w:bidi w:val="0"/>
              <w:spacing w:after="0" w:line="500" w:lineRule="exact"/>
              <w:jc w:val="center"/>
              <w:rPr>
                <w:rFonts w:hint="eastAsia" w:ascii="仿宋_GB2312" w:hAnsi="楷体" w:eastAsia="仿宋_GB2312" w:cs="楷体"/>
                <w:b/>
                <w:bCs/>
                <w:color w:val="000000"/>
                <w:sz w:val="24"/>
                <w:szCs w:val="24"/>
              </w:rPr>
            </w:pPr>
            <w:r>
              <w:rPr>
                <w:rFonts w:hint="eastAsia" w:ascii="仿宋_GB2312" w:hAnsi="楷体" w:eastAsia="仿宋_GB2312" w:cs="楷体"/>
                <w:b/>
                <w:bCs/>
                <w:color w:val="000000"/>
                <w:sz w:val="24"/>
                <w:szCs w:val="24"/>
              </w:rPr>
              <w:t>行政法规</w:t>
            </w: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1</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互联网信息服务管理办法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jc w:val="center"/>
              <w:rPr>
                <w:rFonts w:hint="eastAsia" w:ascii="仿宋_GB2312" w:hAnsi="楷体" w:eastAsia="仿宋_GB2312" w:cs="楷体"/>
                <w:b/>
                <w:bCs/>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2</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征信业管理条例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jc w:val="center"/>
              <w:rPr>
                <w:rFonts w:hint="eastAsia" w:ascii="仿宋_GB2312" w:hAnsi="楷体" w:eastAsia="仿宋_GB2312" w:cs="楷体"/>
                <w:b/>
                <w:bCs/>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3</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计算机信息网络国际联网安全保护管理办法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jc w:val="center"/>
              <w:rPr>
                <w:rFonts w:hint="eastAsia" w:ascii="仿宋_GB2312" w:hAnsi="楷体" w:eastAsia="仿宋_GB2312" w:cs="楷体"/>
                <w:b/>
                <w:bCs/>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4</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国务院关于在线政务服务的若干规定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jc w:val="center"/>
              <w:rPr>
                <w:rFonts w:hint="eastAsia" w:ascii="仿宋_GB2312" w:hAnsi="楷体" w:eastAsia="仿宋_GB2312" w:cs="楷体"/>
                <w:b/>
                <w:bCs/>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5</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科学数据管理办法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jc w:val="center"/>
              <w:rPr>
                <w:rFonts w:hint="eastAsia" w:ascii="仿宋_GB2312" w:hAnsi="楷体" w:eastAsia="仿宋_GB2312" w:cs="楷体"/>
                <w:b/>
                <w:bCs/>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6</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中华人民共和国计算机信息系统安全保护条例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jc w:val="center"/>
              <w:rPr>
                <w:rFonts w:hint="eastAsia" w:ascii="仿宋_GB2312" w:hAnsi="楷体" w:eastAsia="仿宋_GB2312" w:cs="楷体"/>
                <w:b/>
                <w:bCs/>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7</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人力资源市场暂行条例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jc w:val="center"/>
              <w:rPr>
                <w:rFonts w:hint="eastAsia" w:ascii="仿宋_GB2312" w:hAnsi="楷体" w:eastAsia="仿宋_GB2312" w:cs="楷体"/>
                <w:b/>
                <w:bCs/>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8</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娱乐场所管理条例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jc w:val="center"/>
              <w:rPr>
                <w:rFonts w:hint="eastAsia" w:ascii="仿宋_GB2312" w:hAnsi="楷体" w:eastAsia="仿宋_GB2312" w:cs="楷体"/>
                <w:b/>
                <w:bCs/>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9</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地图管理条例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jc w:val="center"/>
              <w:rPr>
                <w:rFonts w:hint="eastAsia" w:ascii="仿宋_GB2312" w:hAnsi="楷体" w:eastAsia="仿宋_GB2312" w:cs="楷体"/>
                <w:b/>
                <w:bCs/>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10</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中华人民共和国档案法实施办法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jc w:val="center"/>
              <w:rPr>
                <w:rFonts w:hint="eastAsia" w:ascii="仿宋_GB2312" w:hAnsi="楷体" w:eastAsia="仿宋_GB2312" w:cs="楷体"/>
                <w:b/>
                <w:bCs/>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11</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中华人民共和国电信条例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jc w:val="center"/>
              <w:rPr>
                <w:rFonts w:hint="eastAsia" w:ascii="仿宋_GB2312" w:hAnsi="楷体" w:eastAsia="仿宋_GB2312" w:cs="楷体"/>
                <w:b/>
                <w:bCs/>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12</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中华人民共和国人类遗传资源管理条例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restart"/>
            <w:noWrap/>
            <w:vAlign w:val="center"/>
          </w:tcPr>
          <w:p>
            <w:pPr>
              <w:keepNext w:val="0"/>
              <w:keepLines w:val="0"/>
              <w:pageBreakBefore w:val="0"/>
              <w:widowControl w:val="0"/>
              <w:wordWrap/>
              <w:bidi w:val="0"/>
              <w:spacing w:after="0" w:line="500" w:lineRule="exact"/>
              <w:jc w:val="center"/>
              <w:rPr>
                <w:rFonts w:hint="eastAsia" w:ascii="仿宋_GB2312" w:hAnsi="楷体" w:eastAsia="仿宋_GB2312" w:cs="楷体"/>
                <w:b/>
                <w:bCs/>
                <w:color w:val="000000"/>
                <w:sz w:val="24"/>
                <w:szCs w:val="24"/>
              </w:rPr>
            </w:pPr>
            <w:r>
              <w:rPr>
                <w:rFonts w:hint="eastAsia" w:ascii="仿宋_GB2312" w:hAnsi="楷体" w:eastAsia="仿宋_GB2312" w:cs="楷体"/>
                <w:b/>
                <w:bCs/>
                <w:color w:val="000000"/>
                <w:sz w:val="24"/>
                <w:szCs w:val="24"/>
              </w:rPr>
              <w:t>司法解释</w:t>
            </w: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1</w:t>
            </w:r>
          </w:p>
        </w:tc>
        <w:tc>
          <w:tcPr>
            <w:tcW w:w="3305" w:type="pct"/>
            <w:noWrap w:val="0"/>
            <w:vAlign w:val="bottom"/>
          </w:tcPr>
          <w:p>
            <w:pPr>
              <w:keepNext w:val="0"/>
              <w:keepLines w:val="0"/>
              <w:pageBreakBefore w:val="0"/>
              <w:widowControl w:val="0"/>
              <w:wordWrap/>
              <w:bidi w:val="0"/>
              <w:spacing w:after="0" w:line="500" w:lineRule="exact"/>
              <w:ind w:right="-95" w:rightChars="-50"/>
              <w:rPr>
                <w:rFonts w:hint="eastAsia" w:ascii="仿宋_GB2312" w:hAnsi="仿宋" w:eastAsia="仿宋_GB2312" w:cs="仿宋"/>
                <w:color w:val="000000"/>
                <w:sz w:val="24"/>
                <w:szCs w:val="24"/>
              </w:rPr>
            </w:pPr>
            <w:r>
              <w:rPr>
                <w:rFonts w:hint="eastAsia" w:ascii="仿宋_GB2312" w:hAnsi="仿宋" w:eastAsia="仿宋_GB2312" w:cs="仿宋"/>
                <w:color w:val="000000"/>
                <w:spacing w:val="-6"/>
                <w:sz w:val="24"/>
                <w:szCs w:val="24"/>
              </w:rPr>
              <w:t>关于办理侵犯公民个人信息刑事案件适用法律若干问题的解释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2</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最高人民法院关于审理利用信息网络侵害人身权益民事纠纷案件适用法律若干问题的规定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3</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最高人民法院、最高人民检察院、公安部关于依法惩处侵害公民个人信息犯罪活动的通知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4</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关于办理“套路贷”刑事案件若干问题的意见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5</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检察机关办理侵犯公民个人信息案件指引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6</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最高人民法院、最高人民检察院、公安部关于办理电信网络诈骗等刑事案件适用法律若干问题的意见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7</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最高人民法院 最高人民检察院 公安部关于办理电信网络诈骗等刑事案件适用法律若干问题的意见（二）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8</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pacing w:val="-6"/>
                <w:sz w:val="24"/>
                <w:szCs w:val="24"/>
              </w:rPr>
              <w:t>最高人民法院关于审理旅游纠纷案件适用法律若干问题的规定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9</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关于办理利用信息网络实施黑恶势力犯罪刑事案件若干问题的意见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10</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最高人民法院、最高人民检察院关于办理利用信息网络实施诽谤等刑事案件适用法律若干问题的解释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11</w:t>
            </w:r>
          </w:p>
        </w:tc>
        <w:tc>
          <w:tcPr>
            <w:tcW w:w="3305" w:type="pct"/>
            <w:noWrap w:val="0"/>
            <w:vAlign w:val="bottom"/>
          </w:tcPr>
          <w:p>
            <w:pPr>
              <w:keepNext w:val="0"/>
              <w:keepLines w:val="0"/>
              <w:pageBreakBefore w:val="0"/>
              <w:widowControl w:val="0"/>
              <w:wordWrap/>
              <w:bidi w:val="0"/>
              <w:spacing w:after="0" w:line="500" w:lineRule="exact"/>
              <w:ind w:right="-152" w:rightChars="-80"/>
              <w:rPr>
                <w:rFonts w:hint="eastAsia" w:ascii="仿宋_GB2312" w:hAnsi="仿宋" w:eastAsia="仿宋_GB2312" w:cs="仿宋"/>
                <w:color w:val="000000"/>
                <w:sz w:val="24"/>
                <w:szCs w:val="24"/>
              </w:rPr>
            </w:pPr>
            <w:r>
              <w:rPr>
                <w:rFonts w:hint="eastAsia" w:ascii="仿宋_GB2312" w:hAnsi="仿宋" w:eastAsia="仿宋_GB2312" w:cs="仿宋"/>
                <w:color w:val="000000"/>
                <w:spacing w:val="-6"/>
                <w:sz w:val="24"/>
                <w:szCs w:val="24"/>
              </w:rPr>
              <w:t>最高人民法院、最高人民检察院关于办理非法利用信息网络、帮助信息网络犯罪活动等刑事案件适用法律若干问题的解释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restar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楷体" w:eastAsia="仿宋_GB2312" w:cs="楷体"/>
                <w:b/>
                <w:bCs/>
                <w:color w:val="000000"/>
                <w:sz w:val="24"/>
                <w:szCs w:val="24"/>
              </w:rPr>
              <w:t>部门规章</w:t>
            </w: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1</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电信和互联网用户个人信息保护规定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2</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公安机关互联网安全监督检查规定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3</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通信网络安全防护管理办法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4</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网络交易监督管理办法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5</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互联网信息内容管理行政执法程序规定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6</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区块链信息服务管理规定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7</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儿童个人信息网络保护规定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8</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电信和互联网用户个人信息保护规定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9</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App违法违规收集使用个人信息行为认定方法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10</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网络音视频信息服务管理规定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11</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网络出版服务管理规定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12</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会计档案管理办法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13</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公安机关互联网安全监督检查规定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14</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网络零售第三方平台交易规则制定程序规定（试行）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15</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机关档案管理规定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16</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关于引导规范教育移动互联网应用有序健康发展的意见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17</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规范互联网信息服务市场秩序若干规定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18</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通信网络安全防护管理办法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19</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互联网域名管理办法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20</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网络安全审查办法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21</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互联网信息服务管理办法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22</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中国人民银行关于银行业金融机构做好个人金融信息保护工作的通知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23</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网络预约出租汽车经营服务管理暂行办法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24</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网络借贷信息中介机构业务活动管理暂行办法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25</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寄递服务用户个人信息安全管理规定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26</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人口健康信息管理办法(试行)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27</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关于开展App 违法违规收集使用个人信息专项治理的公告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28</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《市场监管总局、中央网信办关于开展App安全认证工作的公告》及《移动互联网应用程序（App）安全认证实施规则》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29</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关于加强网络直播服务管理工作的通知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restart"/>
            <w:noWrap/>
            <w:vAlign w:val="center"/>
          </w:tcPr>
          <w:p>
            <w:pPr>
              <w:keepNext w:val="0"/>
              <w:keepLines w:val="0"/>
              <w:pageBreakBefore w:val="0"/>
              <w:widowControl w:val="0"/>
              <w:wordWrap/>
              <w:bidi w:val="0"/>
              <w:spacing w:after="0" w:line="500" w:lineRule="exact"/>
              <w:jc w:val="center"/>
              <w:rPr>
                <w:rFonts w:hint="eastAsia" w:ascii="仿宋_GB2312" w:hAnsi="楷体" w:eastAsia="仿宋_GB2312" w:cs="楷体"/>
                <w:b/>
                <w:bCs/>
                <w:color w:val="000000"/>
                <w:sz w:val="24"/>
                <w:szCs w:val="24"/>
              </w:rPr>
            </w:pPr>
            <w:r>
              <w:rPr>
                <w:rFonts w:hint="eastAsia" w:ascii="仿宋_GB2312" w:hAnsi="楷体" w:eastAsia="仿宋_GB2312" w:cs="楷体"/>
                <w:b/>
                <w:bCs/>
                <w:color w:val="000000"/>
                <w:sz w:val="24"/>
                <w:szCs w:val="24"/>
              </w:rPr>
              <w:t>国务院规范性文件</w:t>
            </w: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1</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国务院办公厅关于促进“互联网+医疗健康”发展的意见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269" w:type="pct"/>
            <w:vMerge w:val="continue"/>
            <w:noWrap w:val="0"/>
            <w:vAlign w:val="center"/>
          </w:tcPr>
          <w:p>
            <w:pPr>
              <w:keepNext w:val="0"/>
              <w:keepLines w:val="0"/>
              <w:pageBreakBefore w:val="0"/>
              <w:widowControl w:val="0"/>
              <w:wordWrap/>
              <w:bidi w:val="0"/>
              <w:spacing w:after="0" w:line="500" w:lineRule="exact"/>
              <w:jc w:val="center"/>
              <w:rPr>
                <w:rFonts w:hint="eastAsia" w:ascii="仿宋_GB2312" w:hAnsi="楷体" w:eastAsia="仿宋_GB2312" w:cs="楷体"/>
                <w:b/>
                <w:bCs/>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2</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国务院关于深化“互联网+先进制造业”发展工业互联网的指导意见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jc w:val="center"/>
              <w:rPr>
                <w:rFonts w:hint="eastAsia" w:ascii="仿宋_GB2312" w:hAnsi="楷体" w:eastAsia="仿宋_GB2312" w:cs="楷体"/>
                <w:b/>
                <w:bCs/>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3</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国务院办公厅关于印发《政府网站发展指引》的通知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jc w:val="center"/>
              <w:rPr>
                <w:rFonts w:hint="eastAsia" w:ascii="仿宋_GB2312" w:hAnsi="楷体" w:eastAsia="仿宋_GB2312" w:cs="楷体"/>
                <w:b/>
                <w:bCs/>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4</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国务院关于印发《“十三五”国家信息化规划》的通知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269" w:type="pct"/>
            <w:vMerge w:val="continue"/>
            <w:noWrap w:val="0"/>
            <w:vAlign w:val="center"/>
          </w:tcPr>
          <w:p>
            <w:pPr>
              <w:keepNext w:val="0"/>
              <w:keepLines w:val="0"/>
              <w:pageBreakBefore w:val="0"/>
              <w:widowControl w:val="0"/>
              <w:wordWrap/>
              <w:bidi w:val="0"/>
              <w:spacing w:after="0" w:line="500" w:lineRule="exact"/>
              <w:jc w:val="center"/>
              <w:rPr>
                <w:rFonts w:hint="eastAsia" w:ascii="仿宋_GB2312" w:hAnsi="楷体" w:eastAsia="仿宋_GB2312" w:cs="楷体"/>
                <w:b/>
                <w:bCs/>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5</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国务院办公厅关于运用大数据加强对市场主体服务和监管的若干意见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jc w:val="center"/>
              <w:rPr>
                <w:rFonts w:hint="eastAsia" w:ascii="仿宋_GB2312" w:hAnsi="楷体" w:eastAsia="仿宋_GB2312" w:cs="楷体"/>
                <w:b/>
                <w:bCs/>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6</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国务院关于促进信息消费扩大内需的若干意见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restart"/>
            <w:noWrap/>
            <w:vAlign w:val="center"/>
          </w:tcPr>
          <w:p>
            <w:pPr>
              <w:keepNext w:val="0"/>
              <w:keepLines w:val="0"/>
              <w:pageBreakBefore w:val="0"/>
              <w:widowControl w:val="0"/>
              <w:wordWrap/>
              <w:bidi w:val="0"/>
              <w:spacing w:after="0" w:line="500" w:lineRule="exact"/>
              <w:jc w:val="center"/>
              <w:rPr>
                <w:rFonts w:hint="eastAsia" w:ascii="仿宋_GB2312" w:hAnsi="楷体" w:eastAsia="仿宋_GB2312" w:cs="楷体"/>
                <w:b/>
                <w:bCs/>
                <w:color w:val="000000"/>
                <w:sz w:val="24"/>
                <w:szCs w:val="24"/>
              </w:rPr>
            </w:pPr>
            <w:r>
              <w:rPr>
                <w:rFonts w:hint="eastAsia" w:ascii="仿宋_GB2312" w:hAnsi="楷体" w:eastAsia="仿宋_GB2312" w:cs="楷体"/>
                <w:b/>
                <w:bCs/>
                <w:color w:val="000000"/>
                <w:sz w:val="24"/>
                <w:szCs w:val="24"/>
              </w:rPr>
              <w:t>部门规范性文件</w:t>
            </w: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1</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移动互联网应用程序信息服务管理规定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2</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云计算服务安全评估办法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3</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互联网个人信息安全保护指南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4</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最高人民法院、最高人民检察院、公安部关于依法惩处侵害公民个人信息犯罪活动的通知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5</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互联网论坛社区服务管理规定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6</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互联网跟帖评论服务管理规定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7</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互联网群组信息服务管理规定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8</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互联网新闻信息服务新技术新应用安全评估管理规定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9</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互联网新闻信息服务单位内容管理从业人员管理办法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10</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公共互联网网络安全突发事件应急预案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11</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微博客信息服务管理规定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12</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具有舆论属性或社会动员能力的互联网信息服务安全评估规定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13</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金融信息服务管理规定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14</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App违法违规收集使用个人信息自评估指南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15</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工业数据分类分级指南（试行）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16</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工业和信息化部关于工业大数据发展的指导意见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17</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中小企业数字化赋能专项行动方案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18</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互联网诊疗管理办法（试行）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19</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互联网医院管理办法（试行）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20</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人类遗传资源管理暂行办法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restart"/>
            <w:noWrap/>
            <w:vAlign w:val="center"/>
          </w:tcPr>
          <w:p>
            <w:pPr>
              <w:keepNext w:val="0"/>
              <w:keepLines w:val="0"/>
              <w:pageBreakBefore w:val="0"/>
              <w:widowControl w:val="0"/>
              <w:wordWrap/>
              <w:bidi w:val="0"/>
              <w:spacing w:after="0" w:line="500" w:lineRule="exact"/>
              <w:jc w:val="center"/>
              <w:rPr>
                <w:rFonts w:hint="eastAsia" w:ascii="仿宋_GB2312" w:hAnsi="楷体" w:eastAsia="仿宋_GB2312" w:cs="楷体"/>
                <w:b/>
                <w:bCs/>
                <w:color w:val="000000"/>
                <w:sz w:val="24"/>
                <w:szCs w:val="24"/>
              </w:rPr>
            </w:pPr>
            <w:r>
              <w:rPr>
                <w:rFonts w:hint="eastAsia" w:ascii="仿宋_GB2312" w:hAnsi="楷体" w:eastAsia="仿宋_GB2312" w:cs="楷体"/>
                <w:b/>
                <w:bCs/>
                <w:color w:val="000000"/>
                <w:sz w:val="24"/>
                <w:szCs w:val="24"/>
              </w:rPr>
              <w:t>部门工作文件</w:t>
            </w: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1</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电信和互联网行业提升网络数据安全保护能力专项行动方案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jc w:val="center"/>
              <w:rPr>
                <w:rFonts w:hint="eastAsia" w:ascii="仿宋_GB2312" w:hAnsi="楷体" w:eastAsia="仿宋_GB2312" w:cs="楷体"/>
                <w:b/>
                <w:bCs/>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2</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国家网络安全事件应急预案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restart"/>
            <w:noWrap/>
            <w:vAlign w:val="center"/>
          </w:tcPr>
          <w:p>
            <w:pPr>
              <w:keepNext w:val="0"/>
              <w:keepLines w:val="0"/>
              <w:pageBreakBefore w:val="0"/>
              <w:widowControl w:val="0"/>
              <w:wordWrap/>
              <w:bidi w:val="0"/>
              <w:spacing w:after="0" w:line="500" w:lineRule="exact"/>
              <w:jc w:val="center"/>
              <w:rPr>
                <w:rFonts w:hint="eastAsia" w:ascii="仿宋_GB2312" w:hAnsi="楷体" w:eastAsia="仿宋_GB2312" w:cs="楷体"/>
                <w:b/>
                <w:bCs/>
                <w:color w:val="000000"/>
                <w:sz w:val="24"/>
                <w:szCs w:val="24"/>
              </w:rPr>
            </w:pPr>
            <w:r>
              <w:rPr>
                <w:rFonts w:hint="eastAsia" w:ascii="仿宋_GB2312" w:hAnsi="楷体" w:eastAsia="仿宋_GB2312" w:cs="楷体"/>
                <w:b/>
                <w:bCs/>
                <w:color w:val="000000"/>
                <w:sz w:val="24"/>
                <w:szCs w:val="24"/>
              </w:rPr>
              <w:t>征求</w:t>
            </w:r>
          </w:p>
          <w:p>
            <w:pPr>
              <w:keepNext w:val="0"/>
              <w:keepLines w:val="0"/>
              <w:pageBreakBefore w:val="0"/>
              <w:widowControl w:val="0"/>
              <w:wordWrap/>
              <w:bidi w:val="0"/>
              <w:spacing w:after="0" w:line="500" w:lineRule="exact"/>
              <w:jc w:val="center"/>
              <w:rPr>
                <w:rFonts w:hint="eastAsia" w:ascii="仿宋_GB2312" w:hAnsi="楷体" w:eastAsia="仿宋_GB2312" w:cs="楷体"/>
                <w:b/>
                <w:bCs/>
                <w:color w:val="000000"/>
                <w:sz w:val="24"/>
                <w:szCs w:val="24"/>
              </w:rPr>
            </w:pPr>
            <w:r>
              <w:rPr>
                <w:rFonts w:hint="eastAsia" w:ascii="仿宋_GB2312" w:hAnsi="楷体" w:eastAsia="仿宋_GB2312" w:cs="楷体"/>
                <w:b/>
                <w:bCs/>
                <w:color w:val="000000"/>
                <w:sz w:val="24"/>
                <w:szCs w:val="24"/>
              </w:rPr>
              <w:t>意见稿</w:t>
            </w: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1</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个人信息保护法（征求意见稿）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2</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关键信息基础设施安全保护条例（征求意见稿）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3</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个人信息出境安全评估办法（征求意见稿）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4</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个人信息和重要数据出境安全评估办法（征求意见稿）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5</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数据安全管理办法（征求意见稿）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6</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网络安全等级保护条例（征求意见稿）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7</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信息安全技术 数据出境安全评估指南（征求意见稿）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8</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信息安全技术 个人信息安全影响评估指南（征求意见稿）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9</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信息安全技术 个人信息去标识化指南（征求意见稿）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10</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信息安全技术 健康医疗信息安全指南（征求意见稿）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11</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信息安全技术 网络安全等级保护实施指南（征求意见稿）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12</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信息安全技术 数据交易服务安全要求（征求意见稿）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13</w:t>
            </w:r>
          </w:p>
        </w:tc>
        <w:tc>
          <w:tcPr>
            <w:tcW w:w="3305" w:type="pct"/>
            <w:noWrap w:val="0"/>
            <w:vAlign w:val="bottom"/>
          </w:tcPr>
          <w:p>
            <w:pPr>
              <w:keepNext w:val="0"/>
              <w:keepLines w:val="0"/>
              <w:pageBreakBefore w:val="0"/>
              <w:widowControl w:val="0"/>
              <w:wordWrap/>
              <w:bidi w:val="0"/>
              <w:spacing w:after="0" w:line="500" w:lineRule="exact"/>
              <w:ind w:right="-152" w:rightChars="-80"/>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信息安全技术 网络产品和服务安全通用要求（征求意见稿）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14</w:t>
            </w:r>
          </w:p>
        </w:tc>
        <w:tc>
          <w:tcPr>
            <w:tcW w:w="3305" w:type="pct"/>
            <w:noWrap w:val="0"/>
            <w:vAlign w:val="bottom"/>
          </w:tcPr>
          <w:p>
            <w:pPr>
              <w:keepNext w:val="0"/>
              <w:keepLines w:val="0"/>
              <w:pageBreakBefore w:val="0"/>
              <w:widowControl w:val="0"/>
              <w:wordWrap/>
              <w:bidi w:val="0"/>
              <w:spacing w:after="0" w:line="500" w:lineRule="exact"/>
              <w:ind w:right="-152" w:rightChars="-80"/>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信息安全技术 网络安全事件应急演练通用指南（征求意见稿）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15</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信息安全技术 信息安全风险评估规范（征求意见稿）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16</w:t>
            </w:r>
          </w:p>
        </w:tc>
        <w:tc>
          <w:tcPr>
            <w:tcW w:w="3305" w:type="pct"/>
            <w:noWrap w:val="0"/>
            <w:vAlign w:val="bottom"/>
          </w:tcPr>
          <w:p>
            <w:pPr>
              <w:keepNext w:val="0"/>
              <w:keepLines w:val="0"/>
              <w:pageBreakBefore w:val="0"/>
              <w:widowControl w:val="0"/>
              <w:wordWrap/>
              <w:bidi w:val="0"/>
              <w:spacing w:after="0" w:line="500" w:lineRule="exact"/>
              <w:ind w:right="-152" w:rightChars="-80"/>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信息安全技术 恶意软件事件预防和处理指南（征求意见稿）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17</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信息安全技术 关键信息基础设施安全检查评估指南》（征求意见稿）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18</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网络安全漏洞管理规定（征求意见稿）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restar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楷体" w:eastAsia="仿宋_GB2312" w:cs="楷体"/>
                <w:b/>
                <w:bCs/>
                <w:color w:val="000000"/>
                <w:sz w:val="24"/>
                <w:szCs w:val="24"/>
              </w:rPr>
              <w:t>标准指南</w:t>
            </w: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1</w:t>
            </w:r>
          </w:p>
        </w:tc>
        <w:tc>
          <w:tcPr>
            <w:tcW w:w="3305" w:type="pct"/>
            <w:noWrap/>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信息安全技术 移动智能终端个人信息保护技术要求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2</w:t>
            </w:r>
          </w:p>
        </w:tc>
        <w:tc>
          <w:tcPr>
            <w:tcW w:w="3305" w:type="pct"/>
            <w:noWrap/>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信息安全技术 个人信息去标识化指南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3</w:t>
            </w:r>
          </w:p>
        </w:tc>
        <w:tc>
          <w:tcPr>
            <w:tcW w:w="3305" w:type="pct"/>
            <w:noWrap w:val="0"/>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信息安全技术 移动终端安全保护技术要求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4</w:t>
            </w:r>
          </w:p>
        </w:tc>
        <w:tc>
          <w:tcPr>
            <w:tcW w:w="3305" w:type="pct"/>
            <w:noWrap/>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信息安全技术 信息安全风险处理实施指南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5</w:t>
            </w:r>
          </w:p>
        </w:tc>
        <w:tc>
          <w:tcPr>
            <w:tcW w:w="3305" w:type="pct"/>
            <w:noWrap/>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信息安全技术 网络安全等级保护安全设计技术要求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6</w:t>
            </w:r>
          </w:p>
        </w:tc>
        <w:tc>
          <w:tcPr>
            <w:tcW w:w="3305" w:type="pct"/>
            <w:noWrap/>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信息安全技术 网络安全等级保护基本要求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7</w:t>
            </w:r>
          </w:p>
        </w:tc>
        <w:tc>
          <w:tcPr>
            <w:tcW w:w="3305" w:type="pct"/>
            <w:noWrap/>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信息安全技术 个人信息安全规范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8</w:t>
            </w:r>
          </w:p>
        </w:tc>
        <w:tc>
          <w:tcPr>
            <w:tcW w:w="3305" w:type="pct"/>
            <w:noWrap/>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信息安全技术 网络安全等级保护定级指南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9</w:t>
            </w:r>
          </w:p>
        </w:tc>
        <w:tc>
          <w:tcPr>
            <w:tcW w:w="3305" w:type="pct"/>
            <w:noWrap/>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个人金融信息保护技术规范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9" w:type="pct"/>
            <w:vMerge w:val="continue"/>
            <w:noWrap w:val="0"/>
            <w:vAlign w:val="center"/>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p>
        </w:tc>
        <w:tc>
          <w:tcPr>
            <w:tcW w:w="425" w:type="pct"/>
            <w:noWrap/>
            <w:vAlign w:val="center"/>
          </w:tcPr>
          <w:p>
            <w:pPr>
              <w:keepNext w:val="0"/>
              <w:keepLines w:val="0"/>
              <w:pageBreakBefore w:val="0"/>
              <w:widowControl w:val="0"/>
              <w:wordWrap/>
              <w:bidi w:val="0"/>
              <w:spacing w:after="0" w:line="500" w:lineRule="exact"/>
              <w:jc w:val="center"/>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10</w:t>
            </w:r>
          </w:p>
        </w:tc>
        <w:tc>
          <w:tcPr>
            <w:tcW w:w="3305" w:type="pct"/>
            <w:noWrap/>
            <w:vAlign w:val="bottom"/>
          </w:tcPr>
          <w:p>
            <w:pPr>
              <w:keepNext w:val="0"/>
              <w:keepLines w:val="0"/>
              <w:pageBreakBefore w:val="0"/>
              <w:widowControl w:val="0"/>
              <w:wordWrap/>
              <w:bidi w:val="0"/>
              <w:spacing w:after="0" w:line="500" w:lineRule="exact"/>
              <w:rPr>
                <w:rFonts w:hint="eastAsia" w:ascii="仿宋_GB2312" w:hAnsi="仿宋" w:eastAsia="仿宋_GB2312" w:cs="仿宋"/>
                <w:color w:val="000000"/>
                <w:sz w:val="24"/>
                <w:szCs w:val="24"/>
              </w:rPr>
            </w:pPr>
            <w:r>
              <w:rPr>
                <w:rFonts w:hint="eastAsia" w:ascii="仿宋_GB2312" w:hAnsi="仿宋" w:eastAsia="仿宋_GB2312" w:cs="仿宋"/>
                <w:color w:val="000000"/>
                <w:sz w:val="24"/>
                <w:szCs w:val="24"/>
              </w:rPr>
              <w:t>网络安全标准实践指南-移动互联网应用程序</w:t>
            </w:r>
          </w:p>
        </w:tc>
      </w:tr>
    </w:tbl>
    <w:p>
      <w:pPr>
        <w:keepNext w:val="0"/>
        <w:keepLines w:val="0"/>
        <w:pageBreakBefore w:val="0"/>
        <w:widowControl w:val="0"/>
        <w:wordWrap/>
        <w:bidi w:val="0"/>
        <w:spacing w:line="500" w:lineRule="exact"/>
        <w:ind w:firstLine="522" w:firstLineChars="200"/>
        <w:rPr>
          <w:rFonts w:ascii="仿宋_GB2312" w:eastAsia="仿宋_GB2312"/>
          <w:color w:val="000000"/>
          <w:sz w:val="28"/>
          <w:szCs w:val="28"/>
        </w:rPr>
      </w:pPr>
      <w:r>
        <w:rPr>
          <w:rFonts w:ascii="仿宋_GB2312" w:hAnsi="仿宋" w:eastAsia="仿宋_GB2312"/>
          <w:color w:val="000000"/>
          <w:sz w:val="28"/>
          <w:szCs w:val="28"/>
        </w:rPr>
        <w:br w:type="page"/>
      </w:r>
      <w:r>
        <w:rPr>
          <w:sz w:val="28"/>
          <w:szCs w:val="21"/>
        </w:rPr>
        <mc:AlternateContent>
          <mc:Choice Requires="wps">
            <w:drawing>
              <wp:anchor distT="0" distB="0" distL="114300" distR="114300" simplePos="0" relativeHeight="251692032" behindDoc="0" locked="0" layoutInCell="1" allowOverlap="1">
                <wp:simplePos x="0" y="0"/>
                <wp:positionH relativeFrom="column">
                  <wp:posOffset>-293370</wp:posOffset>
                </wp:positionH>
                <wp:positionV relativeFrom="paragraph">
                  <wp:posOffset>8179435</wp:posOffset>
                </wp:positionV>
                <wp:extent cx="1285875" cy="952500"/>
                <wp:effectExtent l="5080" t="4445" r="4445" b="14605"/>
                <wp:wrapNone/>
                <wp:docPr id="95" name="矩形 95"/>
                <wp:cNvGraphicFramePr/>
                <a:graphic xmlns:a="http://schemas.openxmlformats.org/drawingml/2006/main">
                  <a:graphicData uri="http://schemas.microsoft.com/office/word/2010/wordprocessingShape">
                    <wps:wsp>
                      <wps:cNvSpPr/>
                      <wps:spPr>
                        <a:xfrm>
                          <a:off x="0" y="0"/>
                          <a:ext cx="1285875" cy="952500"/>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3.1pt;margin-top:644.05pt;height:75pt;width:101.25pt;z-index:251692032;mso-width-relative:page;mso-height-relative:page;" fillcolor="#FFFFFF" filled="t" stroked="t" coordsize="21600,21600" o:gfxdata="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KK0fStoAAAANAQAADwAAAAAAAAABACAAAAAiAAAAZHJzL2Rvd25yZXYueG1s&#10;UEsBAhQAFAAAAAgAh07iQOMhjG32AQAAIAQAAA4AAAAAAAAAAQAgAAAAKQEAAGRycy9lMm9Eb2Mu&#10;eG1sUEsFBgAAAAAGAAYAWQEAAJEFAAAAAA==&#10;">
                <v:fill on="t" focussize="0,0"/>
                <v:stroke color="#FFFFFF" joinstyle="miter"/>
                <v:imagedata o:title=""/>
                <o:lock v:ext="edit" aspectratio="f"/>
              </v:rect>
            </w:pict>
          </mc:Fallback>
        </mc:AlternateContent>
      </w:r>
    </w:p>
    <w:p>
      <w:pPr>
        <w:keepNext w:val="0"/>
        <w:keepLines w:val="0"/>
        <w:pageBreakBefore w:val="0"/>
        <w:widowControl w:val="0"/>
        <w:wordWrap/>
        <w:bidi w:val="0"/>
        <w:spacing w:after="0" w:line="500" w:lineRule="exact"/>
        <w:jc w:val="center"/>
        <w:rPr>
          <w:rFonts w:hint="eastAsia" w:ascii="方正小标宋简体" w:hAnsi="方正小标宋简体" w:eastAsia="方正小标宋简体" w:cs="方正小标宋简体"/>
          <w:color w:val="000000"/>
          <w:sz w:val="48"/>
          <w:szCs w:val="48"/>
        </w:rPr>
      </w:pPr>
      <w:bookmarkStart w:id="394" w:name="中华全国律师协会"/>
      <w:bookmarkEnd w:id="394"/>
      <w:bookmarkStart w:id="395" w:name="涉农法律业务操作指引"/>
      <w:bookmarkEnd w:id="395"/>
    </w:p>
    <w:p>
      <w:pPr>
        <w:keepNext w:val="0"/>
        <w:keepLines w:val="0"/>
        <w:pageBreakBefore w:val="0"/>
        <w:widowControl w:val="0"/>
        <w:wordWrap/>
        <w:bidi w:val="0"/>
        <w:spacing w:after="0" w:line="500" w:lineRule="exact"/>
        <w:jc w:val="center"/>
        <w:rPr>
          <w:rFonts w:hint="eastAsia" w:ascii="方正小标宋简体" w:hAnsi="方正小标宋简体" w:eastAsia="方正小标宋简体" w:cs="方正小标宋简体"/>
          <w:color w:val="000000"/>
          <w:sz w:val="48"/>
          <w:szCs w:val="48"/>
        </w:rPr>
      </w:pPr>
    </w:p>
    <w:p>
      <w:pPr>
        <w:keepNext w:val="0"/>
        <w:keepLines w:val="0"/>
        <w:pageBreakBefore w:val="0"/>
        <w:widowControl w:val="0"/>
        <w:wordWrap/>
        <w:bidi w:val="0"/>
        <w:spacing w:after="0" w:line="500" w:lineRule="exact"/>
        <w:jc w:val="center"/>
        <w:rPr>
          <w:rFonts w:hint="eastAsia" w:ascii="方正小标宋简体" w:hAnsi="方正小标宋简体" w:eastAsia="方正小标宋简体" w:cs="方正小标宋简体"/>
          <w:color w:val="000000"/>
          <w:sz w:val="48"/>
          <w:szCs w:val="48"/>
        </w:rPr>
      </w:pPr>
    </w:p>
    <w:p>
      <w:pPr>
        <w:keepNext w:val="0"/>
        <w:keepLines w:val="0"/>
        <w:pageBreakBefore w:val="0"/>
        <w:widowControl w:val="0"/>
        <w:wordWrap/>
        <w:bidi w:val="0"/>
        <w:spacing w:after="0" w:line="500" w:lineRule="exact"/>
        <w:jc w:val="center"/>
        <w:rPr>
          <w:rFonts w:hint="eastAsia" w:ascii="方正小标宋简体" w:hAnsi="方正小标宋简体" w:eastAsia="方正小标宋简体" w:cs="方正小标宋简体"/>
          <w:color w:val="000000"/>
          <w:sz w:val="48"/>
          <w:szCs w:val="48"/>
        </w:rPr>
      </w:pPr>
    </w:p>
    <w:p>
      <w:pPr>
        <w:keepNext w:val="0"/>
        <w:keepLines w:val="0"/>
        <w:pageBreakBefore w:val="0"/>
        <w:widowControl w:val="0"/>
        <w:wordWrap/>
        <w:bidi w:val="0"/>
        <w:spacing w:after="0" w:line="500" w:lineRule="exact"/>
        <w:jc w:val="center"/>
        <w:rPr>
          <w:rFonts w:hint="eastAsia" w:ascii="方正小标宋简体" w:hAnsi="方正小标宋简体" w:eastAsia="方正小标宋简体" w:cs="方正小标宋简体"/>
          <w:color w:val="000000"/>
          <w:sz w:val="48"/>
          <w:szCs w:val="48"/>
        </w:rPr>
      </w:pPr>
    </w:p>
    <w:p>
      <w:pPr>
        <w:keepNext w:val="0"/>
        <w:keepLines w:val="0"/>
        <w:pageBreakBefore w:val="0"/>
        <w:widowControl w:val="0"/>
        <w:wordWrap/>
        <w:bidi w:val="0"/>
        <w:spacing w:after="0" w:line="500" w:lineRule="exact"/>
        <w:jc w:val="center"/>
        <w:outlineLvl w:val="0"/>
        <w:rPr>
          <w:rFonts w:hint="eastAsia" w:ascii="方正小标宋简体" w:hAnsi="方正小标宋简体" w:eastAsia="方正小标宋简体" w:cs="方正小标宋简体"/>
          <w:color w:val="000000"/>
          <w:sz w:val="48"/>
          <w:szCs w:val="48"/>
        </w:rPr>
      </w:pPr>
      <w:bookmarkStart w:id="396" w:name="_Toc29953"/>
      <w:r>
        <w:rPr>
          <w:rFonts w:hint="eastAsia" w:ascii="方正小标宋简体" w:hAnsi="方正小标宋简体" w:eastAsia="方正小标宋简体" w:cs="方正小标宋简体"/>
          <w:color w:val="000000"/>
          <w:sz w:val="48"/>
          <w:szCs w:val="48"/>
        </w:rPr>
        <w:t>律师涉农法律业务操作指引</w:t>
      </w:r>
      <w:bookmarkEnd w:id="396"/>
    </w:p>
    <w:p>
      <w:pPr>
        <w:keepNext w:val="0"/>
        <w:keepLines w:val="0"/>
        <w:pageBreakBefore w:val="0"/>
        <w:widowControl w:val="0"/>
        <w:wordWrap/>
        <w:bidi w:val="0"/>
        <w:spacing w:after="0" w:line="500" w:lineRule="exact"/>
        <w:jc w:val="center"/>
        <w:rPr>
          <w:rFonts w:hint="eastAsia" w:ascii="方正小标宋简体" w:hAnsi="方正小标宋简体" w:eastAsia="方正小标宋简体" w:cs="方正小标宋简体"/>
          <w:color w:val="000000"/>
          <w:sz w:val="48"/>
          <w:szCs w:val="48"/>
        </w:rPr>
      </w:pPr>
      <w:r>
        <w:rPr>
          <w:rFonts w:hint="eastAsia" w:ascii="方正小标宋简体" w:hAnsi="方正小标宋简体" w:eastAsia="方正小标宋简体" w:cs="方正小标宋简体"/>
          <w:color w:val="000000"/>
          <w:sz w:val="48"/>
          <w:szCs w:val="48"/>
        </w:rPr>
        <w:br w:type="page"/>
      </w:r>
    </w:p>
    <w:p>
      <w:pPr>
        <w:keepNext w:val="0"/>
        <w:keepLines w:val="0"/>
        <w:pageBreakBefore w:val="0"/>
        <w:widowControl w:val="0"/>
        <w:wordWrap/>
        <w:bidi w:val="0"/>
        <w:spacing w:before="227" w:beforeLines="50" w:after="227" w:afterLines="50" w:line="500" w:lineRule="exact"/>
        <w:ind w:right="1079" w:rightChars="565"/>
        <w:jc w:val="center"/>
        <w:rPr>
          <w:rFonts w:hint="eastAsia" w:ascii="方正小标宋简体" w:hAnsi="方正小标宋简体" w:eastAsia="方正小标宋简体" w:cs="方正小标宋简体"/>
          <w:b/>
          <w:bCs/>
          <w:color w:val="000000"/>
          <w:spacing w:val="-2"/>
          <w:sz w:val="40"/>
          <w:szCs w:val="40"/>
        </w:rPr>
      </w:pPr>
    </w:p>
    <w:p>
      <w:pPr>
        <w:pStyle w:val="3"/>
        <w:keepNext w:val="0"/>
        <w:keepLines w:val="0"/>
        <w:pageBreakBefore w:val="0"/>
        <w:widowControl w:val="0"/>
        <w:tabs>
          <w:tab w:val="left" w:pos="640"/>
        </w:tabs>
        <w:wordWrap/>
        <w:bidi w:val="0"/>
        <w:spacing w:before="0" w:after="0" w:line="500" w:lineRule="exact"/>
        <w:jc w:val="center"/>
        <w:rPr>
          <w:rFonts w:ascii="仿宋_GB2312" w:eastAsia="仿宋_GB2312"/>
          <w:color w:val="000000"/>
          <w:sz w:val="28"/>
          <w:szCs w:val="28"/>
        </w:rPr>
      </w:pPr>
      <w:r>
        <w:rPr>
          <w:sz w:val="28"/>
        </w:rPr>
        <mc:AlternateContent>
          <mc:Choice Requires="wps">
            <w:drawing>
              <wp:anchor distT="0" distB="0" distL="114300" distR="114300" simplePos="0" relativeHeight="251746304" behindDoc="0" locked="0" layoutInCell="1" allowOverlap="1">
                <wp:simplePos x="0" y="0"/>
                <wp:positionH relativeFrom="column">
                  <wp:posOffset>-269875</wp:posOffset>
                </wp:positionH>
                <wp:positionV relativeFrom="paragraph">
                  <wp:posOffset>5765800</wp:posOffset>
                </wp:positionV>
                <wp:extent cx="1227455" cy="751205"/>
                <wp:effectExtent l="0" t="0" r="10795" b="10795"/>
                <wp:wrapNone/>
                <wp:docPr id="98" name="文本框 98"/>
                <wp:cNvGraphicFramePr/>
                <a:graphic xmlns:a="http://schemas.openxmlformats.org/drawingml/2006/main">
                  <a:graphicData uri="http://schemas.microsoft.com/office/word/2010/wordprocessingShape">
                    <wps:wsp>
                      <wps:cNvSpPr txBox="1"/>
                      <wps:spPr>
                        <a:xfrm>
                          <a:off x="0" y="0"/>
                          <a:ext cx="1227455" cy="751205"/>
                        </a:xfrm>
                        <a:prstGeom prst="rect">
                          <a:avLst/>
                        </a:prstGeom>
                        <a:solidFill>
                          <a:srgbClr val="FFFFFF"/>
                        </a:solidFill>
                        <a:ln>
                          <a:noFill/>
                        </a:ln>
                      </wps:spPr>
                      <wps:txbx>
                        <w:txbxContent>
                          <w:p/>
                        </w:txbxContent>
                      </wps:txbx>
                      <wps:bodyPr upright="1"/>
                    </wps:wsp>
                  </a:graphicData>
                </a:graphic>
              </wp:anchor>
            </w:drawing>
          </mc:Choice>
          <mc:Fallback>
            <w:pict>
              <v:shape id="_x0000_s1026" o:spid="_x0000_s1026" o:spt="202" type="#_x0000_t202" style="position:absolute;left:0pt;margin-left:-21.25pt;margin-top:454pt;height:59.15pt;width:96.65pt;z-index:251746304;mso-width-relative:page;mso-height-relative:page;" fillcolor="#FFFFFF" filled="t" stroked="f" coordsize="21600,21600" o:gfxdata="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G6OZbdkAAAAMAQAADwAAAAAAAAABACAAAAAiAAAAZHJzL2Rvd25yZXYu&#10;eG1sUEsBAhQAFAAAAAgAh07iQM7/FRrBAQAAeQMAAA4AAAAAAAAAAQAgAAAAKAEAAGRycy9lMm9E&#10;b2MueG1sUEsFBgAAAAAGAAYAWQEAAFsFAAAAAA==&#10;">
                <v:fill on="t" focussize="0,0"/>
                <v:stroke on="f"/>
                <v:imagedata o:title=""/>
                <o:lock v:ext="edit" aspectratio="f"/>
                <v:textbox>
                  <w:txbxContent>
                    <w:p/>
                  </w:txbxContent>
                </v:textbox>
              </v:shape>
            </w:pict>
          </mc:Fallback>
        </mc:AlternateContent>
      </w:r>
      <w:r>
        <w:rPr>
          <w:sz w:val="28"/>
        </w:rPr>
        <mc:AlternateContent>
          <mc:Choice Requires="wps">
            <w:drawing>
              <wp:anchor distT="0" distB="0" distL="114300" distR="114300" simplePos="0" relativeHeight="251721728" behindDoc="0" locked="0" layoutInCell="1" allowOverlap="1">
                <wp:simplePos x="0" y="0"/>
                <wp:positionH relativeFrom="column">
                  <wp:posOffset>-657860</wp:posOffset>
                </wp:positionH>
                <wp:positionV relativeFrom="paragraph">
                  <wp:posOffset>7151370</wp:posOffset>
                </wp:positionV>
                <wp:extent cx="1889125" cy="1365250"/>
                <wp:effectExtent l="0" t="0" r="15875" b="6350"/>
                <wp:wrapNone/>
                <wp:docPr id="92" name="文本框 92"/>
                <wp:cNvGraphicFramePr/>
                <a:graphic xmlns:a="http://schemas.openxmlformats.org/drawingml/2006/main">
                  <a:graphicData uri="http://schemas.microsoft.com/office/word/2010/wordprocessingShape">
                    <wps:wsp>
                      <wps:cNvSpPr txBox="1"/>
                      <wps:spPr>
                        <a:xfrm>
                          <a:off x="0" y="0"/>
                          <a:ext cx="1889125" cy="1365250"/>
                        </a:xfrm>
                        <a:prstGeom prst="rect">
                          <a:avLst/>
                        </a:prstGeom>
                        <a:solidFill>
                          <a:srgbClr val="FFFFFF"/>
                        </a:solidFill>
                        <a:ln>
                          <a:noFill/>
                        </a:ln>
                      </wps:spPr>
                      <wps:txbx>
                        <w:txbxContent>
                          <w:p/>
                        </w:txbxContent>
                      </wps:txbx>
                      <wps:bodyPr upright="1"/>
                    </wps:wsp>
                  </a:graphicData>
                </a:graphic>
              </wp:anchor>
            </w:drawing>
          </mc:Choice>
          <mc:Fallback>
            <w:pict>
              <v:shape id="_x0000_s1026" o:spid="_x0000_s1026" o:spt="202" type="#_x0000_t202" style="position:absolute;left:0pt;margin-left:-51.8pt;margin-top:563.1pt;height:107.5pt;width:148.75pt;z-index:251721728;mso-width-relative:page;mso-height-relative:page;" fillcolor="#FFFFFF" filled="t" stroked="f" coordsize="21600,21600" o:gfxdata="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rs93k2wAAAA4BAAAPAAAAAAAAAAEAIAAAACIAAABkcnMvZG93&#10;bnJldi54bWxQSwECFAAUAAAACACHTuJABCw92cQBAAB6AwAADgAAAAAAAAABACAAAAAqAQAAZHJz&#10;L2Uyb0RvYy54bWxQSwUGAAAAAAYABgBZAQAAYAUAAAAA&#10;">
                <v:fill on="t" focussize="0,0"/>
                <v:stroke on="f"/>
                <v:imagedata o:title=""/>
                <o:lock v:ext="edit" aspectratio="f"/>
                <v:textbox>
                  <w:txbxContent>
                    <w:p/>
                  </w:txbxContent>
                </v:textbox>
              </v:shape>
            </w:pict>
          </mc:Fallback>
        </mc:AlternateContent>
      </w:r>
      <w:r>
        <w:rPr>
          <w:sz w:val="28"/>
          <w:szCs w:val="28"/>
        </w:rPr>
        <mc:AlternateContent>
          <mc:Choice Requires="wps">
            <w:drawing>
              <wp:anchor distT="0" distB="0" distL="114300" distR="114300" simplePos="0" relativeHeight="251686912" behindDoc="0" locked="0" layoutInCell="1" allowOverlap="1">
                <wp:simplePos x="0" y="0"/>
                <wp:positionH relativeFrom="column">
                  <wp:posOffset>-210185</wp:posOffset>
                </wp:positionH>
                <wp:positionV relativeFrom="paragraph">
                  <wp:posOffset>7066915</wp:posOffset>
                </wp:positionV>
                <wp:extent cx="1036320" cy="690245"/>
                <wp:effectExtent l="4445" t="4445" r="6985" b="10160"/>
                <wp:wrapNone/>
                <wp:docPr id="111" name="矩形 111"/>
                <wp:cNvGraphicFramePr/>
                <a:graphic xmlns:a="http://schemas.openxmlformats.org/drawingml/2006/main">
                  <a:graphicData uri="http://schemas.microsoft.com/office/word/2010/wordprocessingShape">
                    <wps:wsp>
                      <wps:cNvSpPr/>
                      <wps:spPr>
                        <a:xfrm>
                          <a:off x="0" y="0"/>
                          <a:ext cx="1036320" cy="690245"/>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6.55pt;margin-top:556.45pt;height:54.35pt;width:81.6pt;z-index:251686912;mso-width-relative:page;mso-height-relative:page;" fillcolor="#FFFFFF" filled="t" stroked="t" coordsize="21600,21600" o:gfxdata="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9rccrZAAAADQEAAA8AAAAAAAAAAQAgAAAAIgAAAGRycy9kb3ducmV2Lnht&#10;bFBLAQIUABQAAAAIAIdO4kCGB3Yq+AEAACIEAAAOAAAAAAAAAAEAIAAAACgBAABkcnMvZTJvRG9j&#10;LnhtbFBLBQYAAAAABgAGAFkBAACSBQAAAAA=&#10;">
                <v:fill on="t" focussize="0,0"/>
                <v:stroke color="#FFFFFF" joinstyle="miter"/>
                <v:imagedata o:title=""/>
                <o:lock v:ext="edit" aspectratio="f"/>
              </v:rect>
            </w:pict>
          </mc:Fallback>
        </mc:AlternateContent>
      </w:r>
      <w:r>
        <w:rPr>
          <w:rFonts w:hint="eastAsia" w:ascii="仿宋_GB2312" w:hAnsi="宋体" w:eastAsia="仿宋_GB2312" w:cs="宋体"/>
          <w:color w:val="000000"/>
          <w:sz w:val="28"/>
          <w:szCs w:val="28"/>
        </w:rPr>
        <w:br w:type="page"/>
      </w:r>
      <w:r>
        <w:rPr>
          <w:rFonts w:hint="eastAsia" w:ascii="方正小标宋简体" w:hAnsi="方正小标宋简体" w:eastAsia="方正小标宋简体" w:cs="方正小标宋简体"/>
          <w:b w:val="0"/>
          <w:bCs w:val="0"/>
          <w:color w:val="000000"/>
          <w:sz w:val="40"/>
          <w:szCs w:val="40"/>
        </w:rPr>
        <w:t>目</w:t>
      </w:r>
      <w:r>
        <w:rPr>
          <w:rFonts w:hint="eastAsia" w:ascii="方正小标宋简体" w:hAnsi="方正小标宋简体" w:eastAsia="方正小标宋简体" w:cs="方正小标宋简体"/>
          <w:b w:val="0"/>
          <w:bCs w:val="0"/>
          <w:color w:val="000000"/>
          <w:sz w:val="40"/>
          <w:szCs w:val="40"/>
        </w:rPr>
        <w:tab/>
      </w:r>
      <w:r>
        <w:rPr>
          <w:rFonts w:hint="eastAsia" w:ascii="方正小标宋简体" w:hAnsi="方正小标宋简体" w:eastAsia="方正小标宋简体" w:cs="方正小标宋简体"/>
          <w:b w:val="0"/>
          <w:bCs w:val="0"/>
          <w:color w:val="000000"/>
          <w:sz w:val="40"/>
          <w:szCs w:val="40"/>
        </w:rPr>
        <w:t xml:space="preserve">  录</w:t>
      </w:r>
    </w:p>
    <w:p>
      <w:pPr>
        <w:pStyle w:val="11"/>
        <w:keepNext w:val="0"/>
        <w:keepLines w:val="0"/>
        <w:pageBreakBefore w:val="0"/>
        <w:widowControl w:val="0"/>
        <w:tabs>
          <w:tab w:val="left" w:leader="dot" w:pos="8284"/>
          <w:tab w:val="clear" w:pos="8720"/>
        </w:tabs>
        <w:wordWrap/>
        <w:bidi w:val="0"/>
        <w:spacing w:before="0" w:after="0" w:line="500" w:lineRule="exact"/>
        <w:ind w:firstLine="522" w:firstLineChars="200"/>
        <w:rPr>
          <w:rFonts w:hint="eastAsia" w:ascii="仿宋" w:hAnsi="仿宋" w:eastAsia="仿宋" w:cs="仿宋"/>
          <w:color w:val="000000"/>
          <w:sz w:val="28"/>
          <w:szCs w:val="28"/>
        </w:rPr>
      </w:pPr>
    </w:p>
    <w:p>
      <w:pPr>
        <w:pStyle w:val="11"/>
        <w:keepNext w:val="0"/>
        <w:keepLines w:val="0"/>
        <w:pageBreakBefore w:val="0"/>
        <w:widowControl w:val="0"/>
        <w:tabs>
          <w:tab w:val="left" w:leader="dot" w:pos="8284"/>
          <w:tab w:val="clear" w:pos="8720"/>
        </w:tabs>
        <w:kinsoku/>
        <w:wordWrap/>
        <w:overflowPunct/>
        <w:topLinePunct w:val="0"/>
        <w:autoSpaceDE/>
        <w:autoSpaceDN/>
        <w:bidi w:val="0"/>
        <w:adjustRightInd/>
        <w:snapToGrid/>
        <w:spacing w:line="500" w:lineRule="exact"/>
        <w:ind w:firstLine="522" w:firstLineChars="200"/>
        <w:jc w:val="left"/>
        <w:textAlignment w:val="auto"/>
        <w:outlineLvl w:val="0"/>
        <w:rPr>
          <w:rFonts w:hint="eastAsia" w:ascii="仿宋_GB2312" w:hAnsi="仿宋" w:eastAsia="仿宋_GB2312" w:cs="仿宋"/>
          <w:b w:val="0"/>
          <w:bCs w:val="0"/>
          <w:i w:val="0"/>
          <w:iCs w:val="0"/>
          <w:color w:val="000000"/>
          <w:sz w:val="28"/>
          <w:szCs w:val="28"/>
        </w:rPr>
      </w:pPr>
      <w:bookmarkStart w:id="397" w:name="_Toc18683"/>
      <w:r>
        <w:rPr>
          <w:rFonts w:hint="eastAsia" w:ascii="仿宋_GB2312" w:hAnsi="仿宋" w:eastAsia="仿宋_GB2312" w:cs="仿宋"/>
          <w:b w:val="0"/>
          <w:bCs w:val="0"/>
          <w:i w:val="0"/>
          <w:iCs w:val="0"/>
          <w:color w:val="000000"/>
          <w:sz w:val="28"/>
          <w:szCs w:val="28"/>
        </w:rPr>
        <w:fldChar w:fldCharType="begin"/>
      </w:r>
      <w:r>
        <w:rPr>
          <w:rFonts w:hint="eastAsia" w:ascii="仿宋_GB2312" w:hAnsi="仿宋" w:eastAsia="仿宋_GB2312" w:cs="仿宋"/>
          <w:b w:val="0"/>
          <w:bCs w:val="0"/>
          <w:i w:val="0"/>
          <w:iCs w:val="0"/>
          <w:color w:val="000000"/>
          <w:sz w:val="28"/>
          <w:szCs w:val="28"/>
        </w:rPr>
        <w:instrText xml:space="preserve"> HYPERLINK \l "_bookmark0" </w:instrText>
      </w:r>
      <w:r>
        <w:rPr>
          <w:rFonts w:hint="eastAsia" w:ascii="仿宋_GB2312" w:hAnsi="仿宋" w:eastAsia="仿宋_GB2312" w:cs="仿宋"/>
          <w:b w:val="0"/>
          <w:bCs w:val="0"/>
          <w:i w:val="0"/>
          <w:iCs w:val="0"/>
          <w:color w:val="000000"/>
          <w:sz w:val="28"/>
          <w:szCs w:val="28"/>
        </w:rPr>
        <w:fldChar w:fldCharType="separate"/>
      </w:r>
      <w:r>
        <w:rPr>
          <w:rFonts w:hint="eastAsia" w:ascii="仿宋_GB2312" w:hAnsi="仿宋" w:eastAsia="仿宋_GB2312" w:cs="仿宋"/>
          <w:b w:val="0"/>
          <w:bCs w:val="0"/>
          <w:i w:val="0"/>
          <w:iCs w:val="0"/>
          <w:color w:val="000000"/>
          <w:sz w:val="28"/>
          <w:szCs w:val="28"/>
        </w:rPr>
        <w:t>第一章  总则</w:t>
      </w:r>
      <w:r>
        <w:rPr>
          <w:rFonts w:hint="eastAsia" w:ascii="仿宋_GB2312" w:hAnsi="仿宋" w:eastAsia="仿宋_GB2312" w:cs="仿宋"/>
          <w:b w:val="0"/>
          <w:bCs w:val="0"/>
          <w:i w:val="0"/>
          <w:iCs w:val="0"/>
          <w:color w:val="000000"/>
          <w:sz w:val="28"/>
          <w:szCs w:val="28"/>
        </w:rPr>
        <w:fldChar w:fldCharType="end"/>
      </w:r>
      <w:bookmarkEnd w:id="397"/>
    </w:p>
    <w:p>
      <w:pPr>
        <w:pStyle w:val="13"/>
        <w:keepNext w:val="0"/>
        <w:keepLines w:val="0"/>
        <w:pageBreakBefore w:val="0"/>
        <w:widowControl w:val="0"/>
        <w:tabs>
          <w:tab w:val="left" w:leader="dot" w:pos="8284"/>
        </w:tabs>
        <w:kinsoku/>
        <w:wordWrap/>
        <w:overflowPunct/>
        <w:topLinePunct w:val="0"/>
        <w:autoSpaceDE/>
        <w:autoSpaceDN/>
        <w:bidi w:val="0"/>
        <w:adjustRightInd/>
        <w:snapToGrid/>
        <w:spacing w:before="0" w:line="500" w:lineRule="exact"/>
        <w:ind w:left="0" w:firstLine="522" w:firstLineChars="200"/>
        <w:jc w:val="left"/>
        <w:textAlignment w:val="auto"/>
        <w:rPr>
          <w:rFonts w:hint="eastAsia" w:ascii="仿宋_GB2312" w:hAnsi="仿宋" w:eastAsia="仿宋_GB2312" w:cs="仿宋"/>
          <w:i w:val="0"/>
          <w:iCs w:val="0"/>
          <w:color w:val="000000"/>
          <w:sz w:val="28"/>
          <w:szCs w:val="28"/>
        </w:rPr>
      </w:pPr>
      <w:r>
        <w:rPr>
          <w:rFonts w:hint="eastAsia" w:ascii="仿宋_GB2312" w:hAnsi="仿宋" w:eastAsia="仿宋_GB2312" w:cs="仿宋"/>
          <w:i w:val="0"/>
          <w:iCs w:val="0"/>
          <w:color w:val="000000"/>
          <w:sz w:val="28"/>
          <w:szCs w:val="28"/>
        </w:rPr>
        <w:fldChar w:fldCharType="begin"/>
      </w:r>
      <w:r>
        <w:rPr>
          <w:rFonts w:hint="eastAsia" w:ascii="仿宋_GB2312" w:hAnsi="仿宋" w:eastAsia="仿宋_GB2312" w:cs="仿宋"/>
          <w:i w:val="0"/>
          <w:iCs w:val="0"/>
          <w:color w:val="000000"/>
          <w:sz w:val="28"/>
          <w:szCs w:val="28"/>
        </w:rPr>
        <w:instrText xml:space="preserve"> HYPERLINK \l "_bookmark1" </w:instrText>
      </w:r>
      <w:r>
        <w:rPr>
          <w:rFonts w:hint="eastAsia" w:ascii="仿宋_GB2312" w:hAnsi="仿宋" w:eastAsia="仿宋_GB2312" w:cs="仿宋"/>
          <w:i w:val="0"/>
          <w:iCs w:val="0"/>
          <w:color w:val="000000"/>
          <w:sz w:val="28"/>
          <w:szCs w:val="28"/>
        </w:rPr>
        <w:fldChar w:fldCharType="separate"/>
      </w:r>
      <w:r>
        <w:rPr>
          <w:rFonts w:hint="eastAsia" w:ascii="仿宋_GB2312" w:hAnsi="仿宋" w:eastAsia="仿宋_GB2312" w:cs="仿宋"/>
          <w:i w:val="0"/>
          <w:iCs w:val="0"/>
          <w:color w:val="000000"/>
          <w:sz w:val="28"/>
          <w:szCs w:val="28"/>
        </w:rPr>
        <w:t>第</w:t>
      </w:r>
      <w:r>
        <w:rPr>
          <w:rFonts w:hint="eastAsia" w:ascii="仿宋_GB2312" w:hAnsi="仿宋" w:eastAsia="仿宋_GB2312" w:cs="仿宋"/>
          <w:i w:val="0"/>
          <w:iCs w:val="0"/>
          <w:color w:val="000000"/>
          <w:spacing w:val="-3"/>
          <w:sz w:val="28"/>
          <w:szCs w:val="28"/>
        </w:rPr>
        <w:t>一</w:t>
      </w:r>
      <w:r>
        <w:rPr>
          <w:rFonts w:hint="eastAsia" w:ascii="仿宋_GB2312" w:hAnsi="仿宋" w:eastAsia="仿宋_GB2312" w:cs="仿宋"/>
          <w:i w:val="0"/>
          <w:iCs w:val="0"/>
          <w:color w:val="000000"/>
          <w:sz w:val="28"/>
          <w:szCs w:val="28"/>
        </w:rPr>
        <w:t>节</w:t>
      </w:r>
      <w:r>
        <w:rPr>
          <w:rFonts w:hint="eastAsia" w:ascii="仿宋_GB2312" w:hAnsi="仿宋" w:eastAsia="仿宋_GB2312" w:cs="仿宋"/>
          <w:i w:val="0"/>
          <w:iCs w:val="0"/>
          <w:color w:val="000000"/>
          <w:spacing w:val="3"/>
          <w:sz w:val="28"/>
          <w:szCs w:val="28"/>
        </w:rPr>
        <w:t xml:space="preserve">  </w:t>
      </w:r>
      <w:r>
        <w:rPr>
          <w:rFonts w:hint="eastAsia" w:ascii="仿宋_GB2312" w:hAnsi="仿宋" w:eastAsia="仿宋_GB2312" w:cs="仿宋"/>
          <w:i w:val="0"/>
          <w:iCs w:val="0"/>
          <w:color w:val="000000"/>
          <w:sz w:val="28"/>
          <w:szCs w:val="28"/>
        </w:rPr>
        <w:t>制</w:t>
      </w:r>
      <w:r>
        <w:rPr>
          <w:rFonts w:hint="eastAsia" w:ascii="仿宋_GB2312" w:hAnsi="仿宋" w:eastAsia="仿宋_GB2312" w:cs="仿宋"/>
          <w:i w:val="0"/>
          <w:iCs w:val="0"/>
          <w:color w:val="000000"/>
          <w:spacing w:val="-3"/>
          <w:sz w:val="28"/>
          <w:szCs w:val="28"/>
        </w:rPr>
        <w:t>定</w:t>
      </w:r>
      <w:r>
        <w:rPr>
          <w:rFonts w:hint="eastAsia" w:ascii="仿宋_GB2312" w:hAnsi="仿宋" w:eastAsia="仿宋_GB2312" w:cs="仿宋"/>
          <w:i w:val="0"/>
          <w:iCs w:val="0"/>
          <w:color w:val="000000"/>
          <w:sz w:val="28"/>
          <w:szCs w:val="28"/>
        </w:rPr>
        <w:t>本指</w:t>
      </w:r>
      <w:r>
        <w:rPr>
          <w:rFonts w:hint="eastAsia" w:ascii="仿宋_GB2312" w:hAnsi="仿宋" w:eastAsia="仿宋_GB2312" w:cs="仿宋"/>
          <w:i w:val="0"/>
          <w:iCs w:val="0"/>
          <w:color w:val="000000"/>
          <w:spacing w:val="-3"/>
          <w:sz w:val="28"/>
          <w:szCs w:val="28"/>
        </w:rPr>
        <w:t>引</w:t>
      </w:r>
      <w:r>
        <w:rPr>
          <w:rFonts w:hint="eastAsia" w:ascii="仿宋_GB2312" w:hAnsi="仿宋" w:eastAsia="仿宋_GB2312" w:cs="仿宋"/>
          <w:i w:val="0"/>
          <w:iCs w:val="0"/>
          <w:color w:val="000000"/>
          <w:sz w:val="28"/>
          <w:szCs w:val="28"/>
        </w:rPr>
        <w:t>的背</w:t>
      </w:r>
      <w:r>
        <w:rPr>
          <w:rFonts w:hint="eastAsia" w:ascii="仿宋_GB2312" w:hAnsi="仿宋" w:eastAsia="仿宋_GB2312" w:cs="仿宋"/>
          <w:i w:val="0"/>
          <w:iCs w:val="0"/>
          <w:color w:val="000000"/>
          <w:spacing w:val="-3"/>
          <w:sz w:val="28"/>
          <w:szCs w:val="28"/>
        </w:rPr>
        <w:t>景</w:t>
      </w:r>
      <w:r>
        <w:rPr>
          <w:rFonts w:hint="eastAsia" w:ascii="仿宋_GB2312" w:hAnsi="仿宋" w:eastAsia="仿宋_GB2312" w:cs="仿宋"/>
          <w:i w:val="0"/>
          <w:iCs w:val="0"/>
          <w:color w:val="000000"/>
          <w:sz w:val="28"/>
          <w:szCs w:val="28"/>
        </w:rPr>
        <w:t>及目的</w:t>
      </w:r>
      <w:r>
        <w:rPr>
          <w:rFonts w:hint="eastAsia" w:ascii="仿宋_GB2312" w:hAnsi="仿宋" w:eastAsia="仿宋_GB2312" w:cs="仿宋"/>
          <w:i w:val="0"/>
          <w:iCs w:val="0"/>
          <w:color w:val="000000"/>
          <w:sz w:val="28"/>
          <w:szCs w:val="28"/>
        </w:rPr>
        <w:fldChar w:fldCharType="end"/>
      </w:r>
    </w:p>
    <w:p>
      <w:pPr>
        <w:pStyle w:val="13"/>
        <w:keepNext w:val="0"/>
        <w:keepLines w:val="0"/>
        <w:pageBreakBefore w:val="0"/>
        <w:widowControl w:val="0"/>
        <w:tabs>
          <w:tab w:val="left" w:leader="dot" w:pos="8284"/>
        </w:tabs>
        <w:kinsoku/>
        <w:wordWrap/>
        <w:overflowPunct/>
        <w:topLinePunct w:val="0"/>
        <w:autoSpaceDE/>
        <w:autoSpaceDN/>
        <w:bidi w:val="0"/>
        <w:adjustRightInd/>
        <w:snapToGrid/>
        <w:spacing w:before="0" w:line="500" w:lineRule="exact"/>
        <w:ind w:left="0" w:firstLine="522" w:firstLineChars="200"/>
        <w:jc w:val="left"/>
        <w:textAlignment w:val="auto"/>
        <w:rPr>
          <w:rFonts w:hint="eastAsia" w:ascii="仿宋_GB2312" w:hAnsi="仿宋" w:eastAsia="仿宋_GB2312" w:cs="仿宋"/>
          <w:i w:val="0"/>
          <w:iCs w:val="0"/>
          <w:color w:val="000000"/>
          <w:sz w:val="28"/>
          <w:szCs w:val="28"/>
        </w:rPr>
      </w:pPr>
      <w:r>
        <w:rPr>
          <w:rFonts w:hint="eastAsia" w:ascii="仿宋_GB2312" w:hAnsi="仿宋" w:eastAsia="仿宋_GB2312" w:cs="仿宋"/>
          <w:i w:val="0"/>
          <w:iCs w:val="0"/>
          <w:color w:val="000000"/>
          <w:sz w:val="28"/>
          <w:szCs w:val="28"/>
        </w:rPr>
        <w:fldChar w:fldCharType="begin"/>
      </w:r>
      <w:r>
        <w:rPr>
          <w:rFonts w:hint="eastAsia" w:ascii="仿宋_GB2312" w:hAnsi="仿宋" w:eastAsia="仿宋_GB2312" w:cs="仿宋"/>
          <w:i w:val="0"/>
          <w:iCs w:val="0"/>
          <w:color w:val="000000"/>
          <w:sz w:val="28"/>
          <w:szCs w:val="28"/>
        </w:rPr>
        <w:instrText xml:space="preserve"> HYPERLINK \l "_bookmark2" </w:instrText>
      </w:r>
      <w:r>
        <w:rPr>
          <w:rFonts w:hint="eastAsia" w:ascii="仿宋_GB2312" w:hAnsi="仿宋" w:eastAsia="仿宋_GB2312" w:cs="仿宋"/>
          <w:i w:val="0"/>
          <w:iCs w:val="0"/>
          <w:color w:val="000000"/>
          <w:sz w:val="28"/>
          <w:szCs w:val="28"/>
        </w:rPr>
        <w:fldChar w:fldCharType="separate"/>
      </w:r>
      <w:r>
        <w:rPr>
          <w:rFonts w:hint="eastAsia" w:ascii="仿宋_GB2312" w:hAnsi="仿宋" w:eastAsia="仿宋_GB2312" w:cs="仿宋"/>
          <w:i w:val="0"/>
          <w:iCs w:val="0"/>
          <w:color w:val="000000"/>
          <w:sz w:val="28"/>
          <w:szCs w:val="28"/>
        </w:rPr>
        <w:t>第</w:t>
      </w:r>
      <w:r>
        <w:rPr>
          <w:rFonts w:hint="eastAsia" w:ascii="仿宋_GB2312" w:hAnsi="仿宋" w:eastAsia="仿宋_GB2312" w:cs="仿宋"/>
          <w:i w:val="0"/>
          <w:iCs w:val="0"/>
          <w:color w:val="000000"/>
          <w:spacing w:val="-3"/>
          <w:sz w:val="28"/>
          <w:szCs w:val="28"/>
        </w:rPr>
        <w:t>二</w:t>
      </w:r>
      <w:r>
        <w:rPr>
          <w:rFonts w:hint="eastAsia" w:ascii="仿宋_GB2312" w:hAnsi="仿宋" w:eastAsia="仿宋_GB2312" w:cs="仿宋"/>
          <w:i w:val="0"/>
          <w:iCs w:val="0"/>
          <w:color w:val="000000"/>
          <w:sz w:val="28"/>
          <w:szCs w:val="28"/>
        </w:rPr>
        <w:t>节</w:t>
      </w:r>
      <w:r>
        <w:rPr>
          <w:rFonts w:hint="eastAsia" w:ascii="仿宋_GB2312" w:hAnsi="仿宋" w:eastAsia="仿宋_GB2312" w:cs="仿宋"/>
          <w:i w:val="0"/>
          <w:iCs w:val="0"/>
          <w:color w:val="000000"/>
          <w:spacing w:val="3"/>
          <w:sz w:val="28"/>
          <w:szCs w:val="28"/>
        </w:rPr>
        <w:t xml:space="preserve">  </w:t>
      </w:r>
      <w:r>
        <w:rPr>
          <w:rFonts w:hint="eastAsia" w:ascii="仿宋_GB2312" w:hAnsi="仿宋" w:eastAsia="仿宋_GB2312" w:cs="仿宋"/>
          <w:i w:val="0"/>
          <w:iCs w:val="0"/>
          <w:color w:val="000000"/>
          <w:sz w:val="28"/>
          <w:szCs w:val="28"/>
        </w:rPr>
        <w:t>本</w:t>
      </w:r>
      <w:r>
        <w:rPr>
          <w:rFonts w:hint="eastAsia" w:ascii="仿宋_GB2312" w:hAnsi="仿宋" w:eastAsia="仿宋_GB2312" w:cs="仿宋"/>
          <w:i w:val="0"/>
          <w:iCs w:val="0"/>
          <w:color w:val="000000"/>
          <w:spacing w:val="-3"/>
          <w:sz w:val="28"/>
          <w:szCs w:val="28"/>
        </w:rPr>
        <w:t>指</w:t>
      </w:r>
      <w:r>
        <w:rPr>
          <w:rFonts w:hint="eastAsia" w:ascii="仿宋_GB2312" w:hAnsi="仿宋" w:eastAsia="仿宋_GB2312" w:cs="仿宋"/>
          <w:i w:val="0"/>
          <w:iCs w:val="0"/>
          <w:color w:val="000000"/>
          <w:sz w:val="28"/>
          <w:szCs w:val="28"/>
        </w:rPr>
        <w:t>引的</w:t>
      </w:r>
      <w:r>
        <w:rPr>
          <w:rFonts w:hint="eastAsia" w:ascii="仿宋_GB2312" w:hAnsi="仿宋" w:eastAsia="仿宋_GB2312" w:cs="仿宋"/>
          <w:i w:val="0"/>
          <w:iCs w:val="0"/>
          <w:color w:val="000000"/>
          <w:spacing w:val="-3"/>
          <w:sz w:val="28"/>
          <w:szCs w:val="28"/>
        </w:rPr>
        <w:t>适</w:t>
      </w:r>
      <w:r>
        <w:rPr>
          <w:rFonts w:hint="eastAsia" w:ascii="仿宋_GB2312" w:hAnsi="仿宋" w:eastAsia="仿宋_GB2312" w:cs="仿宋"/>
          <w:i w:val="0"/>
          <w:iCs w:val="0"/>
          <w:color w:val="000000"/>
          <w:sz w:val="28"/>
          <w:szCs w:val="28"/>
        </w:rPr>
        <w:t>用范围</w:t>
      </w:r>
      <w:r>
        <w:rPr>
          <w:rFonts w:hint="eastAsia" w:ascii="仿宋_GB2312" w:hAnsi="仿宋" w:eastAsia="仿宋_GB2312" w:cs="仿宋"/>
          <w:i w:val="0"/>
          <w:iCs w:val="0"/>
          <w:color w:val="000000"/>
          <w:sz w:val="28"/>
          <w:szCs w:val="28"/>
        </w:rPr>
        <w:fldChar w:fldCharType="end"/>
      </w:r>
    </w:p>
    <w:p>
      <w:pPr>
        <w:pStyle w:val="13"/>
        <w:keepNext w:val="0"/>
        <w:keepLines w:val="0"/>
        <w:pageBreakBefore w:val="0"/>
        <w:widowControl w:val="0"/>
        <w:tabs>
          <w:tab w:val="left" w:leader="dot" w:pos="8284"/>
        </w:tabs>
        <w:kinsoku/>
        <w:wordWrap/>
        <w:overflowPunct/>
        <w:topLinePunct w:val="0"/>
        <w:autoSpaceDE/>
        <w:autoSpaceDN/>
        <w:bidi w:val="0"/>
        <w:adjustRightInd/>
        <w:snapToGrid/>
        <w:spacing w:before="0" w:line="500" w:lineRule="exact"/>
        <w:ind w:left="0" w:firstLine="522" w:firstLineChars="200"/>
        <w:jc w:val="left"/>
        <w:textAlignment w:val="auto"/>
        <w:rPr>
          <w:rFonts w:hint="eastAsia" w:ascii="仿宋_GB2312" w:hAnsi="仿宋" w:eastAsia="仿宋_GB2312" w:cs="仿宋"/>
          <w:i w:val="0"/>
          <w:iCs w:val="0"/>
          <w:color w:val="000000"/>
          <w:sz w:val="28"/>
          <w:szCs w:val="28"/>
        </w:rPr>
      </w:pPr>
      <w:r>
        <w:rPr>
          <w:rFonts w:hint="eastAsia" w:ascii="仿宋_GB2312" w:hAnsi="仿宋" w:eastAsia="仿宋_GB2312" w:cs="仿宋"/>
          <w:i w:val="0"/>
          <w:iCs w:val="0"/>
          <w:color w:val="000000"/>
          <w:sz w:val="28"/>
          <w:szCs w:val="28"/>
        </w:rPr>
        <w:fldChar w:fldCharType="begin"/>
      </w:r>
      <w:r>
        <w:rPr>
          <w:rFonts w:hint="eastAsia" w:ascii="仿宋_GB2312" w:hAnsi="仿宋" w:eastAsia="仿宋_GB2312" w:cs="仿宋"/>
          <w:i w:val="0"/>
          <w:iCs w:val="0"/>
          <w:color w:val="000000"/>
          <w:sz w:val="28"/>
          <w:szCs w:val="28"/>
        </w:rPr>
        <w:instrText xml:space="preserve"> HYPERLINK \l "_bookmark3" </w:instrText>
      </w:r>
      <w:r>
        <w:rPr>
          <w:rFonts w:hint="eastAsia" w:ascii="仿宋_GB2312" w:hAnsi="仿宋" w:eastAsia="仿宋_GB2312" w:cs="仿宋"/>
          <w:i w:val="0"/>
          <w:iCs w:val="0"/>
          <w:color w:val="000000"/>
          <w:sz w:val="28"/>
          <w:szCs w:val="28"/>
        </w:rPr>
        <w:fldChar w:fldCharType="separate"/>
      </w:r>
      <w:r>
        <w:rPr>
          <w:rFonts w:hint="eastAsia" w:ascii="仿宋_GB2312" w:hAnsi="仿宋" w:eastAsia="仿宋_GB2312" w:cs="仿宋"/>
          <w:i w:val="0"/>
          <w:iCs w:val="0"/>
          <w:color w:val="000000"/>
          <w:sz w:val="28"/>
          <w:szCs w:val="28"/>
        </w:rPr>
        <w:t>第</w:t>
      </w:r>
      <w:r>
        <w:rPr>
          <w:rFonts w:hint="eastAsia" w:ascii="仿宋_GB2312" w:hAnsi="仿宋" w:eastAsia="仿宋_GB2312" w:cs="仿宋"/>
          <w:i w:val="0"/>
          <w:iCs w:val="0"/>
          <w:color w:val="000000"/>
          <w:spacing w:val="-3"/>
          <w:sz w:val="28"/>
          <w:szCs w:val="28"/>
        </w:rPr>
        <w:t>三</w:t>
      </w:r>
      <w:r>
        <w:rPr>
          <w:rFonts w:hint="eastAsia" w:ascii="仿宋_GB2312" w:hAnsi="仿宋" w:eastAsia="仿宋_GB2312" w:cs="仿宋"/>
          <w:i w:val="0"/>
          <w:iCs w:val="0"/>
          <w:color w:val="000000"/>
          <w:sz w:val="28"/>
          <w:szCs w:val="28"/>
        </w:rPr>
        <w:t>节</w:t>
      </w:r>
      <w:r>
        <w:rPr>
          <w:rFonts w:hint="eastAsia" w:ascii="仿宋_GB2312" w:hAnsi="仿宋" w:eastAsia="仿宋_GB2312" w:cs="仿宋"/>
          <w:i w:val="0"/>
          <w:iCs w:val="0"/>
          <w:color w:val="000000"/>
          <w:spacing w:val="4"/>
          <w:sz w:val="28"/>
          <w:szCs w:val="28"/>
        </w:rPr>
        <w:t xml:space="preserve">  </w:t>
      </w:r>
      <w:r>
        <w:rPr>
          <w:rFonts w:hint="eastAsia" w:ascii="仿宋_GB2312" w:hAnsi="仿宋" w:eastAsia="仿宋_GB2312" w:cs="仿宋"/>
          <w:i w:val="0"/>
          <w:iCs w:val="0"/>
          <w:color w:val="000000"/>
          <w:sz w:val="28"/>
          <w:szCs w:val="28"/>
        </w:rPr>
        <w:t>律</w:t>
      </w:r>
      <w:r>
        <w:rPr>
          <w:rFonts w:hint="eastAsia" w:ascii="仿宋_GB2312" w:hAnsi="仿宋" w:eastAsia="仿宋_GB2312" w:cs="仿宋"/>
          <w:i w:val="0"/>
          <w:iCs w:val="0"/>
          <w:color w:val="000000"/>
          <w:spacing w:val="-3"/>
          <w:sz w:val="28"/>
          <w:szCs w:val="28"/>
        </w:rPr>
        <w:t>师</w:t>
      </w:r>
      <w:r>
        <w:rPr>
          <w:rFonts w:hint="eastAsia" w:ascii="仿宋_GB2312" w:hAnsi="仿宋" w:eastAsia="仿宋_GB2312" w:cs="仿宋"/>
          <w:i w:val="0"/>
          <w:iCs w:val="0"/>
          <w:color w:val="000000"/>
          <w:sz w:val="28"/>
          <w:szCs w:val="28"/>
        </w:rPr>
        <w:t>参与</w:t>
      </w:r>
      <w:r>
        <w:rPr>
          <w:rFonts w:hint="eastAsia" w:ascii="仿宋_GB2312" w:hAnsi="仿宋" w:eastAsia="仿宋_GB2312" w:cs="仿宋"/>
          <w:i w:val="0"/>
          <w:iCs w:val="0"/>
          <w:color w:val="000000"/>
          <w:spacing w:val="-3"/>
          <w:sz w:val="28"/>
          <w:szCs w:val="28"/>
        </w:rPr>
        <w:t>涉</w:t>
      </w:r>
      <w:r>
        <w:rPr>
          <w:rFonts w:hint="eastAsia" w:ascii="仿宋_GB2312" w:hAnsi="仿宋" w:eastAsia="仿宋_GB2312" w:cs="仿宋"/>
          <w:i w:val="0"/>
          <w:iCs w:val="0"/>
          <w:color w:val="000000"/>
          <w:sz w:val="28"/>
          <w:szCs w:val="28"/>
        </w:rPr>
        <w:t>农法</w:t>
      </w:r>
      <w:r>
        <w:rPr>
          <w:rFonts w:hint="eastAsia" w:ascii="仿宋_GB2312" w:hAnsi="仿宋" w:eastAsia="仿宋_GB2312" w:cs="仿宋"/>
          <w:i w:val="0"/>
          <w:iCs w:val="0"/>
          <w:color w:val="000000"/>
          <w:spacing w:val="-3"/>
          <w:sz w:val="28"/>
          <w:szCs w:val="28"/>
        </w:rPr>
        <w:t>律</w:t>
      </w:r>
      <w:r>
        <w:rPr>
          <w:rFonts w:hint="eastAsia" w:ascii="仿宋_GB2312" w:hAnsi="仿宋" w:eastAsia="仿宋_GB2312" w:cs="仿宋"/>
          <w:i w:val="0"/>
          <w:iCs w:val="0"/>
          <w:color w:val="000000"/>
          <w:sz w:val="28"/>
          <w:szCs w:val="28"/>
        </w:rPr>
        <w:t>事务</w:t>
      </w:r>
      <w:r>
        <w:rPr>
          <w:rFonts w:hint="eastAsia" w:ascii="仿宋_GB2312" w:hAnsi="仿宋" w:eastAsia="仿宋_GB2312" w:cs="仿宋"/>
          <w:i w:val="0"/>
          <w:iCs w:val="0"/>
          <w:color w:val="000000"/>
          <w:spacing w:val="-3"/>
          <w:sz w:val="28"/>
          <w:szCs w:val="28"/>
        </w:rPr>
        <w:t>业</w:t>
      </w:r>
      <w:r>
        <w:rPr>
          <w:rFonts w:hint="eastAsia" w:ascii="仿宋_GB2312" w:hAnsi="仿宋" w:eastAsia="仿宋_GB2312" w:cs="仿宋"/>
          <w:i w:val="0"/>
          <w:iCs w:val="0"/>
          <w:color w:val="000000"/>
          <w:sz w:val="28"/>
          <w:szCs w:val="28"/>
        </w:rPr>
        <w:t>务的</w:t>
      </w:r>
      <w:r>
        <w:rPr>
          <w:rFonts w:hint="eastAsia" w:ascii="仿宋_GB2312" w:hAnsi="仿宋" w:eastAsia="仿宋_GB2312" w:cs="仿宋"/>
          <w:i w:val="0"/>
          <w:iCs w:val="0"/>
          <w:color w:val="000000"/>
          <w:spacing w:val="-3"/>
          <w:sz w:val="28"/>
          <w:szCs w:val="28"/>
        </w:rPr>
        <w:t>方</w:t>
      </w:r>
      <w:r>
        <w:rPr>
          <w:rFonts w:hint="eastAsia" w:ascii="仿宋_GB2312" w:hAnsi="仿宋" w:eastAsia="仿宋_GB2312" w:cs="仿宋"/>
          <w:i w:val="0"/>
          <w:iCs w:val="0"/>
          <w:color w:val="000000"/>
          <w:sz w:val="28"/>
          <w:szCs w:val="28"/>
        </w:rPr>
        <w:t>式与</w:t>
      </w:r>
      <w:r>
        <w:rPr>
          <w:rFonts w:hint="eastAsia" w:ascii="仿宋_GB2312" w:hAnsi="仿宋" w:eastAsia="仿宋_GB2312" w:cs="仿宋"/>
          <w:i w:val="0"/>
          <w:iCs w:val="0"/>
          <w:color w:val="000000"/>
          <w:spacing w:val="-3"/>
          <w:sz w:val="28"/>
          <w:szCs w:val="28"/>
        </w:rPr>
        <w:t>途</w:t>
      </w:r>
      <w:r>
        <w:rPr>
          <w:rFonts w:hint="eastAsia" w:ascii="仿宋_GB2312" w:hAnsi="仿宋" w:eastAsia="仿宋_GB2312" w:cs="仿宋"/>
          <w:i w:val="0"/>
          <w:iCs w:val="0"/>
          <w:color w:val="000000"/>
          <w:sz w:val="28"/>
          <w:szCs w:val="28"/>
        </w:rPr>
        <w:t>径</w:t>
      </w:r>
      <w:r>
        <w:rPr>
          <w:rFonts w:hint="eastAsia" w:ascii="仿宋_GB2312" w:hAnsi="仿宋" w:eastAsia="仿宋_GB2312" w:cs="仿宋"/>
          <w:i w:val="0"/>
          <w:iCs w:val="0"/>
          <w:color w:val="000000"/>
          <w:sz w:val="28"/>
          <w:szCs w:val="28"/>
        </w:rPr>
        <w:fldChar w:fldCharType="end"/>
      </w:r>
    </w:p>
    <w:p>
      <w:pPr>
        <w:pStyle w:val="13"/>
        <w:keepNext w:val="0"/>
        <w:keepLines w:val="0"/>
        <w:pageBreakBefore w:val="0"/>
        <w:widowControl w:val="0"/>
        <w:tabs>
          <w:tab w:val="left" w:leader="dot" w:pos="8284"/>
        </w:tabs>
        <w:kinsoku/>
        <w:wordWrap/>
        <w:overflowPunct/>
        <w:topLinePunct w:val="0"/>
        <w:autoSpaceDE/>
        <w:autoSpaceDN/>
        <w:bidi w:val="0"/>
        <w:adjustRightInd/>
        <w:snapToGrid/>
        <w:spacing w:before="0" w:line="500" w:lineRule="exact"/>
        <w:ind w:left="0" w:firstLine="522" w:firstLineChars="200"/>
        <w:jc w:val="left"/>
        <w:textAlignment w:val="auto"/>
        <w:rPr>
          <w:rFonts w:hint="eastAsia" w:ascii="仿宋_GB2312" w:hAnsi="仿宋" w:eastAsia="仿宋_GB2312" w:cs="仿宋"/>
          <w:i w:val="0"/>
          <w:iCs w:val="0"/>
          <w:color w:val="000000"/>
          <w:sz w:val="28"/>
          <w:szCs w:val="28"/>
        </w:rPr>
      </w:pPr>
      <w:r>
        <w:rPr>
          <w:rFonts w:hint="eastAsia" w:ascii="仿宋_GB2312" w:hAnsi="仿宋" w:eastAsia="仿宋_GB2312" w:cs="仿宋"/>
          <w:i w:val="0"/>
          <w:iCs w:val="0"/>
          <w:color w:val="000000"/>
          <w:sz w:val="28"/>
          <w:szCs w:val="28"/>
        </w:rPr>
        <w:fldChar w:fldCharType="begin"/>
      </w:r>
      <w:r>
        <w:rPr>
          <w:rFonts w:hint="eastAsia" w:ascii="仿宋_GB2312" w:hAnsi="仿宋" w:eastAsia="仿宋_GB2312" w:cs="仿宋"/>
          <w:i w:val="0"/>
          <w:iCs w:val="0"/>
          <w:color w:val="000000"/>
          <w:sz w:val="28"/>
          <w:szCs w:val="28"/>
        </w:rPr>
        <w:instrText xml:space="preserve"> HYPERLINK \l "_bookmark4" </w:instrText>
      </w:r>
      <w:r>
        <w:rPr>
          <w:rFonts w:hint="eastAsia" w:ascii="仿宋_GB2312" w:hAnsi="仿宋" w:eastAsia="仿宋_GB2312" w:cs="仿宋"/>
          <w:i w:val="0"/>
          <w:iCs w:val="0"/>
          <w:color w:val="000000"/>
          <w:sz w:val="28"/>
          <w:szCs w:val="28"/>
        </w:rPr>
        <w:fldChar w:fldCharType="separate"/>
      </w:r>
      <w:r>
        <w:rPr>
          <w:rFonts w:hint="eastAsia" w:ascii="仿宋_GB2312" w:hAnsi="仿宋" w:eastAsia="仿宋_GB2312" w:cs="仿宋"/>
          <w:i w:val="0"/>
          <w:iCs w:val="0"/>
          <w:color w:val="000000"/>
          <w:sz w:val="28"/>
          <w:szCs w:val="28"/>
        </w:rPr>
        <w:t>第</w:t>
      </w:r>
      <w:r>
        <w:rPr>
          <w:rFonts w:hint="eastAsia" w:ascii="仿宋_GB2312" w:hAnsi="仿宋" w:eastAsia="仿宋_GB2312" w:cs="仿宋"/>
          <w:i w:val="0"/>
          <w:iCs w:val="0"/>
          <w:color w:val="000000"/>
          <w:spacing w:val="-3"/>
          <w:sz w:val="28"/>
          <w:szCs w:val="28"/>
        </w:rPr>
        <w:t>四</w:t>
      </w:r>
      <w:r>
        <w:rPr>
          <w:rFonts w:hint="eastAsia" w:ascii="仿宋_GB2312" w:hAnsi="仿宋" w:eastAsia="仿宋_GB2312" w:cs="仿宋"/>
          <w:i w:val="0"/>
          <w:iCs w:val="0"/>
          <w:color w:val="000000"/>
          <w:sz w:val="28"/>
          <w:szCs w:val="28"/>
        </w:rPr>
        <w:t>节</w:t>
      </w:r>
      <w:r>
        <w:rPr>
          <w:rFonts w:hint="eastAsia" w:ascii="仿宋_GB2312" w:hAnsi="仿宋" w:eastAsia="仿宋_GB2312" w:cs="仿宋"/>
          <w:i w:val="0"/>
          <w:iCs w:val="0"/>
          <w:color w:val="000000"/>
          <w:spacing w:val="3"/>
          <w:sz w:val="28"/>
          <w:szCs w:val="28"/>
        </w:rPr>
        <w:t xml:space="preserve">  </w:t>
      </w:r>
      <w:r>
        <w:rPr>
          <w:rFonts w:hint="eastAsia" w:ascii="仿宋_GB2312" w:hAnsi="仿宋" w:eastAsia="仿宋_GB2312" w:cs="仿宋"/>
          <w:i w:val="0"/>
          <w:iCs w:val="0"/>
          <w:color w:val="000000"/>
          <w:sz w:val="28"/>
          <w:szCs w:val="28"/>
        </w:rPr>
        <w:t>律</w:t>
      </w:r>
      <w:r>
        <w:rPr>
          <w:rFonts w:hint="eastAsia" w:ascii="仿宋_GB2312" w:hAnsi="仿宋" w:eastAsia="仿宋_GB2312" w:cs="仿宋"/>
          <w:i w:val="0"/>
          <w:iCs w:val="0"/>
          <w:color w:val="000000"/>
          <w:spacing w:val="-3"/>
          <w:sz w:val="28"/>
          <w:szCs w:val="28"/>
        </w:rPr>
        <w:t>师</w:t>
      </w:r>
      <w:r>
        <w:rPr>
          <w:rFonts w:hint="eastAsia" w:ascii="仿宋_GB2312" w:hAnsi="仿宋" w:eastAsia="仿宋_GB2312" w:cs="仿宋"/>
          <w:i w:val="0"/>
          <w:iCs w:val="0"/>
          <w:color w:val="000000"/>
          <w:sz w:val="28"/>
          <w:szCs w:val="28"/>
        </w:rPr>
        <w:t>提</w:t>
      </w:r>
      <w:r>
        <w:rPr>
          <w:rFonts w:hint="eastAsia" w:ascii="仿宋_GB2312" w:hAnsi="仿宋" w:eastAsia="仿宋_GB2312" w:cs="仿宋"/>
          <w:i w:val="0"/>
          <w:iCs w:val="0"/>
          <w:color w:val="000000"/>
          <w:spacing w:val="-3"/>
          <w:sz w:val="28"/>
          <w:szCs w:val="28"/>
        </w:rPr>
        <w:t>供</w:t>
      </w:r>
      <w:r>
        <w:rPr>
          <w:rFonts w:hint="eastAsia" w:ascii="仿宋_GB2312" w:hAnsi="仿宋" w:eastAsia="仿宋_GB2312" w:cs="仿宋"/>
          <w:i w:val="0"/>
          <w:iCs w:val="0"/>
          <w:color w:val="000000"/>
          <w:sz w:val="28"/>
          <w:szCs w:val="28"/>
        </w:rPr>
        <w:t>“三</w:t>
      </w:r>
      <w:r>
        <w:rPr>
          <w:rFonts w:hint="eastAsia" w:ascii="仿宋_GB2312" w:hAnsi="仿宋" w:eastAsia="仿宋_GB2312" w:cs="仿宋"/>
          <w:i w:val="0"/>
          <w:iCs w:val="0"/>
          <w:color w:val="000000"/>
          <w:spacing w:val="-3"/>
          <w:sz w:val="28"/>
          <w:szCs w:val="28"/>
        </w:rPr>
        <w:t>农</w:t>
      </w:r>
      <w:r>
        <w:rPr>
          <w:rFonts w:hint="eastAsia" w:ascii="仿宋_GB2312" w:hAnsi="仿宋" w:eastAsia="仿宋_GB2312" w:cs="仿宋"/>
          <w:i w:val="0"/>
          <w:iCs w:val="0"/>
          <w:color w:val="000000"/>
          <w:sz w:val="28"/>
          <w:szCs w:val="28"/>
        </w:rPr>
        <w:t>”服务</w:t>
      </w:r>
      <w:r>
        <w:rPr>
          <w:rFonts w:hint="eastAsia" w:ascii="仿宋_GB2312" w:hAnsi="仿宋" w:eastAsia="仿宋_GB2312" w:cs="仿宋"/>
          <w:i w:val="0"/>
          <w:iCs w:val="0"/>
          <w:color w:val="000000"/>
          <w:spacing w:val="-3"/>
          <w:sz w:val="28"/>
          <w:szCs w:val="28"/>
        </w:rPr>
        <w:t>的</w:t>
      </w:r>
      <w:r>
        <w:rPr>
          <w:rFonts w:hint="eastAsia" w:ascii="仿宋_GB2312" w:hAnsi="仿宋" w:eastAsia="仿宋_GB2312" w:cs="仿宋"/>
          <w:i w:val="0"/>
          <w:iCs w:val="0"/>
          <w:color w:val="000000"/>
          <w:sz w:val="28"/>
          <w:szCs w:val="28"/>
        </w:rPr>
        <w:t>要求</w:t>
      </w:r>
      <w:r>
        <w:rPr>
          <w:rFonts w:hint="eastAsia" w:ascii="仿宋_GB2312" w:hAnsi="仿宋" w:eastAsia="仿宋_GB2312" w:cs="仿宋"/>
          <w:i w:val="0"/>
          <w:iCs w:val="0"/>
          <w:color w:val="000000"/>
          <w:sz w:val="28"/>
          <w:szCs w:val="28"/>
        </w:rPr>
        <w:fldChar w:fldCharType="end"/>
      </w:r>
    </w:p>
    <w:p>
      <w:pPr>
        <w:pStyle w:val="13"/>
        <w:keepNext w:val="0"/>
        <w:keepLines w:val="0"/>
        <w:pageBreakBefore w:val="0"/>
        <w:widowControl w:val="0"/>
        <w:tabs>
          <w:tab w:val="left" w:leader="dot" w:pos="8284"/>
        </w:tabs>
        <w:kinsoku/>
        <w:wordWrap/>
        <w:overflowPunct/>
        <w:topLinePunct w:val="0"/>
        <w:autoSpaceDE/>
        <w:autoSpaceDN/>
        <w:bidi w:val="0"/>
        <w:adjustRightInd/>
        <w:snapToGrid/>
        <w:spacing w:before="0" w:line="500" w:lineRule="exact"/>
        <w:ind w:left="0" w:firstLine="522" w:firstLineChars="200"/>
        <w:jc w:val="left"/>
        <w:textAlignment w:val="auto"/>
        <w:rPr>
          <w:rFonts w:hint="eastAsia" w:ascii="仿宋_GB2312" w:hAnsi="仿宋" w:eastAsia="仿宋_GB2312" w:cs="仿宋"/>
          <w:i w:val="0"/>
          <w:iCs w:val="0"/>
          <w:color w:val="000000"/>
          <w:sz w:val="28"/>
          <w:szCs w:val="28"/>
        </w:rPr>
      </w:pPr>
      <w:r>
        <w:rPr>
          <w:rFonts w:hint="eastAsia" w:ascii="仿宋_GB2312" w:hAnsi="仿宋" w:eastAsia="仿宋_GB2312" w:cs="仿宋"/>
          <w:i w:val="0"/>
          <w:iCs w:val="0"/>
          <w:color w:val="000000"/>
          <w:sz w:val="28"/>
          <w:szCs w:val="28"/>
        </w:rPr>
        <w:fldChar w:fldCharType="begin"/>
      </w:r>
      <w:r>
        <w:rPr>
          <w:rFonts w:hint="eastAsia" w:ascii="仿宋_GB2312" w:hAnsi="仿宋" w:eastAsia="仿宋_GB2312" w:cs="仿宋"/>
          <w:i w:val="0"/>
          <w:iCs w:val="0"/>
          <w:color w:val="000000"/>
          <w:sz w:val="28"/>
          <w:szCs w:val="28"/>
        </w:rPr>
        <w:instrText xml:space="preserve"> HYPERLINK \l "_bookmark5" </w:instrText>
      </w:r>
      <w:r>
        <w:rPr>
          <w:rFonts w:hint="eastAsia" w:ascii="仿宋_GB2312" w:hAnsi="仿宋" w:eastAsia="仿宋_GB2312" w:cs="仿宋"/>
          <w:i w:val="0"/>
          <w:iCs w:val="0"/>
          <w:color w:val="000000"/>
          <w:sz w:val="28"/>
          <w:szCs w:val="28"/>
        </w:rPr>
        <w:fldChar w:fldCharType="separate"/>
      </w:r>
      <w:r>
        <w:rPr>
          <w:rFonts w:hint="eastAsia" w:ascii="仿宋_GB2312" w:hAnsi="仿宋" w:eastAsia="仿宋_GB2312" w:cs="仿宋"/>
          <w:i w:val="0"/>
          <w:iCs w:val="0"/>
          <w:color w:val="000000"/>
          <w:sz w:val="28"/>
          <w:szCs w:val="28"/>
        </w:rPr>
        <w:t>第</w:t>
      </w:r>
      <w:r>
        <w:rPr>
          <w:rFonts w:hint="eastAsia" w:ascii="仿宋_GB2312" w:hAnsi="仿宋" w:eastAsia="仿宋_GB2312" w:cs="仿宋"/>
          <w:i w:val="0"/>
          <w:iCs w:val="0"/>
          <w:color w:val="000000"/>
          <w:spacing w:val="-3"/>
          <w:sz w:val="28"/>
          <w:szCs w:val="28"/>
        </w:rPr>
        <w:t>五</w:t>
      </w:r>
      <w:r>
        <w:rPr>
          <w:rFonts w:hint="eastAsia" w:ascii="仿宋_GB2312" w:hAnsi="仿宋" w:eastAsia="仿宋_GB2312" w:cs="仿宋"/>
          <w:i w:val="0"/>
          <w:iCs w:val="0"/>
          <w:color w:val="000000"/>
          <w:sz w:val="28"/>
          <w:szCs w:val="28"/>
        </w:rPr>
        <w:t>节</w:t>
      </w:r>
      <w:r>
        <w:rPr>
          <w:rFonts w:hint="eastAsia" w:ascii="仿宋_GB2312" w:hAnsi="仿宋" w:eastAsia="仿宋_GB2312" w:cs="仿宋"/>
          <w:i w:val="0"/>
          <w:iCs w:val="0"/>
          <w:color w:val="000000"/>
          <w:spacing w:val="2"/>
          <w:sz w:val="28"/>
          <w:szCs w:val="28"/>
        </w:rPr>
        <w:t xml:space="preserve">  </w:t>
      </w:r>
      <w:r>
        <w:rPr>
          <w:rFonts w:hint="eastAsia" w:ascii="仿宋_GB2312" w:hAnsi="仿宋" w:eastAsia="仿宋_GB2312" w:cs="仿宋"/>
          <w:i w:val="0"/>
          <w:iCs w:val="0"/>
          <w:color w:val="000000"/>
          <w:sz w:val="28"/>
          <w:szCs w:val="28"/>
        </w:rPr>
        <w:t>特</w:t>
      </w:r>
      <w:r>
        <w:rPr>
          <w:rFonts w:hint="eastAsia" w:ascii="仿宋_GB2312" w:hAnsi="仿宋" w:eastAsia="仿宋_GB2312" w:cs="仿宋"/>
          <w:i w:val="0"/>
          <w:iCs w:val="0"/>
          <w:color w:val="000000"/>
          <w:spacing w:val="-3"/>
          <w:sz w:val="28"/>
          <w:szCs w:val="28"/>
        </w:rPr>
        <w:t>别</w:t>
      </w:r>
      <w:r>
        <w:rPr>
          <w:rFonts w:hint="eastAsia" w:ascii="仿宋_GB2312" w:hAnsi="仿宋" w:eastAsia="仿宋_GB2312" w:cs="仿宋"/>
          <w:i w:val="0"/>
          <w:iCs w:val="0"/>
          <w:color w:val="000000"/>
          <w:sz w:val="28"/>
          <w:szCs w:val="28"/>
        </w:rPr>
        <w:t>说明</w:t>
      </w:r>
      <w:r>
        <w:rPr>
          <w:rFonts w:hint="eastAsia" w:ascii="仿宋_GB2312" w:hAnsi="仿宋" w:eastAsia="仿宋_GB2312" w:cs="仿宋"/>
          <w:i w:val="0"/>
          <w:iCs w:val="0"/>
          <w:color w:val="000000"/>
          <w:sz w:val="28"/>
          <w:szCs w:val="28"/>
        </w:rPr>
        <w:fldChar w:fldCharType="end"/>
      </w:r>
    </w:p>
    <w:p>
      <w:pPr>
        <w:pStyle w:val="11"/>
        <w:keepNext w:val="0"/>
        <w:keepLines w:val="0"/>
        <w:pageBreakBefore w:val="0"/>
        <w:widowControl w:val="0"/>
        <w:tabs>
          <w:tab w:val="left" w:leader="dot" w:pos="8284"/>
          <w:tab w:val="clear" w:pos="8720"/>
        </w:tabs>
        <w:kinsoku/>
        <w:wordWrap/>
        <w:overflowPunct/>
        <w:topLinePunct w:val="0"/>
        <w:autoSpaceDE/>
        <w:autoSpaceDN/>
        <w:bidi w:val="0"/>
        <w:adjustRightInd/>
        <w:snapToGrid/>
        <w:spacing w:line="500" w:lineRule="exact"/>
        <w:ind w:firstLine="522" w:firstLineChars="200"/>
        <w:jc w:val="left"/>
        <w:textAlignment w:val="auto"/>
        <w:outlineLvl w:val="0"/>
        <w:rPr>
          <w:rFonts w:hint="eastAsia" w:ascii="仿宋_GB2312" w:hAnsi="仿宋" w:eastAsia="仿宋_GB2312" w:cs="仿宋"/>
          <w:b w:val="0"/>
          <w:bCs w:val="0"/>
          <w:i w:val="0"/>
          <w:iCs w:val="0"/>
          <w:color w:val="000000"/>
          <w:sz w:val="28"/>
          <w:szCs w:val="28"/>
        </w:rPr>
      </w:pPr>
      <w:bookmarkStart w:id="398" w:name="_Toc29374"/>
      <w:r>
        <w:rPr>
          <w:rFonts w:hint="eastAsia" w:ascii="仿宋_GB2312" w:hAnsi="仿宋" w:eastAsia="仿宋_GB2312" w:cs="仿宋"/>
          <w:b w:val="0"/>
          <w:bCs w:val="0"/>
          <w:i w:val="0"/>
          <w:iCs w:val="0"/>
          <w:color w:val="000000"/>
          <w:sz w:val="28"/>
          <w:szCs w:val="28"/>
        </w:rPr>
        <w:fldChar w:fldCharType="begin"/>
      </w:r>
      <w:r>
        <w:rPr>
          <w:rFonts w:hint="eastAsia" w:ascii="仿宋_GB2312" w:hAnsi="仿宋" w:eastAsia="仿宋_GB2312" w:cs="仿宋"/>
          <w:b w:val="0"/>
          <w:bCs w:val="0"/>
          <w:i w:val="0"/>
          <w:iCs w:val="0"/>
          <w:color w:val="000000"/>
          <w:sz w:val="28"/>
          <w:szCs w:val="28"/>
        </w:rPr>
        <w:instrText xml:space="preserve"> HYPERLINK \l "_bookmark6" </w:instrText>
      </w:r>
      <w:r>
        <w:rPr>
          <w:rFonts w:hint="eastAsia" w:ascii="仿宋_GB2312" w:hAnsi="仿宋" w:eastAsia="仿宋_GB2312" w:cs="仿宋"/>
          <w:b w:val="0"/>
          <w:bCs w:val="0"/>
          <w:i w:val="0"/>
          <w:iCs w:val="0"/>
          <w:color w:val="000000"/>
          <w:sz w:val="28"/>
          <w:szCs w:val="28"/>
        </w:rPr>
        <w:fldChar w:fldCharType="separate"/>
      </w:r>
      <w:r>
        <w:rPr>
          <w:rFonts w:hint="eastAsia" w:ascii="仿宋_GB2312" w:hAnsi="仿宋" w:eastAsia="仿宋_GB2312" w:cs="仿宋"/>
          <w:b w:val="0"/>
          <w:bCs w:val="0"/>
          <w:i w:val="0"/>
          <w:iCs w:val="0"/>
          <w:color w:val="000000"/>
          <w:sz w:val="28"/>
          <w:szCs w:val="28"/>
        </w:rPr>
        <w:t>第二章</w:t>
      </w:r>
      <w:r>
        <w:rPr>
          <w:rFonts w:hint="eastAsia" w:ascii="仿宋_GB2312" w:hAnsi="仿宋" w:eastAsia="仿宋_GB2312" w:cs="仿宋"/>
          <w:b w:val="0"/>
          <w:bCs w:val="0"/>
          <w:i w:val="0"/>
          <w:iCs w:val="0"/>
          <w:color w:val="000000"/>
          <w:spacing w:val="60"/>
          <w:sz w:val="28"/>
          <w:szCs w:val="28"/>
        </w:rPr>
        <w:t xml:space="preserve"> </w:t>
      </w:r>
      <w:r>
        <w:rPr>
          <w:rFonts w:hint="eastAsia" w:ascii="仿宋_GB2312" w:hAnsi="仿宋" w:eastAsia="仿宋_GB2312" w:cs="仿宋"/>
          <w:b w:val="0"/>
          <w:bCs w:val="0"/>
          <w:i w:val="0"/>
          <w:iCs w:val="0"/>
          <w:color w:val="000000"/>
          <w:sz w:val="28"/>
          <w:szCs w:val="28"/>
        </w:rPr>
        <w:t>律师服务“三农”需重点关注的业务范围</w:t>
      </w:r>
      <w:r>
        <w:rPr>
          <w:rFonts w:hint="eastAsia" w:ascii="仿宋_GB2312" w:hAnsi="仿宋" w:eastAsia="仿宋_GB2312" w:cs="仿宋"/>
          <w:b w:val="0"/>
          <w:bCs w:val="0"/>
          <w:i w:val="0"/>
          <w:iCs w:val="0"/>
          <w:color w:val="000000"/>
          <w:sz w:val="28"/>
          <w:szCs w:val="28"/>
        </w:rPr>
        <w:fldChar w:fldCharType="end"/>
      </w:r>
      <w:bookmarkEnd w:id="398"/>
    </w:p>
    <w:p>
      <w:pPr>
        <w:pStyle w:val="11"/>
        <w:keepNext w:val="0"/>
        <w:keepLines w:val="0"/>
        <w:pageBreakBefore w:val="0"/>
        <w:widowControl w:val="0"/>
        <w:tabs>
          <w:tab w:val="left" w:leader="dot" w:pos="8284"/>
          <w:tab w:val="clear" w:pos="8720"/>
        </w:tabs>
        <w:kinsoku/>
        <w:wordWrap/>
        <w:overflowPunct/>
        <w:topLinePunct w:val="0"/>
        <w:autoSpaceDE/>
        <w:autoSpaceDN/>
        <w:bidi w:val="0"/>
        <w:adjustRightInd/>
        <w:snapToGrid/>
        <w:spacing w:line="500" w:lineRule="exact"/>
        <w:ind w:firstLine="522" w:firstLineChars="200"/>
        <w:jc w:val="left"/>
        <w:textAlignment w:val="auto"/>
        <w:outlineLvl w:val="0"/>
        <w:rPr>
          <w:rFonts w:hint="eastAsia" w:ascii="仿宋_GB2312" w:hAnsi="仿宋" w:eastAsia="仿宋_GB2312" w:cs="仿宋"/>
          <w:b w:val="0"/>
          <w:i w:val="0"/>
          <w:iCs w:val="0"/>
          <w:color w:val="000000"/>
          <w:sz w:val="28"/>
          <w:szCs w:val="28"/>
        </w:rPr>
      </w:pPr>
      <w:bookmarkStart w:id="399" w:name="_Toc21522"/>
      <w:r>
        <w:rPr>
          <w:rFonts w:hint="eastAsia" w:ascii="仿宋_GB2312" w:hAnsi="仿宋" w:eastAsia="仿宋_GB2312" w:cs="仿宋"/>
          <w:b w:val="0"/>
          <w:bCs w:val="0"/>
          <w:i w:val="0"/>
          <w:iCs w:val="0"/>
          <w:color w:val="000000"/>
          <w:sz w:val="28"/>
          <w:szCs w:val="28"/>
        </w:rPr>
        <w:fldChar w:fldCharType="begin"/>
      </w:r>
      <w:r>
        <w:rPr>
          <w:rFonts w:hint="eastAsia" w:ascii="仿宋_GB2312" w:hAnsi="仿宋" w:eastAsia="仿宋_GB2312" w:cs="仿宋"/>
          <w:b w:val="0"/>
          <w:bCs w:val="0"/>
          <w:i w:val="0"/>
          <w:iCs w:val="0"/>
          <w:color w:val="000000"/>
          <w:sz w:val="28"/>
          <w:szCs w:val="28"/>
        </w:rPr>
        <w:instrText xml:space="preserve"> HYPERLINK \l "_bookmark7" </w:instrText>
      </w:r>
      <w:r>
        <w:rPr>
          <w:rFonts w:hint="eastAsia" w:ascii="仿宋_GB2312" w:hAnsi="仿宋" w:eastAsia="仿宋_GB2312" w:cs="仿宋"/>
          <w:b w:val="0"/>
          <w:bCs w:val="0"/>
          <w:i w:val="0"/>
          <w:iCs w:val="0"/>
          <w:color w:val="000000"/>
          <w:sz w:val="28"/>
          <w:szCs w:val="28"/>
        </w:rPr>
        <w:fldChar w:fldCharType="separate"/>
      </w:r>
      <w:r>
        <w:rPr>
          <w:rFonts w:hint="eastAsia" w:ascii="仿宋_GB2312" w:hAnsi="仿宋" w:eastAsia="仿宋_GB2312" w:cs="仿宋"/>
          <w:b w:val="0"/>
          <w:bCs w:val="0"/>
          <w:i w:val="0"/>
          <w:iCs w:val="0"/>
          <w:color w:val="000000"/>
          <w:sz w:val="28"/>
          <w:szCs w:val="28"/>
        </w:rPr>
        <w:t>第三章</w:t>
      </w:r>
      <w:r>
        <w:rPr>
          <w:rFonts w:hint="eastAsia" w:ascii="仿宋_GB2312" w:hAnsi="仿宋" w:eastAsia="仿宋_GB2312" w:cs="仿宋"/>
          <w:b w:val="0"/>
          <w:bCs w:val="0"/>
          <w:i w:val="0"/>
          <w:iCs w:val="0"/>
          <w:color w:val="000000"/>
          <w:spacing w:val="60"/>
          <w:sz w:val="28"/>
          <w:szCs w:val="28"/>
        </w:rPr>
        <w:t xml:space="preserve"> </w:t>
      </w:r>
      <w:r>
        <w:rPr>
          <w:rFonts w:hint="eastAsia" w:ascii="仿宋_GB2312" w:hAnsi="仿宋" w:eastAsia="仿宋_GB2312" w:cs="仿宋"/>
          <w:b w:val="0"/>
          <w:bCs w:val="0"/>
          <w:i w:val="0"/>
          <w:iCs w:val="0"/>
          <w:color w:val="000000"/>
          <w:sz w:val="28"/>
          <w:szCs w:val="28"/>
        </w:rPr>
        <w:t>律师服务“三农”需重点关注的业务操作指引</w:t>
      </w:r>
      <w:r>
        <w:rPr>
          <w:rFonts w:hint="eastAsia" w:ascii="仿宋_GB2312" w:hAnsi="仿宋" w:eastAsia="仿宋_GB2312" w:cs="仿宋"/>
          <w:b w:val="0"/>
          <w:bCs w:val="0"/>
          <w:i w:val="0"/>
          <w:iCs w:val="0"/>
          <w:color w:val="000000"/>
          <w:sz w:val="28"/>
          <w:szCs w:val="28"/>
        </w:rPr>
        <w:fldChar w:fldCharType="end"/>
      </w:r>
      <w:bookmarkEnd w:id="399"/>
    </w:p>
    <w:p>
      <w:pPr>
        <w:pStyle w:val="13"/>
        <w:keepNext w:val="0"/>
        <w:keepLines w:val="0"/>
        <w:pageBreakBefore w:val="0"/>
        <w:widowControl w:val="0"/>
        <w:tabs>
          <w:tab w:val="left" w:leader="dot" w:pos="8284"/>
        </w:tabs>
        <w:kinsoku/>
        <w:wordWrap/>
        <w:overflowPunct/>
        <w:topLinePunct w:val="0"/>
        <w:autoSpaceDE/>
        <w:autoSpaceDN/>
        <w:bidi w:val="0"/>
        <w:adjustRightInd/>
        <w:snapToGrid/>
        <w:spacing w:before="0" w:line="500" w:lineRule="exact"/>
        <w:ind w:left="0" w:firstLine="522" w:firstLineChars="200"/>
        <w:jc w:val="left"/>
        <w:textAlignment w:val="auto"/>
        <w:rPr>
          <w:rFonts w:hint="eastAsia" w:ascii="仿宋_GB2312" w:hAnsi="仿宋" w:eastAsia="仿宋_GB2312" w:cs="仿宋"/>
          <w:i w:val="0"/>
          <w:iCs w:val="0"/>
          <w:color w:val="000000"/>
          <w:sz w:val="28"/>
          <w:szCs w:val="28"/>
        </w:rPr>
      </w:pPr>
      <w:r>
        <w:rPr>
          <w:rFonts w:hint="eastAsia" w:ascii="仿宋_GB2312" w:hAnsi="仿宋" w:eastAsia="仿宋_GB2312" w:cs="仿宋"/>
          <w:i w:val="0"/>
          <w:iCs w:val="0"/>
          <w:color w:val="000000"/>
          <w:sz w:val="28"/>
          <w:szCs w:val="28"/>
        </w:rPr>
        <w:fldChar w:fldCharType="begin"/>
      </w:r>
      <w:r>
        <w:rPr>
          <w:rFonts w:hint="eastAsia" w:ascii="仿宋_GB2312" w:hAnsi="仿宋" w:eastAsia="仿宋_GB2312" w:cs="仿宋"/>
          <w:i w:val="0"/>
          <w:iCs w:val="0"/>
          <w:color w:val="000000"/>
          <w:sz w:val="28"/>
          <w:szCs w:val="28"/>
        </w:rPr>
        <w:instrText xml:space="preserve"> HYPERLINK \l "_bookmark8" </w:instrText>
      </w:r>
      <w:r>
        <w:rPr>
          <w:rFonts w:hint="eastAsia" w:ascii="仿宋_GB2312" w:hAnsi="仿宋" w:eastAsia="仿宋_GB2312" w:cs="仿宋"/>
          <w:i w:val="0"/>
          <w:iCs w:val="0"/>
          <w:color w:val="000000"/>
          <w:sz w:val="28"/>
          <w:szCs w:val="28"/>
        </w:rPr>
        <w:fldChar w:fldCharType="separate"/>
      </w:r>
      <w:r>
        <w:rPr>
          <w:rFonts w:hint="eastAsia" w:ascii="仿宋_GB2312" w:hAnsi="仿宋" w:eastAsia="仿宋_GB2312" w:cs="仿宋"/>
          <w:i w:val="0"/>
          <w:iCs w:val="0"/>
          <w:color w:val="000000"/>
          <w:sz w:val="28"/>
          <w:szCs w:val="28"/>
        </w:rPr>
        <w:t>第一节</w:t>
      </w:r>
      <w:r>
        <w:rPr>
          <w:rFonts w:hint="eastAsia" w:ascii="仿宋_GB2312" w:hAnsi="仿宋" w:eastAsia="仿宋_GB2312" w:cs="仿宋"/>
          <w:i w:val="0"/>
          <w:iCs w:val="0"/>
          <w:color w:val="000000"/>
          <w:spacing w:val="28"/>
          <w:sz w:val="28"/>
          <w:szCs w:val="28"/>
        </w:rPr>
        <w:t xml:space="preserve">  </w:t>
      </w:r>
      <w:r>
        <w:rPr>
          <w:rFonts w:hint="eastAsia" w:ascii="仿宋_GB2312" w:hAnsi="仿宋" w:eastAsia="仿宋_GB2312" w:cs="仿宋"/>
          <w:i w:val="0"/>
          <w:iCs w:val="0"/>
          <w:color w:val="000000"/>
          <w:sz w:val="28"/>
          <w:szCs w:val="28"/>
        </w:rPr>
        <w:t>农村土地承包经营及农村土地承包经营权</w:t>
      </w:r>
      <w:r>
        <w:rPr>
          <w:rFonts w:hint="eastAsia" w:ascii="仿宋_GB2312" w:hAnsi="仿宋" w:eastAsia="仿宋_GB2312" w:cs="仿宋"/>
          <w:i w:val="0"/>
          <w:iCs w:val="0"/>
          <w:color w:val="000000"/>
          <w:sz w:val="28"/>
          <w:szCs w:val="28"/>
        </w:rPr>
        <w:fldChar w:fldCharType="end"/>
      </w:r>
      <w:r>
        <w:rPr>
          <w:rFonts w:hint="eastAsia" w:ascii="仿宋_GB2312" w:hAnsi="仿宋" w:eastAsia="仿宋_GB2312" w:cs="仿宋"/>
          <w:i w:val="0"/>
          <w:iCs w:val="0"/>
          <w:color w:val="000000"/>
          <w:sz w:val="28"/>
          <w:szCs w:val="28"/>
        </w:rPr>
        <w:fldChar w:fldCharType="begin"/>
      </w:r>
      <w:r>
        <w:rPr>
          <w:rFonts w:hint="eastAsia" w:ascii="仿宋_GB2312" w:hAnsi="仿宋" w:eastAsia="仿宋_GB2312" w:cs="仿宋"/>
          <w:i w:val="0"/>
          <w:iCs w:val="0"/>
          <w:color w:val="000000"/>
          <w:sz w:val="28"/>
          <w:szCs w:val="28"/>
        </w:rPr>
        <w:instrText xml:space="preserve"> HYPERLINK \l "_bookmark9" </w:instrText>
      </w:r>
      <w:r>
        <w:rPr>
          <w:rFonts w:hint="eastAsia" w:ascii="仿宋_GB2312" w:hAnsi="仿宋" w:eastAsia="仿宋_GB2312" w:cs="仿宋"/>
          <w:i w:val="0"/>
          <w:iCs w:val="0"/>
          <w:color w:val="000000"/>
          <w:sz w:val="28"/>
          <w:szCs w:val="28"/>
        </w:rPr>
        <w:fldChar w:fldCharType="separate"/>
      </w:r>
      <w:r>
        <w:rPr>
          <w:rFonts w:hint="eastAsia" w:ascii="仿宋_GB2312" w:hAnsi="仿宋" w:eastAsia="仿宋_GB2312" w:cs="仿宋"/>
          <w:i w:val="0"/>
          <w:iCs w:val="0"/>
          <w:color w:val="000000"/>
          <w:sz w:val="28"/>
          <w:szCs w:val="28"/>
        </w:rPr>
        <w:t>流</w:t>
      </w:r>
      <w:r>
        <w:rPr>
          <w:rFonts w:hint="eastAsia" w:ascii="仿宋_GB2312" w:hAnsi="仿宋" w:eastAsia="仿宋_GB2312" w:cs="仿宋"/>
          <w:i w:val="0"/>
          <w:iCs w:val="0"/>
          <w:color w:val="000000"/>
          <w:sz w:val="28"/>
          <w:szCs w:val="28"/>
        </w:rPr>
        <w:fldChar w:fldCharType="end"/>
      </w:r>
      <w:r>
        <w:rPr>
          <w:rFonts w:hint="eastAsia" w:ascii="仿宋_GB2312" w:hAnsi="仿宋" w:eastAsia="仿宋_GB2312" w:cs="仿宋"/>
          <w:i w:val="0"/>
          <w:iCs w:val="0"/>
          <w:color w:val="000000"/>
          <w:sz w:val="28"/>
          <w:szCs w:val="28"/>
        </w:rPr>
        <w:fldChar w:fldCharType="begin"/>
      </w:r>
      <w:r>
        <w:rPr>
          <w:rFonts w:hint="eastAsia" w:ascii="仿宋_GB2312" w:hAnsi="仿宋" w:eastAsia="仿宋_GB2312" w:cs="仿宋"/>
          <w:i w:val="0"/>
          <w:iCs w:val="0"/>
          <w:color w:val="000000"/>
          <w:sz w:val="28"/>
          <w:szCs w:val="28"/>
        </w:rPr>
        <w:instrText xml:space="preserve"> HYPERLINK \l "_bookmark9" </w:instrText>
      </w:r>
      <w:r>
        <w:rPr>
          <w:rFonts w:hint="eastAsia" w:ascii="仿宋_GB2312" w:hAnsi="仿宋" w:eastAsia="仿宋_GB2312" w:cs="仿宋"/>
          <w:i w:val="0"/>
          <w:iCs w:val="0"/>
          <w:color w:val="000000"/>
          <w:sz w:val="28"/>
          <w:szCs w:val="28"/>
        </w:rPr>
        <w:fldChar w:fldCharType="separate"/>
      </w:r>
      <w:r>
        <w:rPr>
          <w:rFonts w:hint="eastAsia" w:ascii="仿宋_GB2312" w:hAnsi="仿宋" w:eastAsia="仿宋_GB2312" w:cs="仿宋"/>
          <w:i w:val="0"/>
          <w:iCs w:val="0"/>
          <w:color w:val="000000"/>
          <w:sz w:val="28"/>
          <w:szCs w:val="28"/>
        </w:rPr>
        <w:t>转业务操作</w:t>
      </w:r>
      <w:r>
        <w:rPr>
          <w:rFonts w:hint="eastAsia" w:ascii="仿宋_GB2312" w:hAnsi="仿宋" w:eastAsia="仿宋_GB2312" w:cs="仿宋"/>
          <w:i w:val="0"/>
          <w:iCs w:val="0"/>
          <w:color w:val="000000"/>
          <w:sz w:val="28"/>
          <w:szCs w:val="28"/>
        </w:rPr>
        <w:fldChar w:fldCharType="end"/>
      </w:r>
      <w:r>
        <w:rPr>
          <w:rFonts w:hint="eastAsia" w:ascii="仿宋_GB2312" w:hAnsi="仿宋" w:eastAsia="仿宋_GB2312" w:cs="仿宋"/>
          <w:i w:val="0"/>
          <w:iCs w:val="0"/>
          <w:color w:val="000000"/>
          <w:sz w:val="28"/>
          <w:szCs w:val="28"/>
        </w:rPr>
        <w:t>指引</w:t>
      </w:r>
    </w:p>
    <w:p>
      <w:pPr>
        <w:pStyle w:val="13"/>
        <w:keepNext w:val="0"/>
        <w:keepLines w:val="0"/>
        <w:pageBreakBefore w:val="0"/>
        <w:widowControl w:val="0"/>
        <w:tabs>
          <w:tab w:val="left" w:leader="dot" w:pos="8145"/>
        </w:tabs>
        <w:kinsoku/>
        <w:wordWrap/>
        <w:overflowPunct/>
        <w:topLinePunct w:val="0"/>
        <w:autoSpaceDE/>
        <w:autoSpaceDN/>
        <w:bidi w:val="0"/>
        <w:adjustRightInd/>
        <w:snapToGrid/>
        <w:spacing w:before="0" w:line="500" w:lineRule="exact"/>
        <w:ind w:left="0" w:firstLine="522" w:firstLineChars="200"/>
        <w:jc w:val="left"/>
        <w:textAlignment w:val="auto"/>
        <w:rPr>
          <w:rFonts w:hint="eastAsia" w:ascii="仿宋_GB2312" w:hAnsi="仿宋" w:eastAsia="仿宋_GB2312" w:cs="仿宋"/>
          <w:i w:val="0"/>
          <w:iCs w:val="0"/>
          <w:color w:val="000000"/>
          <w:sz w:val="28"/>
          <w:szCs w:val="28"/>
        </w:rPr>
      </w:pPr>
      <w:r>
        <w:rPr>
          <w:rFonts w:hint="eastAsia" w:ascii="仿宋_GB2312" w:hAnsi="仿宋" w:eastAsia="仿宋_GB2312" w:cs="仿宋"/>
          <w:i w:val="0"/>
          <w:iCs w:val="0"/>
          <w:color w:val="000000"/>
          <w:sz w:val="28"/>
          <w:szCs w:val="28"/>
        </w:rPr>
        <w:fldChar w:fldCharType="begin"/>
      </w:r>
      <w:r>
        <w:rPr>
          <w:rFonts w:hint="eastAsia" w:ascii="仿宋_GB2312" w:hAnsi="仿宋" w:eastAsia="仿宋_GB2312" w:cs="仿宋"/>
          <w:i w:val="0"/>
          <w:iCs w:val="0"/>
          <w:color w:val="000000"/>
          <w:sz w:val="28"/>
          <w:szCs w:val="28"/>
        </w:rPr>
        <w:instrText xml:space="preserve"> HYPERLINK \l "_bookmark13" </w:instrText>
      </w:r>
      <w:r>
        <w:rPr>
          <w:rFonts w:hint="eastAsia" w:ascii="仿宋_GB2312" w:hAnsi="仿宋" w:eastAsia="仿宋_GB2312" w:cs="仿宋"/>
          <w:i w:val="0"/>
          <w:iCs w:val="0"/>
          <w:color w:val="000000"/>
          <w:sz w:val="28"/>
          <w:szCs w:val="28"/>
        </w:rPr>
        <w:fldChar w:fldCharType="separate"/>
      </w:r>
      <w:r>
        <w:rPr>
          <w:rFonts w:hint="eastAsia" w:ascii="仿宋_GB2312" w:hAnsi="仿宋" w:eastAsia="仿宋_GB2312" w:cs="仿宋"/>
          <w:i w:val="0"/>
          <w:iCs w:val="0"/>
          <w:color w:val="000000"/>
          <w:sz w:val="28"/>
          <w:szCs w:val="28"/>
        </w:rPr>
        <w:t>第</w:t>
      </w:r>
      <w:r>
        <w:rPr>
          <w:rFonts w:hint="eastAsia" w:ascii="仿宋_GB2312" w:hAnsi="仿宋" w:eastAsia="仿宋_GB2312" w:cs="仿宋"/>
          <w:i w:val="0"/>
          <w:iCs w:val="0"/>
          <w:color w:val="000000"/>
          <w:spacing w:val="-3"/>
          <w:sz w:val="28"/>
          <w:szCs w:val="28"/>
        </w:rPr>
        <w:t>二</w:t>
      </w:r>
      <w:r>
        <w:rPr>
          <w:rFonts w:hint="eastAsia" w:ascii="仿宋_GB2312" w:hAnsi="仿宋" w:eastAsia="仿宋_GB2312" w:cs="仿宋"/>
          <w:i w:val="0"/>
          <w:iCs w:val="0"/>
          <w:color w:val="000000"/>
          <w:sz w:val="28"/>
          <w:szCs w:val="28"/>
        </w:rPr>
        <w:t>节</w:t>
      </w:r>
      <w:r>
        <w:rPr>
          <w:rFonts w:hint="eastAsia" w:ascii="仿宋_GB2312" w:hAnsi="仿宋" w:eastAsia="仿宋_GB2312" w:cs="仿宋"/>
          <w:i w:val="0"/>
          <w:iCs w:val="0"/>
          <w:color w:val="000000"/>
          <w:spacing w:val="3"/>
          <w:sz w:val="28"/>
          <w:szCs w:val="28"/>
        </w:rPr>
        <w:t xml:space="preserve">  </w:t>
      </w:r>
      <w:r>
        <w:rPr>
          <w:rFonts w:hint="eastAsia" w:ascii="仿宋_GB2312" w:hAnsi="仿宋" w:eastAsia="仿宋_GB2312" w:cs="仿宋"/>
          <w:i w:val="0"/>
          <w:iCs w:val="0"/>
          <w:color w:val="000000"/>
          <w:sz w:val="28"/>
          <w:szCs w:val="28"/>
        </w:rPr>
        <w:t>农</w:t>
      </w:r>
      <w:r>
        <w:rPr>
          <w:rFonts w:hint="eastAsia" w:ascii="仿宋_GB2312" w:hAnsi="仿宋" w:eastAsia="仿宋_GB2312" w:cs="仿宋"/>
          <w:i w:val="0"/>
          <w:iCs w:val="0"/>
          <w:color w:val="000000"/>
          <w:spacing w:val="-3"/>
          <w:sz w:val="28"/>
          <w:szCs w:val="28"/>
        </w:rPr>
        <w:t>业</w:t>
      </w:r>
      <w:r>
        <w:rPr>
          <w:rFonts w:hint="eastAsia" w:ascii="仿宋_GB2312" w:hAnsi="仿宋" w:eastAsia="仿宋_GB2312" w:cs="仿宋"/>
          <w:i w:val="0"/>
          <w:iCs w:val="0"/>
          <w:color w:val="000000"/>
          <w:sz w:val="28"/>
          <w:szCs w:val="28"/>
        </w:rPr>
        <w:t>金融</w:t>
      </w:r>
      <w:r>
        <w:rPr>
          <w:rFonts w:hint="eastAsia" w:ascii="仿宋_GB2312" w:hAnsi="仿宋" w:eastAsia="仿宋_GB2312" w:cs="仿宋"/>
          <w:i w:val="0"/>
          <w:iCs w:val="0"/>
          <w:color w:val="000000"/>
          <w:spacing w:val="-3"/>
          <w:sz w:val="28"/>
          <w:szCs w:val="28"/>
        </w:rPr>
        <w:t>信</w:t>
      </w:r>
      <w:r>
        <w:rPr>
          <w:rFonts w:hint="eastAsia" w:ascii="仿宋_GB2312" w:hAnsi="仿宋" w:eastAsia="仿宋_GB2312" w:cs="仿宋"/>
          <w:i w:val="0"/>
          <w:iCs w:val="0"/>
          <w:color w:val="000000"/>
          <w:sz w:val="28"/>
          <w:szCs w:val="28"/>
        </w:rPr>
        <w:t>贷业</w:t>
      </w:r>
      <w:r>
        <w:rPr>
          <w:rFonts w:hint="eastAsia" w:ascii="仿宋_GB2312" w:hAnsi="仿宋" w:eastAsia="仿宋_GB2312" w:cs="仿宋"/>
          <w:i w:val="0"/>
          <w:iCs w:val="0"/>
          <w:color w:val="000000"/>
          <w:spacing w:val="-3"/>
          <w:sz w:val="28"/>
          <w:szCs w:val="28"/>
        </w:rPr>
        <w:t>务</w:t>
      </w:r>
      <w:r>
        <w:rPr>
          <w:rFonts w:hint="eastAsia" w:ascii="仿宋_GB2312" w:hAnsi="仿宋" w:eastAsia="仿宋_GB2312" w:cs="仿宋"/>
          <w:i w:val="0"/>
          <w:iCs w:val="0"/>
          <w:color w:val="000000"/>
          <w:sz w:val="28"/>
          <w:szCs w:val="28"/>
        </w:rPr>
        <w:t>操作</w:t>
      </w:r>
      <w:r>
        <w:rPr>
          <w:rFonts w:hint="eastAsia" w:ascii="仿宋_GB2312" w:hAnsi="仿宋" w:eastAsia="仿宋_GB2312" w:cs="仿宋"/>
          <w:i w:val="0"/>
          <w:iCs w:val="0"/>
          <w:color w:val="000000"/>
          <w:spacing w:val="-3"/>
          <w:sz w:val="28"/>
          <w:szCs w:val="28"/>
        </w:rPr>
        <w:t>指</w:t>
      </w:r>
      <w:r>
        <w:rPr>
          <w:rFonts w:hint="eastAsia" w:ascii="仿宋_GB2312" w:hAnsi="仿宋" w:eastAsia="仿宋_GB2312" w:cs="仿宋"/>
          <w:i w:val="0"/>
          <w:iCs w:val="0"/>
          <w:color w:val="000000"/>
          <w:sz w:val="28"/>
          <w:szCs w:val="28"/>
        </w:rPr>
        <w:t>引</w:t>
      </w:r>
      <w:r>
        <w:rPr>
          <w:rFonts w:hint="eastAsia" w:ascii="仿宋_GB2312" w:hAnsi="仿宋" w:eastAsia="仿宋_GB2312" w:cs="仿宋"/>
          <w:i w:val="0"/>
          <w:iCs w:val="0"/>
          <w:color w:val="000000"/>
          <w:sz w:val="28"/>
          <w:szCs w:val="28"/>
        </w:rPr>
        <w:fldChar w:fldCharType="end"/>
      </w:r>
    </w:p>
    <w:p>
      <w:pPr>
        <w:pStyle w:val="13"/>
        <w:keepNext w:val="0"/>
        <w:keepLines w:val="0"/>
        <w:pageBreakBefore w:val="0"/>
        <w:widowControl w:val="0"/>
        <w:tabs>
          <w:tab w:val="left" w:leader="dot" w:pos="8145"/>
        </w:tabs>
        <w:kinsoku/>
        <w:wordWrap/>
        <w:overflowPunct/>
        <w:topLinePunct w:val="0"/>
        <w:autoSpaceDE/>
        <w:autoSpaceDN/>
        <w:bidi w:val="0"/>
        <w:adjustRightInd/>
        <w:snapToGrid/>
        <w:spacing w:before="0" w:line="500" w:lineRule="exact"/>
        <w:ind w:left="0" w:firstLine="522" w:firstLineChars="200"/>
        <w:jc w:val="left"/>
        <w:textAlignment w:val="auto"/>
        <w:rPr>
          <w:rFonts w:hint="eastAsia" w:ascii="仿宋_GB2312" w:hAnsi="仿宋" w:eastAsia="仿宋_GB2312" w:cs="仿宋"/>
          <w:i w:val="0"/>
          <w:iCs w:val="0"/>
          <w:color w:val="000000"/>
          <w:sz w:val="28"/>
          <w:szCs w:val="28"/>
        </w:rPr>
      </w:pPr>
      <w:r>
        <w:rPr>
          <w:rFonts w:hint="eastAsia" w:ascii="仿宋_GB2312" w:hAnsi="仿宋" w:eastAsia="仿宋_GB2312" w:cs="仿宋"/>
          <w:i w:val="0"/>
          <w:iCs w:val="0"/>
          <w:color w:val="000000"/>
          <w:sz w:val="28"/>
          <w:szCs w:val="28"/>
        </w:rPr>
        <w:fldChar w:fldCharType="begin"/>
      </w:r>
      <w:r>
        <w:rPr>
          <w:rFonts w:hint="eastAsia" w:ascii="仿宋_GB2312" w:hAnsi="仿宋" w:eastAsia="仿宋_GB2312" w:cs="仿宋"/>
          <w:i w:val="0"/>
          <w:iCs w:val="0"/>
          <w:color w:val="000000"/>
          <w:sz w:val="28"/>
          <w:szCs w:val="28"/>
        </w:rPr>
        <w:instrText xml:space="preserve"> HYPERLINK \l "_bookmark16" </w:instrText>
      </w:r>
      <w:r>
        <w:rPr>
          <w:rFonts w:hint="eastAsia" w:ascii="仿宋_GB2312" w:hAnsi="仿宋" w:eastAsia="仿宋_GB2312" w:cs="仿宋"/>
          <w:i w:val="0"/>
          <w:iCs w:val="0"/>
          <w:color w:val="000000"/>
          <w:sz w:val="28"/>
          <w:szCs w:val="28"/>
        </w:rPr>
        <w:fldChar w:fldCharType="separate"/>
      </w:r>
      <w:r>
        <w:rPr>
          <w:rFonts w:hint="eastAsia" w:ascii="仿宋_GB2312" w:hAnsi="仿宋" w:eastAsia="仿宋_GB2312" w:cs="仿宋"/>
          <w:i w:val="0"/>
          <w:iCs w:val="0"/>
          <w:color w:val="000000"/>
          <w:sz w:val="28"/>
          <w:szCs w:val="28"/>
        </w:rPr>
        <w:t>第</w:t>
      </w:r>
      <w:r>
        <w:rPr>
          <w:rFonts w:hint="eastAsia" w:ascii="仿宋_GB2312" w:hAnsi="仿宋" w:eastAsia="仿宋_GB2312" w:cs="仿宋"/>
          <w:i w:val="0"/>
          <w:iCs w:val="0"/>
          <w:color w:val="000000"/>
          <w:spacing w:val="-3"/>
          <w:sz w:val="28"/>
          <w:szCs w:val="28"/>
        </w:rPr>
        <w:t>三</w:t>
      </w:r>
      <w:r>
        <w:rPr>
          <w:rFonts w:hint="eastAsia" w:ascii="仿宋_GB2312" w:hAnsi="仿宋" w:eastAsia="仿宋_GB2312" w:cs="仿宋"/>
          <w:i w:val="0"/>
          <w:iCs w:val="0"/>
          <w:color w:val="000000"/>
          <w:sz w:val="28"/>
          <w:szCs w:val="28"/>
        </w:rPr>
        <w:t>节</w:t>
      </w:r>
      <w:r>
        <w:rPr>
          <w:rFonts w:hint="eastAsia" w:ascii="仿宋_GB2312" w:hAnsi="仿宋" w:eastAsia="仿宋_GB2312" w:cs="仿宋"/>
          <w:i w:val="0"/>
          <w:iCs w:val="0"/>
          <w:color w:val="000000"/>
          <w:spacing w:val="3"/>
          <w:sz w:val="28"/>
          <w:szCs w:val="28"/>
        </w:rPr>
        <w:t xml:space="preserve">  </w:t>
      </w:r>
      <w:r>
        <w:rPr>
          <w:rFonts w:hint="eastAsia" w:ascii="仿宋_GB2312" w:hAnsi="仿宋" w:eastAsia="仿宋_GB2312" w:cs="仿宋"/>
          <w:i w:val="0"/>
          <w:iCs w:val="0"/>
          <w:color w:val="000000"/>
          <w:sz w:val="28"/>
          <w:szCs w:val="28"/>
        </w:rPr>
        <w:t>农</w:t>
      </w:r>
      <w:r>
        <w:rPr>
          <w:rFonts w:hint="eastAsia" w:ascii="仿宋_GB2312" w:hAnsi="仿宋" w:eastAsia="仿宋_GB2312" w:cs="仿宋"/>
          <w:i w:val="0"/>
          <w:iCs w:val="0"/>
          <w:color w:val="000000"/>
          <w:spacing w:val="-3"/>
          <w:sz w:val="28"/>
          <w:szCs w:val="28"/>
        </w:rPr>
        <w:t>民</w:t>
      </w:r>
      <w:r>
        <w:rPr>
          <w:rFonts w:hint="eastAsia" w:ascii="仿宋_GB2312" w:hAnsi="仿宋" w:eastAsia="仿宋_GB2312" w:cs="仿宋"/>
          <w:i w:val="0"/>
          <w:iCs w:val="0"/>
          <w:color w:val="000000"/>
          <w:sz w:val="28"/>
          <w:szCs w:val="28"/>
        </w:rPr>
        <w:t>专业</w:t>
      </w:r>
      <w:r>
        <w:rPr>
          <w:rFonts w:hint="eastAsia" w:ascii="仿宋_GB2312" w:hAnsi="仿宋" w:eastAsia="仿宋_GB2312" w:cs="仿宋"/>
          <w:i w:val="0"/>
          <w:iCs w:val="0"/>
          <w:color w:val="000000"/>
          <w:spacing w:val="-3"/>
          <w:sz w:val="28"/>
          <w:szCs w:val="28"/>
        </w:rPr>
        <w:t>合</w:t>
      </w:r>
      <w:r>
        <w:rPr>
          <w:rFonts w:hint="eastAsia" w:ascii="仿宋_GB2312" w:hAnsi="仿宋" w:eastAsia="仿宋_GB2312" w:cs="仿宋"/>
          <w:i w:val="0"/>
          <w:iCs w:val="0"/>
          <w:color w:val="000000"/>
          <w:sz w:val="28"/>
          <w:szCs w:val="28"/>
        </w:rPr>
        <w:t>作社</w:t>
      </w:r>
      <w:r>
        <w:rPr>
          <w:rFonts w:hint="eastAsia" w:ascii="仿宋_GB2312" w:hAnsi="仿宋" w:eastAsia="仿宋_GB2312" w:cs="仿宋"/>
          <w:i w:val="0"/>
          <w:iCs w:val="0"/>
          <w:color w:val="000000"/>
          <w:spacing w:val="-3"/>
          <w:sz w:val="28"/>
          <w:szCs w:val="28"/>
        </w:rPr>
        <w:t>业</w:t>
      </w:r>
      <w:r>
        <w:rPr>
          <w:rFonts w:hint="eastAsia" w:ascii="仿宋_GB2312" w:hAnsi="仿宋" w:eastAsia="仿宋_GB2312" w:cs="仿宋"/>
          <w:i w:val="0"/>
          <w:iCs w:val="0"/>
          <w:color w:val="000000"/>
          <w:sz w:val="28"/>
          <w:szCs w:val="28"/>
        </w:rPr>
        <w:t>务操</w:t>
      </w:r>
      <w:r>
        <w:rPr>
          <w:rFonts w:hint="eastAsia" w:ascii="仿宋_GB2312" w:hAnsi="仿宋" w:eastAsia="仿宋_GB2312" w:cs="仿宋"/>
          <w:i w:val="0"/>
          <w:iCs w:val="0"/>
          <w:color w:val="000000"/>
          <w:spacing w:val="-3"/>
          <w:sz w:val="28"/>
          <w:szCs w:val="28"/>
        </w:rPr>
        <w:t>作</w:t>
      </w:r>
      <w:r>
        <w:rPr>
          <w:rFonts w:hint="eastAsia" w:ascii="仿宋_GB2312" w:hAnsi="仿宋" w:eastAsia="仿宋_GB2312" w:cs="仿宋"/>
          <w:i w:val="0"/>
          <w:iCs w:val="0"/>
          <w:color w:val="000000"/>
          <w:sz w:val="28"/>
          <w:szCs w:val="28"/>
        </w:rPr>
        <w:t>指引</w:t>
      </w:r>
      <w:r>
        <w:rPr>
          <w:rFonts w:hint="eastAsia" w:ascii="仿宋_GB2312" w:hAnsi="仿宋" w:eastAsia="仿宋_GB2312" w:cs="仿宋"/>
          <w:i w:val="0"/>
          <w:iCs w:val="0"/>
          <w:color w:val="000000"/>
          <w:sz w:val="28"/>
          <w:szCs w:val="28"/>
        </w:rPr>
        <w:fldChar w:fldCharType="end"/>
      </w:r>
    </w:p>
    <w:p>
      <w:pPr>
        <w:pStyle w:val="13"/>
        <w:keepNext w:val="0"/>
        <w:keepLines w:val="0"/>
        <w:pageBreakBefore w:val="0"/>
        <w:widowControl w:val="0"/>
        <w:tabs>
          <w:tab w:val="left" w:leader="dot" w:pos="8145"/>
        </w:tabs>
        <w:kinsoku/>
        <w:wordWrap/>
        <w:overflowPunct/>
        <w:topLinePunct w:val="0"/>
        <w:autoSpaceDE/>
        <w:autoSpaceDN/>
        <w:bidi w:val="0"/>
        <w:adjustRightInd/>
        <w:snapToGrid/>
        <w:spacing w:before="0" w:line="500" w:lineRule="exact"/>
        <w:ind w:left="0" w:firstLine="522" w:firstLineChars="200"/>
        <w:jc w:val="left"/>
        <w:textAlignment w:val="auto"/>
        <w:rPr>
          <w:rFonts w:hint="eastAsia" w:ascii="仿宋_GB2312" w:hAnsi="仿宋" w:eastAsia="仿宋_GB2312" w:cs="仿宋"/>
          <w:i w:val="0"/>
          <w:iCs w:val="0"/>
          <w:color w:val="000000"/>
          <w:sz w:val="28"/>
          <w:szCs w:val="28"/>
        </w:rPr>
      </w:pPr>
      <w:r>
        <w:rPr>
          <w:rFonts w:hint="eastAsia" w:ascii="仿宋_GB2312" w:hAnsi="仿宋" w:eastAsia="仿宋_GB2312" w:cs="仿宋"/>
          <w:i w:val="0"/>
          <w:iCs w:val="0"/>
          <w:color w:val="000000"/>
          <w:sz w:val="28"/>
          <w:szCs w:val="28"/>
        </w:rPr>
        <w:fldChar w:fldCharType="begin"/>
      </w:r>
      <w:r>
        <w:rPr>
          <w:rFonts w:hint="eastAsia" w:ascii="仿宋_GB2312" w:hAnsi="仿宋" w:eastAsia="仿宋_GB2312" w:cs="仿宋"/>
          <w:i w:val="0"/>
          <w:iCs w:val="0"/>
          <w:color w:val="000000"/>
          <w:sz w:val="28"/>
          <w:szCs w:val="28"/>
        </w:rPr>
        <w:instrText xml:space="preserve"> HYPERLINK \l "_bookmark20" </w:instrText>
      </w:r>
      <w:r>
        <w:rPr>
          <w:rFonts w:hint="eastAsia" w:ascii="仿宋_GB2312" w:hAnsi="仿宋" w:eastAsia="仿宋_GB2312" w:cs="仿宋"/>
          <w:i w:val="0"/>
          <w:iCs w:val="0"/>
          <w:color w:val="000000"/>
          <w:sz w:val="28"/>
          <w:szCs w:val="28"/>
        </w:rPr>
        <w:fldChar w:fldCharType="separate"/>
      </w:r>
      <w:r>
        <w:rPr>
          <w:rFonts w:hint="eastAsia" w:ascii="仿宋_GB2312" w:hAnsi="仿宋" w:eastAsia="仿宋_GB2312" w:cs="仿宋"/>
          <w:i w:val="0"/>
          <w:iCs w:val="0"/>
          <w:color w:val="000000"/>
          <w:sz w:val="28"/>
          <w:szCs w:val="28"/>
        </w:rPr>
        <w:t>第</w:t>
      </w:r>
      <w:r>
        <w:rPr>
          <w:rFonts w:hint="eastAsia" w:ascii="仿宋_GB2312" w:hAnsi="仿宋" w:eastAsia="仿宋_GB2312" w:cs="仿宋"/>
          <w:i w:val="0"/>
          <w:iCs w:val="0"/>
          <w:color w:val="000000"/>
          <w:spacing w:val="-3"/>
          <w:sz w:val="28"/>
          <w:szCs w:val="28"/>
        </w:rPr>
        <w:t>四</w:t>
      </w:r>
      <w:r>
        <w:rPr>
          <w:rFonts w:hint="eastAsia" w:ascii="仿宋_GB2312" w:hAnsi="仿宋" w:eastAsia="仿宋_GB2312" w:cs="仿宋"/>
          <w:i w:val="0"/>
          <w:iCs w:val="0"/>
          <w:color w:val="000000"/>
          <w:sz w:val="28"/>
          <w:szCs w:val="28"/>
        </w:rPr>
        <w:t>节</w:t>
      </w:r>
      <w:r>
        <w:rPr>
          <w:rFonts w:hint="eastAsia" w:ascii="仿宋_GB2312" w:hAnsi="仿宋" w:eastAsia="仿宋_GB2312" w:cs="仿宋"/>
          <w:i w:val="0"/>
          <w:iCs w:val="0"/>
          <w:color w:val="000000"/>
          <w:spacing w:val="3"/>
          <w:sz w:val="28"/>
          <w:szCs w:val="28"/>
        </w:rPr>
        <w:t xml:space="preserve">  </w:t>
      </w:r>
      <w:r>
        <w:rPr>
          <w:rFonts w:hint="eastAsia" w:ascii="仿宋_GB2312" w:hAnsi="仿宋" w:eastAsia="仿宋_GB2312" w:cs="仿宋"/>
          <w:i w:val="0"/>
          <w:iCs w:val="0"/>
          <w:color w:val="000000"/>
          <w:sz w:val="28"/>
          <w:szCs w:val="28"/>
        </w:rPr>
        <w:t>农</w:t>
      </w:r>
      <w:r>
        <w:rPr>
          <w:rFonts w:hint="eastAsia" w:ascii="仿宋_GB2312" w:hAnsi="仿宋" w:eastAsia="仿宋_GB2312" w:cs="仿宋"/>
          <w:i w:val="0"/>
          <w:iCs w:val="0"/>
          <w:color w:val="000000"/>
          <w:spacing w:val="-3"/>
          <w:sz w:val="28"/>
          <w:szCs w:val="28"/>
        </w:rPr>
        <w:t>业</w:t>
      </w:r>
      <w:r>
        <w:rPr>
          <w:rFonts w:hint="eastAsia" w:ascii="仿宋_GB2312" w:hAnsi="仿宋" w:eastAsia="仿宋_GB2312" w:cs="仿宋"/>
          <w:i w:val="0"/>
          <w:iCs w:val="0"/>
          <w:color w:val="000000"/>
          <w:sz w:val="28"/>
          <w:szCs w:val="28"/>
        </w:rPr>
        <w:t>知识</w:t>
      </w:r>
      <w:r>
        <w:rPr>
          <w:rFonts w:hint="eastAsia" w:ascii="仿宋_GB2312" w:hAnsi="仿宋" w:eastAsia="仿宋_GB2312" w:cs="仿宋"/>
          <w:i w:val="0"/>
          <w:iCs w:val="0"/>
          <w:color w:val="000000"/>
          <w:spacing w:val="-3"/>
          <w:sz w:val="28"/>
          <w:szCs w:val="28"/>
        </w:rPr>
        <w:t>产</w:t>
      </w:r>
      <w:r>
        <w:rPr>
          <w:rFonts w:hint="eastAsia" w:ascii="仿宋_GB2312" w:hAnsi="仿宋" w:eastAsia="仿宋_GB2312" w:cs="仿宋"/>
          <w:i w:val="0"/>
          <w:iCs w:val="0"/>
          <w:color w:val="000000"/>
          <w:sz w:val="28"/>
          <w:szCs w:val="28"/>
        </w:rPr>
        <w:t>权保</w:t>
      </w:r>
      <w:r>
        <w:rPr>
          <w:rFonts w:hint="eastAsia" w:ascii="仿宋_GB2312" w:hAnsi="仿宋" w:eastAsia="仿宋_GB2312" w:cs="仿宋"/>
          <w:i w:val="0"/>
          <w:iCs w:val="0"/>
          <w:color w:val="000000"/>
          <w:spacing w:val="-3"/>
          <w:sz w:val="28"/>
          <w:szCs w:val="28"/>
        </w:rPr>
        <w:t>护</w:t>
      </w:r>
      <w:r>
        <w:rPr>
          <w:rFonts w:hint="eastAsia" w:ascii="仿宋_GB2312" w:hAnsi="仿宋" w:eastAsia="仿宋_GB2312" w:cs="仿宋"/>
          <w:i w:val="0"/>
          <w:iCs w:val="0"/>
          <w:color w:val="000000"/>
          <w:sz w:val="28"/>
          <w:szCs w:val="28"/>
        </w:rPr>
        <w:t>业务</w:t>
      </w:r>
      <w:r>
        <w:rPr>
          <w:rFonts w:hint="eastAsia" w:ascii="仿宋_GB2312" w:hAnsi="仿宋" w:eastAsia="仿宋_GB2312" w:cs="仿宋"/>
          <w:i w:val="0"/>
          <w:iCs w:val="0"/>
          <w:color w:val="000000"/>
          <w:spacing w:val="-3"/>
          <w:sz w:val="28"/>
          <w:szCs w:val="28"/>
        </w:rPr>
        <w:t>操</w:t>
      </w:r>
      <w:r>
        <w:rPr>
          <w:rFonts w:hint="eastAsia" w:ascii="仿宋_GB2312" w:hAnsi="仿宋" w:eastAsia="仿宋_GB2312" w:cs="仿宋"/>
          <w:i w:val="0"/>
          <w:iCs w:val="0"/>
          <w:color w:val="000000"/>
          <w:sz w:val="28"/>
          <w:szCs w:val="28"/>
        </w:rPr>
        <w:t>作指引</w:t>
      </w:r>
      <w:r>
        <w:rPr>
          <w:rFonts w:hint="eastAsia" w:ascii="仿宋_GB2312" w:hAnsi="仿宋" w:eastAsia="仿宋_GB2312" w:cs="仿宋"/>
          <w:i w:val="0"/>
          <w:iCs w:val="0"/>
          <w:color w:val="000000"/>
          <w:sz w:val="28"/>
          <w:szCs w:val="28"/>
        </w:rPr>
        <w:fldChar w:fldCharType="end"/>
      </w:r>
    </w:p>
    <w:p>
      <w:pPr>
        <w:pStyle w:val="13"/>
        <w:keepNext w:val="0"/>
        <w:keepLines w:val="0"/>
        <w:pageBreakBefore w:val="0"/>
        <w:widowControl w:val="0"/>
        <w:tabs>
          <w:tab w:val="left" w:leader="dot" w:pos="8145"/>
        </w:tabs>
        <w:kinsoku/>
        <w:wordWrap/>
        <w:overflowPunct/>
        <w:topLinePunct w:val="0"/>
        <w:autoSpaceDE/>
        <w:autoSpaceDN/>
        <w:bidi w:val="0"/>
        <w:adjustRightInd/>
        <w:snapToGrid/>
        <w:spacing w:before="0" w:line="500" w:lineRule="exact"/>
        <w:ind w:left="0" w:firstLine="522" w:firstLineChars="200"/>
        <w:jc w:val="left"/>
        <w:textAlignment w:val="auto"/>
        <w:rPr>
          <w:rFonts w:hint="eastAsia" w:ascii="仿宋_GB2312" w:hAnsi="仿宋" w:eastAsia="仿宋_GB2312" w:cs="仿宋"/>
          <w:i w:val="0"/>
          <w:iCs w:val="0"/>
          <w:color w:val="000000"/>
          <w:sz w:val="28"/>
          <w:szCs w:val="28"/>
        </w:rPr>
      </w:pPr>
      <w:r>
        <w:rPr>
          <w:rFonts w:hint="eastAsia" w:ascii="仿宋_GB2312" w:hAnsi="仿宋" w:eastAsia="仿宋_GB2312" w:cs="仿宋"/>
          <w:i w:val="0"/>
          <w:iCs w:val="0"/>
          <w:color w:val="000000"/>
          <w:sz w:val="28"/>
          <w:szCs w:val="28"/>
        </w:rPr>
        <w:fldChar w:fldCharType="begin"/>
      </w:r>
      <w:r>
        <w:rPr>
          <w:rFonts w:hint="eastAsia" w:ascii="仿宋_GB2312" w:hAnsi="仿宋" w:eastAsia="仿宋_GB2312" w:cs="仿宋"/>
          <w:i w:val="0"/>
          <w:iCs w:val="0"/>
          <w:color w:val="000000"/>
          <w:sz w:val="28"/>
          <w:szCs w:val="28"/>
        </w:rPr>
        <w:instrText xml:space="preserve"> HYPERLINK \l "_bookmark24" </w:instrText>
      </w:r>
      <w:r>
        <w:rPr>
          <w:rFonts w:hint="eastAsia" w:ascii="仿宋_GB2312" w:hAnsi="仿宋" w:eastAsia="仿宋_GB2312" w:cs="仿宋"/>
          <w:i w:val="0"/>
          <w:iCs w:val="0"/>
          <w:color w:val="000000"/>
          <w:sz w:val="28"/>
          <w:szCs w:val="28"/>
        </w:rPr>
        <w:fldChar w:fldCharType="separate"/>
      </w:r>
      <w:r>
        <w:rPr>
          <w:rFonts w:hint="eastAsia" w:ascii="仿宋_GB2312" w:hAnsi="仿宋" w:eastAsia="仿宋_GB2312" w:cs="仿宋"/>
          <w:i w:val="0"/>
          <w:iCs w:val="0"/>
          <w:color w:val="000000"/>
          <w:sz w:val="28"/>
          <w:szCs w:val="28"/>
        </w:rPr>
        <w:t>第</w:t>
      </w:r>
      <w:r>
        <w:rPr>
          <w:rFonts w:hint="eastAsia" w:ascii="仿宋_GB2312" w:hAnsi="仿宋" w:eastAsia="仿宋_GB2312" w:cs="仿宋"/>
          <w:i w:val="0"/>
          <w:iCs w:val="0"/>
          <w:color w:val="000000"/>
          <w:spacing w:val="-3"/>
          <w:sz w:val="28"/>
          <w:szCs w:val="28"/>
        </w:rPr>
        <w:t>五</w:t>
      </w:r>
      <w:r>
        <w:rPr>
          <w:rFonts w:hint="eastAsia" w:ascii="仿宋_GB2312" w:hAnsi="仿宋" w:eastAsia="仿宋_GB2312" w:cs="仿宋"/>
          <w:i w:val="0"/>
          <w:iCs w:val="0"/>
          <w:color w:val="000000"/>
          <w:sz w:val="28"/>
          <w:szCs w:val="28"/>
        </w:rPr>
        <w:t>节</w:t>
      </w:r>
      <w:r>
        <w:rPr>
          <w:rFonts w:hint="eastAsia" w:ascii="仿宋_GB2312" w:hAnsi="仿宋" w:eastAsia="仿宋_GB2312" w:cs="仿宋"/>
          <w:i w:val="0"/>
          <w:iCs w:val="0"/>
          <w:color w:val="000000"/>
          <w:spacing w:val="3"/>
          <w:sz w:val="28"/>
          <w:szCs w:val="28"/>
        </w:rPr>
        <w:t xml:space="preserve">  </w:t>
      </w:r>
      <w:r>
        <w:rPr>
          <w:rFonts w:hint="eastAsia" w:ascii="仿宋_GB2312" w:hAnsi="仿宋" w:eastAsia="仿宋_GB2312" w:cs="仿宋"/>
          <w:i w:val="0"/>
          <w:iCs w:val="0"/>
          <w:color w:val="000000"/>
          <w:sz w:val="28"/>
          <w:szCs w:val="28"/>
        </w:rPr>
        <w:t>农</w:t>
      </w:r>
      <w:r>
        <w:rPr>
          <w:rFonts w:hint="eastAsia" w:ascii="仿宋_GB2312" w:hAnsi="仿宋" w:eastAsia="仿宋_GB2312" w:cs="仿宋"/>
          <w:i w:val="0"/>
          <w:iCs w:val="0"/>
          <w:color w:val="000000"/>
          <w:spacing w:val="-3"/>
          <w:sz w:val="28"/>
          <w:szCs w:val="28"/>
        </w:rPr>
        <w:t>村</w:t>
      </w:r>
      <w:r>
        <w:rPr>
          <w:rFonts w:hint="eastAsia" w:ascii="仿宋_GB2312" w:hAnsi="仿宋" w:eastAsia="仿宋_GB2312" w:cs="仿宋"/>
          <w:i w:val="0"/>
          <w:iCs w:val="0"/>
          <w:color w:val="000000"/>
          <w:sz w:val="28"/>
          <w:szCs w:val="28"/>
        </w:rPr>
        <w:t>宅基</w:t>
      </w:r>
      <w:r>
        <w:rPr>
          <w:rFonts w:hint="eastAsia" w:ascii="仿宋_GB2312" w:hAnsi="仿宋" w:eastAsia="仿宋_GB2312" w:cs="仿宋"/>
          <w:i w:val="0"/>
          <w:iCs w:val="0"/>
          <w:color w:val="000000"/>
          <w:spacing w:val="-3"/>
          <w:sz w:val="28"/>
          <w:szCs w:val="28"/>
        </w:rPr>
        <w:t>地</w:t>
      </w:r>
      <w:r>
        <w:rPr>
          <w:rFonts w:hint="eastAsia" w:ascii="仿宋_GB2312" w:hAnsi="仿宋" w:eastAsia="仿宋_GB2312" w:cs="仿宋"/>
          <w:i w:val="0"/>
          <w:iCs w:val="0"/>
          <w:color w:val="000000"/>
          <w:sz w:val="28"/>
          <w:szCs w:val="28"/>
        </w:rPr>
        <w:t>业务</w:t>
      </w:r>
      <w:r>
        <w:rPr>
          <w:rFonts w:hint="eastAsia" w:ascii="仿宋_GB2312" w:hAnsi="仿宋" w:eastAsia="仿宋_GB2312" w:cs="仿宋"/>
          <w:i w:val="0"/>
          <w:iCs w:val="0"/>
          <w:color w:val="000000"/>
          <w:spacing w:val="-3"/>
          <w:sz w:val="28"/>
          <w:szCs w:val="28"/>
        </w:rPr>
        <w:t>操</w:t>
      </w:r>
      <w:r>
        <w:rPr>
          <w:rFonts w:hint="eastAsia" w:ascii="仿宋_GB2312" w:hAnsi="仿宋" w:eastAsia="仿宋_GB2312" w:cs="仿宋"/>
          <w:i w:val="0"/>
          <w:iCs w:val="0"/>
          <w:color w:val="000000"/>
          <w:sz w:val="28"/>
          <w:szCs w:val="28"/>
        </w:rPr>
        <w:t>作指引</w:t>
      </w:r>
      <w:r>
        <w:rPr>
          <w:rFonts w:hint="eastAsia" w:ascii="仿宋_GB2312" w:hAnsi="仿宋" w:eastAsia="仿宋_GB2312" w:cs="仿宋"/>
          <w:i w:val="0"/>
          <w:iCs w:val="0"/>
          <w:color w:val="000000"/>
          <w:sz w:val="28"/>
          <w:szCs w:val="28"/>
        </w:rPr>
        <w:fldChar w:fldCharType="end"/>
      </w:r>
    </w:p>
    <w:p>
      <w:pPr>
        <w:pStyle w:val="13"/>
        <w:keepNext w:val="0"/>
        <w:keepLines w:val="0"/>
        <w:pageBreakBefore w:val="0"/>
        <w:widowControl w:val="0"/>
        <w:tabs>
          <w:tab w:val="left" w:leader="dot" w:pos="8145"/>
        </w:tabs>
        <w:kinsoku/>
        <w:wordWrap/>
        <w:overflowPunct/>
        <w:topLinePunct w:val="0"/>
        <w:autoSpaceDE/>
        <w:autoSpaceDN/>
        <w:bidi w:val="0"/>
        <w:adjustRightInd/>
        <w:snapToGrid/>
        <w:spacing w:before="0" w:line="500" w:lineRule="exact"/>
        <w:ind w:left="0" w:firstLine="522" w:firstLineChars="200"/>
        <w:jc w:val="left"/>
        <w:textAlignment w:val="auto"/>
        <w:rPr>
          <w:rFonts w:hint="eastAsia" w:ascii="仿宋_GB2312" w:hAnsi="仿宋" w:eastAsia="仿宋_GB2312" w:cs="仿宋"/>
          <w:i w:val="0"/>
          <w:iCs w:val="0"/>
          <w:color w:val="000000"/>
          <w:sz w:val="28"/>
          <w:szCs w:val="28"/>
        </w:rPr>
      </w:pPr>
      <w:r>
        <w:rPr>
          <w:rFonts w:hint="eastAsia" w:ascii="仿宋_GB2312" w:hAnsi="仿宋" w:eastAsia="仿宋_GB2312" w:cs="仿宋"/>
          <w:i w:val="0"/>
          <w:iCs w:val="0"/>
          <w:color w:val="000000"/>
          <w:sz w:val="28"/>
          <w:szCs w:val="28"/>
        </w:rPr>
        <w:fldChar w:fldCharType="begin"/>
      </w:r>
      <w:r>
        <w:rPr>
          <w:rFonts w:hint="eastAsia" w:ascii="仿宋_GB2312" w:hAnsi="仿宋" w:eastAsia="仿宋_GB2312" w:cs="仿宋"/>
          <w:i w:val="0"/>
          <w:iCs w:val="0"/>
          <w:color w:val="000000"/>
          <w:sz w:val="28"/>
          <w:szCs w:val="28"/>
        </w:rPr>
        <w:instrText xml:space="preserve"> HYPERLINK \l "_bookmark28" </w:instrText>
      </w:r>
      <w:r>
        <w:rPr>
          <w:rFonts w:hint="eastAsia" w:ascii="仿宋_GB2312" w:hAnsi="仿宋" w:eastAsia="仿宋_GB2312" w:cs="仿宋"/>
          <w:i w:val="0"/>
          <w:iCs w:val="0"/>
          <w:color w:val="000000"/>
          <w:sz w:val="28"/>
          <w:szCs w:val="28"/>
        </w:rPr>
        <w:fldChar w:fldCharType="separate"/>
      </w:r>
      <w:r>
        <w:rPr>
          <w:rFonts w:hint="eastAsia" w:ascii="仿宋_GB2312" w:hAnsi="仿宋" w:eastAsia="仿宋_GB2312" w:cs="仿宋"/>
          <w:i w:val="0"/>
          <w:iCs w:val="0"/>
          <w:color w:val="000000"/>
          <w:sz w:val="28"/>
          <w:szCs w:val="28"/>
        </w:rPr>
        <w:t>第</w:t>
      </w:r>
      <w:r>
        <w:rPr>
          <w:rFonts w:hint="eastAsia" w:ascii="仿宋_GB2312" w:hAnsi="仿宋" w:eastAsia="仿宋_GB2312" w:cs="仿宋"/>
          <w:i w:val="0"/>
          <w:iCs w:val="0"/>
          <w:color w:val="000000"/>
          <w:spacing w:val="-3"/>
          <w:sz w:val="28"/>
          <w:szCs w:val="28"/>
        </w:rPr>
        <w:t>六</w:t>
      </w:r>
      <w:r>
        <w:rPr>
          <w:rFonts w:hint="eastAsia" w:ascii="仿宋_GB2312" w:hAnsi="仿宋" w:eastAsia="仿宋_GB2312" w:cs="仿宋"/>
          <w:i w:val="0"/>
          <w:iCs w:val="0"/>
          <w:color w:val="000000"/>
          <w:sz w:val="28"/>
          <w:szCs w:val="28"/>
        </w:rPr>
        <w:t>节</w:t>
      </w:r>
      <w:r>
        <w:rPr>
          <w:rFonts w:hint="eastAsia" w:ascii="仿宋_GB2312" w:hAnsi="仿宋" w:eastAsia="仿宋_GB2312" w:cs="仿宋"/>
          <w:i w:val="0"/>
          <w:iCs w:val="0"/>
          <w:color w:val="000000"/>
          <w:spacing w:val="3"/>
          <w:sz w:val="28"/>
          <w:szCs w:val="28"/>
        </w:rPr>
        <w:t xml:space="preserve">  </w:t>
      </w:r>
      <w:r>
        <w:rPr>
          <w:rFonts w:hint="eastAsia" w:ascii="仿宋_GB2312" w:hAnsi="仿宋" w:eastAsia="仿宋_GB2312" w:cs="仿宋"/>
          <w:i w:val="0"/>
          <w:iCs w:val="0"/>
          <w:color w:val="000000"/>
          <w:sz w:val="28"/>
          <w:szCs w:val="28"/>
        </w:rPr>
        <w:t>农</w:t>
      </w:r>
      <w:r>
        <w:rPr>
          <w:rFonts w:hint="eastAsia" w:ascii="仿宋_GB2312" w:hAnsi="仿宋" w:eastAsia="仿宋_GB2312" w:cs="仿宋"/>
          <w:i w:val="0"/>
          <w:iCs w:val="0"/>
          <w:color w:val="000000"/>
          <w:spacing w:val="-3"/>
          <w:sz w:val="28"/>
          <w:szCs w:val="28"/>
        </w:rPr>
        <w:t>产</w:t>
      </w:r>
      <w:r>
        <w:rPr>
          <w:rFonts w:hint="eastAsia" w:ascii="仿宋_GB2312" w:hAnsi="仿宋" w:eastAsia="仿宋_GB2312" w:cs="仿宋"/>
          <w:i w:val="0"/>
          <w:iCs w:val="0"/>
          <w:color w:val="000000"/>
          <w:sz w:val="28"/>
          <w:szCs w:val="28"/>
        </w:rPr>
        <w:t>品质</w:t>
      </w:r>
      <w:r>
        <w:rPr>
          <w:rFonts w:hint="eastAsia" w:ascii="仿宋_GB2312" w:hAnsi="仿宋" w:eastAsia="仿宋_GB2312" w:cs="仿宋"/>
          <w:i w:val="0"/>
          <w:iCs w:val="0"/>
          <w:color w:val="000000"/>
          <w:spacing w:val="-3"/>
          <w:sz w:val="28"/>
          <w:szCs w:val="28"/>
        </w:rPr>
        <w:t>量</w:t>
      </w:r>
      <w:r>
        <w:rPr>
          <w:rFonts w:hint="eastAsia" w:ascii="仿宋_GB2312" w:hAnsi="仿宋" w:eastAsia="仿宋_GB2312" w:cs="仿宋"/>
          <w:i w:val="0"/>
          <w:iCs w:val="0"/>
          <w:color w:val="000000"/>
          <w:sz w:val="28"/>
          <w:szCs w:val="28"/>
        </w:rPr>
        <w:t>安全</w:t>
      </w:r>
      <w:r>
        <w:rPr>
          <w:rFonts w:hint="eastAsia" w:ascii="仿宋_GB2312" w:hAnsi="仿宋" w:eastAsia="仿宋_GB2312" w:cs="仿宋"/>
          <w:i w:val="0"/>
          <w:iCs w:val="0"/>
          <w:color w:val="000000"/>
          <w:spacing w:val="-3"/>
          <w:sz w:val="28"/>
          <w:szCs w:val="28"/>
        </w:rPr>
        <w:t>业</w:t>
      </w:r>
      <w:r>
        <w:rPr>
          <w:rFonts w:hint="eastAsia" w:ascii="仿宋_GB2312" w:hAnsi="仿宋" w:eastAsia="仿宋_GB2312" w:cs="仿宋"/>
          <w:i w:val="0"/>
          <w:iCs w:val="0"/>
          <w:color w:val="000000"/>
          <w:sz w:val="28"/>
          <w:szCs w:val="28"/>
        </w:rPr>
        <w:t>务操</w:t>
      </w:r>
      <w:r>
        <w:rPr>
          <w:rFonts w:hint="eastAsia" w:ascii="仿宋_GB2312" w:hAnsi="仿宋" w:eastAsia="仿宋_GB2312" w:cs="仿宋"/>
          <w:i w:val="0"/>
          <w:iCs w:val="0"/>
          <w:color w:val="000000"/>
          <w:spacing w:val="-3"/>
          <w:sz w:val="28"/>
          <w:szCs w:val="28"/>
        </w:rPr>
        <w:t>作</w:t>
      </w:r>
      <w:r>
        <w:rPr>
          <w:rFonts w:hint="eastAsia" w:ascii="仿宋_GB2312" w:hAnsi="仿宋" w:eastAsia="仿宋_GB2312" w:cs="仿宋"/>
          <w:i w:val="0"/>
          <w:iCs w:val="0"/>
          <w:color w:val="000000"/>
          <w:sz w:val="28"/>
          <w:szCs w:val="28"/>
        </w:rPr>
        <w:t>指引</w:t>
      </w:r>
      <w:r>
        <w:rPr>
          <w:rFonts w:hint="eastAsia" w:ascii="仿宋_GB2312" w:hAnsi="仿宋" w:eastAsia="仿宋_GB2312" w:cs="仿宋"/>
          <w:i w:val="0"/>
          <w:iCs w:val="0"/>
          <w:color w:val="000000"/>
          <w:sz w:val="28"/>
          <w:szCs w:val="28"/>
        </w:rPr>
        <w:fldChar w:fldCharType="end"/>
      </w:r>
    </w:p>
    <w:p>
      <w:pPr>
        <w:pStyle w:val="7"/>
        <w:keepNext w:val="0"/>
        <w:keepLines w:val="0"/>
        <w:pageBreakBefore w:val="0"/>
        <w:widowControl w:val="0"/>
        <w:tabs>
          <w:tab w:val="right" w:leader="dot" w:pos="8427"/>
        </w:tabs>
        <w:kinsoku/>
        <w:wordWrap/>
        <w:overflowPunct/>
        <w:topLinePunct w:val="0"/>
        <w:autoSpaceDE/>
        <w:autoSpaceDN/>
        <w:bidi w:val="0"/>
        <w:adjustRightInd/>
        <w:snapToGrid/>
        <w:spacing w:beforeLines="0" w:afterLines="0" w:line="500" w:lineRule="exact"/>
        <w:ind w:firstLine="602"/>
        <w:jc w:val="left"/>
        <w:textAlignment w:val="auto"/>
        <w:rPr>
          <w:rFonts w:hint="eastAsia" w:ascii="仿宋_GB2312" w:hAnsi="仿宋" w:eastAsia="仿宋_GB2312" w:cs="仿宋"/>
          <w:i w:val="0"/>
          <w:iCs w:val="0"/>
          <w:color w:val="000000"/>
          <w:sz w:val="28"/>
          <w:szCs w:val="28"/>
        </w:rPr>
      </w:pPr>
      <w:r>
        <w:rPr>
          <w:rFonts w:hint="eastAsia" w:ascii="仿宋_GB2312" w:hAnsi="仿宋" w:eastAsia="仿宋_GB2312" w:cs="仿宋"/>
          <w:i w:val="0"/>
          <w:iCs w:val="0"/>
          <w:color w:val="000000"/>
          <w:sz w:val="28"/>
          <w:szCs w:val="28"/>
        </w:rPr>
        <w:fldChar w:fldCharType="begin"/>
      </w:r>
      <w:r>
        <w:rPr>
          <w:rFonts w:hint="eastAsia" w:ascii="仿宋_GB2312" w:hAnsi="仿宋" w:eastAsia="仿宋_GB2312" w:cs="仿宋"/>
          <w:i w:val="0"/>
          <w:iCs w:val="0"/>
          <w:color w:val="000000"/>
          <w:sz w:val="28"/>
          <w:szCs w:val="28"/>
        </w:rPr>
        <w:instrText xml:space="preserve"> HYPERLINK \l "_bookmark32" </w:instrText>
      </w:r>
      <w:r>
        <w:rPr>
          <w:rFonts w:hint="eastAsia" w:ascii="仿宋_GB2312" w:hAnsi="仿宋" w:eastAsia="仿宋_GB2312" w:cs="仿宋"/>
          <w:i w:val="0"/>
          <w:iCs w:val="0"/>
          <w:color w:val="000000"/>
          <w:sz w:val="28"/>
          <w:szCs w:val="28"/>
        </w:rPr>
        <w:fldChar w:fldCharType="separate"/>
      </w:r>
      <w:r>
        <w:rPr>
          <w:rFonts w:hint="eastAsia" w:ascii="仿宋_GB2312" w:hAnsi="仿宋" w:eastAsia="仿宋_GB2312" w:cs="仿宋"/>
          <w:i w:val="0"/>
          <w:iCs w:val="0"/>
          <w:color w:val="000000"/>
          <w:sz w:val="28"/>
          <w:szCs w:val="28"/>
        </w:rPr>
        <w:t>第</w:t>
      </w:r>
      <w:r>
        <w:rPr>
          <w:rFonts w:hint="eastAsia" w:ascii="仿宋_GB2312" w:hAnsi="仿宋" w:eastAsia="仿宋_GB2312" w:cs="仿宋"/>
          <w:i w:val="0"/>
          <w:iCs w:val="0"/>
          <w:color w:val="000000"/>
          <w:spacing w:val="-3"/>
          <w:sz w:val="28"/>
          <w:szCs w:val="28"/>
        </w:rPr>
        <w:t>七</w:t>
      </w:r>
      <w:r>
        <w:rPr>
          <w:rFonts w:hint="eastAsia" w:ascii="仿宋_GB2312" w:hAnsi="仿宋" w:eastAsia="仿宋_GB2312" w:cs="仿宋"/>
          <w:i w:val="0"/>
          <w:iCs w:val="0"/>
          <w:color w:val="000000"/>
          <w:sz w:val="28"/>
          <w:szCs w:val="28"/>
        </w:rPr>
        <w:t>节</w:t>
      </w:r>
      <w:r>
        <w:rPr>
          <w:rFonts w:hint="eastAsia" w:ascii="仿宋_GB2312" w:hAnsi="仿宋" w:eastAsia="仿宋_GB2312" w:cs="仿宋"/>
          <w:i w:val="0"/>
          <w:iCs w:val="0"/>
          <w:color w:val="000000"/>
          <w:spacing w:val="1"/>
          <w:sz w:val="28"/>
          <w:szCs w:val="28"/>
          <w:lang w:eastAsia="zh-CN"/>
        </w:rPr>
        <w:t xml:space="preserve">  </w:t>
      </w:r>
      <w:r>
        <w:rPr>
          <w:rFonts w:hint="eastAsia" w:ascii="仿宋_GB2312" w:hAnsi="仿宋" w:eastAsia="仿宋_GB2312" w:cs="仿宋"/>
          <w:i w:val="0"/>
          <w:iCs w:val="0"/>
          <w:color w:val="000000"/>
          <w:sz w:val="28"/>
          <w:szCs w:val="28"/>
        </w:rPr>
        <w:t>国</w:t>
      </w:r>
      <w:r>
        <w:rPr>
          <w:rFonts w:hint="eastAsia" w:ascii="仿宋_GB2312" w:hAnsi="仿宋" w:eastAsia="仿宋_GB2312" w:cs="仿宋"/>
          <w:i w:val="0"/>
          <w:iCs w:val="0"/>
          <w:color w:val="000000"/>
          <w:spacing w:val="-3"/>
          <w:sz w:val="28"/>
          <w:szCs w:val="28"/>
        </w:rPr>
        <w:t>有</w:t>
      </w:r>
      <w:r>
        <w:rPr>
          <w:rFonts w:hint="eastAsia" w:ascii="仿宋_GB2312" w:hAnsi="仿宋" w:eastAsia="仿宋_GB2312" w:cs="仿宋"/>
          <w:i w:val="0"/>
          <w:iCs w:val="0"/>
          <w:color w:val="000000"/>
          <w:sz w:val="28"/>
          <w:szCs w:val="28"/>
        </w:rPr>
        <w:t>渔业</w:t>
      </w:r>
      <w:r>
        <w:rPr>
          <w:rFonts w:hint="eastAsia" w:ascii="仿宋_GB2312" w:hAnsi="仿宋" w:eastAsia="仿宋_GB2312" w:cs="仿宋"/>
          <w:i w:val="0"/>
          <w:iCs w:val="0"/>
          <w:color w:val="000000"/>
          <w:spacing w:val="-3"/>
          <w:sz w:val="28"/>
          <w:szCs w:val="28"/>
        </w:rPr>
        <w:t>水</w:t>
      </w:r>
      <w:r>
        <w:rPr>
          <w:rFonts w:hint="eastAsia" w:ascii="仿宋_GB2312" w:hAnsi="仿宋" w:eastAsia="仿宋_GB2312" w:cs="仿宋"/>
          <w:i w:val="0"/>
          <w:iCs w:val="0"/>
          <w:color w:val="000000"/>
          <w:sz w:val="28"/>
          <w:szCs w:val="28"/>
        </w:rPr>
        <w:t>域占</w:t>
      </w:r>
      <w:r>
        <w:rPr>
          <w:rFonts w:hint="eastAsia" w:ascii="仿宋_GB2312" w:hAnsi="仿宋" w:eastAsia="仿宋_GB2312" w:cs="仿宋"/>
          <w:i w:val="0"/>
          <w:iCs w:val="0"/>
          <w:color w:val="000000"/>
          <w:spacing w:val="-3"/>
          <w:sz w:val="28"/>
          <w:szCs w:val="28"/>
        </w:rPr>
        <w:t>用</w:t>
      </w:r>
      <w:r>
        <w:rPr>
          <w:rFonts w:hint="eastAsia" w:ascii="仿宋_GB2312" w:hAnsi="仿宋" w:eastAsia="仿宋_GB2312" w:cs="仿宋"/>
          <w:i w:val="0"/>
          <w:iCs w:val="0"/>
          <w:color w:val="000000"/>
          <w:sz w:val="28"/>
          <w:szCs w:val="28"/>
        </w:rPr>
        <w:t>补偿</w:t>
      </w:r>
      <w:r>
        <w:rPr>
          <w:rFonts w:hint="eastAsia" w:ascii="仿宋_GB2312" w:hAnsi="仿宋" w:eastAsia="仿宋_GB2312" w:cs="仿宋"/>
          <w:i w:val="0"/>
          <w:iCs w:val="0"/>
          <w:color w:val="000000"/>
          <w:spacing w:val="-3"/>
          <w:sz w:val="28"/>
          <w:szCs w:val="28"/>
        </w:rPr>
        <w:t>业</w:t>
      </w:r>
      <w:r>
        <w:rPr>
          <w:rFonts w:hint="eastAsia" w:ascii="仿宋_GB2312" w:hAnsi="仿宋" w:eastAsia="仿宋_GB2312" w:cs="仿宋"/>
          <w:i w:val="0"/>
          <w:iCs w:val="0"/>
          <w:color w:val="000000"/>
          <w:sz w:val="28"/>
          <w:szCs w:val="28"/>
        </w:rPr>
        <w:t>务操</w:t>
      </w:r>
      <w:r>
        <w:rPr>
          <w:rFonts w:hint="eastAsia" w:ascii="仿宋_GB2312" w:hAnsi="仿宋" w:eastAsia="仿宋_GB2312" w:cs="仿宋"/>
          <w:i w:val="0"/>
          <w:iCs w:val="0"/>
          <w:color w:val="000000"/>
          <w:spacing w:val="-3"/>
          <w:sz w:val="28"/>
          <w:szCs w:val="28"/>
        </w:rPr>
        <w:t>作</w:t>
      </w:r>
      <w:r>
        <w:rPr>
          <w:rFonts w:hint="eastAsia" w:ascii="仿宋_GB2312" w:hAnsi="仿宋" w:eastAsia="仿宋_GB2312" w:cs="仿宋"/>
          <w:i w:val="0"/>
          <w:iCs w:val="0"/>
          <w:color w:val="000000"/>
          <w:sz w:val="28"/>
          <w:szCs w:val="28"/>
        </w:rPr>
        <w:t>指引</w:t>
      </w:r>
      <w:r>
        <w:rPr>
          <w:rFonts w:hint="eastAsia" w:ascii="仿宋_GB2312" w:hAnsi="仿宋" w:eastAsia="仿宋_GB2312" w:cs="仿宋"/>
          <w:i w:val="0"/>
          <w:iCs w:val="0"/>
          <w:color w:val="000000"/>
          <w:sz w:val="28"/>
          <w:szCs w:val="28"/>
        </w:rPr>
        <w:fldChar w:fldCharType="end"/>
      </w:r>
    </w:p>
    <w:p>
      <w:pPr>
        <w:pStyle w:val="7"/>
        <w:keepNext w:val="0"/>
        <w:keepLines w:val="0"/>
        <w:pageBreakBefore w:val="0"/>
        <w:widowControl w:val="0"/>
        <w:tabs>
          <w:tab w:val="right" w:leader="dot" w:pos="8427"/>
        </w:tabs>
        <w:kinsoku/>
        <w:wordWrap/>
        <w:overflowPunct/>
        <w:topLinePunct w:val="0"/>
        <w:autoSpaceDE/>
        <w:autoSpaceDN/>
        <w:bidi w:val="0"/>
        <w:adjustRightInd/>
        <w:snapToGrid/>
        <w:spacing w:beforeLines="0" w:afterLines="0" w:line="500" w:lineRule="exact"/>
        <w:ind w:firstLine="602"/>
        <w:jc w:val="left"/>
        <w:textAlignment w:val="auto"/>
        <w:rPr>
          <w:rFonts w:hint="eastAsia" w:ascii="仿宋_GB2312" w:hAnsi="仿宋" w:eastAsia="仿宋_GB2312" w:cs="仿宋"/>
          <w:i w:val="0"/>
          <w:iCs w:val="0"/>
          <w:color w:val="000000"/>
          <w:sz w:val="28"/>
          <w:szCs w:val="28"/>
        </w:rPr>
      </w:pPr>
      <w:r>
        <w:rPr>
          <w:rFonts w:hint="eastAsia" w:ascii="仿宋_GB2312" w:hAnsi="仿宋" w:eastAsia="仿宋_GB2312" w:cs="仿宋"/>
          <w:i w:val="0"/>
          <w:iCs w:val="0"/>
          <w:color w:val="000000"/>
          <w:sz w:val="28"/>
          <w:szCs w:val="28"/>
        </w:rPr>
        <w:fldChar w:fldCharType="begin"/>
      </w:r>
      <w:r>
        <w:rPr>
          <w:rFonts w:hint="eastAsia" w:ascii="仿宋_GB2312" w:hAnsi="仿宋" w:eastAsia="仿宋_GB2312" w:cs="仿宋"/>
          <w:i w:val="0"/>
          <w:iCs w:val="0"/>
          <w:color w:val="000000"/>
          <w:sz w:val="28"/>
          <w:szCs w:val="28"/>
        </w:rPr>
        <w:instrText xml:space="preserve"> HYPERLINK \l "_bookmark36" </w:instrText>
      </w:r>
      <w:r>
        <w:rPr>
          <w:rFonts w:hint="eastAsia" w:ascii="仿宋_GB2312" w:hAnsi="仿宋" w:eastAsia="仿宋_GB2312" w:cs="仿宋"/>
          <w:i w:val="0"/>
          <w:iCs w:val="0"/>
          <w:color w:val="000000"/>
          <w:sz w:val="28"/>
          <w:szCs w:val="28"/>
        </w:rPr>
        <w:fldChar w:fldCharType="separate"/>
      </w:r>
      <w:r>
        <w:rPr>
          <w:rFonts w:hint="eastAsia" w:ascii="仿宋_GB2312" w:hAnsi="仿宋" w:eastAsia="仿宋_GB2312" w:cs="仿宋"/>
          <w:i w:val="0"/>
          <w:iCs w:val="0"/>
          <w:color w:val="000000"/>
          <w:sz w:val="28"/>
          <w:szCs w:val="28"/>
        </w:rPr>
        <w:t>第</w:t>
      </w:r>
      <w:r>
        <w:rPr>
          <w:rFonts w:hint="eastAsia" w:ascii="仿宋_GB2312" w:hAnsi="仿宋" w:eastAsia="仿宋_GB2312" w:cs="仿宋"/>
          <w:i w:val="0"/>
          <w:iCs w:val="0"/>
          <w:color w:val="000000"/>
          <w:spacing w:val="-3"/>
          <w:sz w:val="28"/>
          <w:szCs w:val="28"/>
        </w:rPr>
        <w:t>八</w:t>
      </w:r>
      <w:r>
        <w:rPr>
          <w:rFonts w:hint="eastAsia" w:ascii="仿宋_GB2312" w:hAnsi="仿宋" w:eastAsia="仿宋_GB2312" w:cs="仿宋"/>
          <w:i w:val="0"/>
          <w:iCs w:val="0"/>
          <w:color w:val="000000"/>
          <w:sz w:val="28"/>
          <w:szCs w:val="28"/>
        </w:rPr>
        <w:t>节</w:t>
      </w:r>
      <w:r>
        <w:rPr>
          <w:rFonts w:hint="eastAsia" w:ascii="仿宋_GB2312" w:hAnsi="仿宋" w:eastAsia="仿宋_GB2312" w:cs="仿宋"/>
          <w:i w:val="0"/>
          <w:iCs w:val="0"/>
          <w:color w:val="000000"/>
          <w:spacing w:val="1"/>
          <w:sz w:val="28"/>
          <w:szCs w:val="28"/>
          <w:lang w:eastAsia="zh-CN"/>
        </w:rPr>
        <w:t xml:space="preserve">  </w:t>
      </w:r>
      <w:r>
        <w:rPr>
          <w:rFonts w:hint="eastAsia" w:ascii="仿宋_GB2312" w:hAnsi="仿宋" w:eastAsia="仿宋_GB2312" w:cs="仿宋"/>
          <w:i w:val="0"/>
          <w:iCs w:val="0"/>
          <w:color w:val="000000"/>
          <w:sz w:val="28"/>
          <w:szCs w:val="28"/>
        </w:rPr>
        <w:t>村</w:t>
      </w:r>
      <w:r>
        <w:rPr>
          <w:rFonts w:hint="eastAsia" w:ascii="仿宋_GB2312" w:hAnsi="仿宋" w:eastAsia="仿宋_GB2312" w:cs="仿宋"/>
          <w:i w:val="0"/>
          <w:iCs w:val="0"/>
          <w:color w:val="000000"/>
          <w:spacing w:val="-3"/>
          <w:sz w:val="28"/>
          <w:szCs w:val="28"/>
        </w:rPr>
        <w:t>（</w:t>
      </w:r>
      <w:r>
        <w:rPr>
          <w:rFonts w:hint="eastAsia" w:ascii="仿宋_GB2312" w:hAnsi="仿宋" w:eastAsia="仿宋_GB2312" w:cs="仿宋"/>
          <w:i w:val="0"/>
          <w:iCs w:val="0"/>
          <w:color w:val="000000"/>
          <w:sz w:val="28"/>
          <w:szCs w:val="28"/>
        </w:rPr>
        <w:t>居）</w:t>
      </w:r>
      <w:r>
        <w:rPr>
          <w:rFonts w:hint="eastAsia" w:ascii="仿宋_GB2312" w:hAnsi="仿宋" w:eastAsia="仿宋_GB2312" w:cs="仿宋"/>
          <w:i w:val="0"/>
          <w:iCs w:val="0"/>
          <w:color w:val="000000"/>
          <w:spacing w:val="-3"/>
          <w:sz w:val="28"/>
          <w:szCs w:val="28"/>
        </w:rPr>
        <w:t>基</w:t>
      </w:r>
      <w:r>
        <w:rPr>
          <w:rFonts w:hint="eastAsia" w:ascii="仿宋_GB2312" w:hAnsi="仿宋" w:eastAsia="仿宋_GB2312" w:cs="仿宋"/>
          <w:i w:val="0"/>
          <w:iCs w:val="0"/>
          <w:color w:val="000000"/>
          <w:sz w:val="28"/>
          <w:szCs w:val="28"/>
        </w:rPr>
        <w:t>层组</w:t>
      </w:r>
      <w:r>
        <w:rPr>
          <w:rFonts w:hint="eastAsia" w:ascii="仿宋_GB2312" w:hAnsi="仿宋" w:eastAsia="仿宋_GB2312" w:cs="仿宋"/>
          <w:i w:val="0"/>
          <w:iCs w:val="0"/>
          <w:color w:val="000000"/>
          <w:spacing w:val="-3"/>
          <w:sz w:val="28"/>
          <w:szCs w:val="28"/>
        </w:rPr>
        <w:t>织</w:t>
      </w:r>
      <w:r>
        <w:rPr>
          <w:rFonts w:hint="eastAsia" w:ascii="仿宋_GB2312" w:hAnsi="仿宋" w:eastAsia="仿宋_GB2312" w:cs="仿宋"/>
          <w:i w:val="0"/>
          <w:iCs w:val="0"/>
          <w:color w:val="000000"/>
          <w:sz w:val="28"/>
          <w:szCs w:val="28"/>
        </w:rPr>
        <w:t>法律</w:t>
      </w:r>
      <w:r>
        <w:rPr>
          <w:rFonts w:hint="eastAsia" w:ascii="仿宋_GB2312" w:hAnsi="仿宋" w:eastAsia="仿宋_GB2312" w:cs="仿宋"/>
          <w:i w:val="0"/>
          <w:iCs w:val="0"/>
          <w:color w:val="000000"/>
          <w:spacing w:val="-3"/>
          <w:sz w:val="28"/>
          <w:szCs w:val="28"/>
        </w:rPr>
        <w:t>服</w:t>
      </w:r>
      <w:r>
        <w:rPr>
          <w:rFonts w:hint="eastAsia" w:ascii="仿宋_GB2312" w:hAnsi="仿宋" w:eastAsia="仿宋_GB2312" w:cs="仿宋"/>
          <w:i w:val="0"/>
          <w:iCs w:val="0"/>
          <w:color w:val="000000"/>
          <w:sz w:val="28"/>
          <w:szCs w:val="28"/>
        </w:rPr>
        <w:t>务业</w:t>
      </w:r>
      <w:r>
        <w:rPr>
          <w:rFonts w:hint="eastAsia" w:ascii="仿宋_GB2312" w:hAnsi="仿宋" w:eastAsia="仿宋_GB2312" w:cs="仿宋"/>
          <w:i w:val="0"/>
          <w:iCs w:val="0"/>
          <w:color w:val="000000"/>
          <w:spacing w:val="-3"/>
          <w:sz w:val="28"/>
          <w:szCs w:val="28"/>
        </w:rPr>
        <w:t>务</w:t>
      </w:r>
      <w:r>
        <w:rPr>
          <w:rFonts w:hint="eastAsia" w:ascii="仿宋_GB2312" w:hAnsi="仿宋" w:eastAsia="仿宋_GB2312" w:cs="仿宋"/>
          <w:i w:val="0"/>
          <w:iCs w:val="0"/>
          <w:color w:val="000000"/>
          <w:sz w:val="28"/>
          <w:szCs w:val="28"/>
        </w:rPr>
        <w:t>操作</w:t>
      </w:r>
      <w:r>
        <w:rPr>
          <w:rFonts w:hint="eastAsia" w:ascii="仿宋_GB2312" w:hAnsi="仿宋" w:eastAsia="仿宋_GB2312" w:cs="仿宋"/>
          <w:i w:val="0"/>
          <w:iCs w:val="0"/>
          <w:color w:val="000000"/>
          <w:spacing w:val="-3"/>
          <w:sz w:val="28"/>
          <w:szCs w:val="28"/>
        </w:rPr>
        <w:t>指</w:t>
      </w:r>
      <w:r>
        <w:rPr>
          <w:rFonts w:hint="eastAsia" w:ascii="仿宋_GB2312" w:hAnsi="仿宋" w:eastAsia="仿宋_GB2312" w:cs="仿宋"/>
          <w:i w:val="0"/>
          <w:iCs w:val="0"/>
          <w:color w:val="000000"/>
          <w:sz w:val="28"/>
          <w:szCs w:val="28"/>
        </w:rPr>
        <w:t>引</w:t>
      </w:r>
      <w:r>
        <w:rPr>
          <w:rFonts w:hint="eastAsia" w:ascii="仿宋_GB2312" w:hAnsi="仿宋" w:eastAsia="仿宋_GB2312" w:cs="仿宋"/>
          <w:i w:val="0"/>
          <w:iCs w:val="0"/>
          <w:color w:val="000000"/>
          <w:sz w:val="28"/>
          <w:szCs w:val="28"/>
        </w:rPr>
        <w:fldChar w:fldCharType="end"/>
      </w:r>
    </w:p>
    <w:p>
      <w:pPr>
        <w:pStyle w:val="7"/>
        <w:keepNext w:val="0"/>
        <w:keepLines w:val="0"/>
        <w:pageBreakBefore w:val="0"/>
        <w:widowControl w:val="0"/>
        <w:tabs>
          <w:tab w:val="right" w:leader="dot" w:pos="8427"/>
        </w:tabs>
        <w:kinsoku/>
        <w:wordWrap/>
        <w:overflowPunct/>
        <w:topLinePunct w:val="0"/>
        <w:autoSpaceDE/>
        <w:autoSpaceDN/>
        <w:bidi w:val="0"/>
        <w:adjustRightInd/>
        <w:snapToGrid/>
        <w:spacing w:beforeLines="0" w:afterLines="0" w:line="500" w:lineRule="exact"/>
        <w:ind w:firstLine="602"/>
        <w:jc w:val="left"/>
        <w:textAlignment w:val="auto"/>
        <w:rPr>
          <w:rFonts w:hint="eastAsia" w:ascii="仿宋_GB2312" w:hAnsi="仿宋" w:eastAsia="仿宋_GB2312" w:cs="仿宋"/>
          <w:i w:val="0"/>
          <w:iCs w:val="0"/>
          <w:color w:val="000000"/>
          <w:sz w:val="28"/>
          <w:szCs w:val="28"/>
        </w:rPr>
      </w:pPr>
      <w:r>
        <w:rPr>
          <w:rFonts w:hint="eastAsia" w:ascii="仿宋_GB2312" w:hAnsi="仿宋" w:eastAsia="仿宋_GB2312" w:cs="仿宋"/>
          <w:i w:val="0"/>
          <w:iCs w:val="0"/>
          <w:color w:val="000000"/>
          <w:sz w:val="28"/>
          <w:szCs w:val="28"/>
        </w:rPr>
        <w:fldChar w:fldCharType="begin"/>
      </w:r>
      <w:r>
        <w:rPr>
          <w:rFonts w:hint="eastAsia" w:ascii="仿宋_GB2312" w:hAnsi="仿宋" w:eastAsia="仿宋_GB2312" w:cs="仿宋"/>
          <w:i w:val="0"/>
          <w:iCs w:val="0"/>
          <w:color w:val="000000"/>
          <w:sz w:val="28"/>
          <w:szCs w:val="28"/>
        </w:rPr>
        <w:instrText xml:space="preserve"> HYPERLINK \l "_bookmark39" </w:instrText>
      </w:r>
      <w:r>
        <w:rPr>
          <w:rFonts w:hint="eastAsia" w:ascii="仿宋_GB2312" w:hAnsi="仿宋" w:eastAsia="仿宋_GB2312" w:cs="仿宋"/>
          <w:i w:val="0"/>
          <w:iCs w:val="0"/>
          <w:color w:val="000000"/>
          <w:sz w:val="28"/>
          <w:szCs w:val="28"/>
        </w:rPr>
        <w:fldChar w:fldCharType="separate"/>
      </w:r>
      <w:r>
        <w:rPr>
          <w:rFonts w:hint="eastAsia" w:ascii="仿宋_GB2312" w:hAnsi="仿宋" w:eastAsia="仿宋_GB2312" w:cs="仿宋"/>
          <w:i w:val="0"/>
          <w:iCs w:val="0"/>
          <w:color w:val="000000"/>
          <w:sz w:val="28"/>
          <w:szCs w:val="28"/>
        </w:rPr>
        <w:t>第</w:t>
      </w:r>
      <w:r>
        <w:rPr>
          <w:rFonts w:hint="eastAsia" w:ascii="仿宋_GB2312" w:hAnsi="仿宋" w:eastAsia="仿宋_GB2312" w:cs="仿宋"/>
          <w:i w:val="0"/>
          <w:iCs w:val="0"/>
          <w:color w:val="000000"/>
          <w:spacing w:val="-3"/>
          <w:sz w:val="28"/>
          <w:szCs w:val="28"/>
        </w:rPr>
        <w:t>九</w:t>
      </w:r>
      <w:r>
        <w:rPr>
          <w:rFonts w:hint="eastAsia" w:ascii="仿宋_GB2312" w:hAnsi="仿宋" w:eastAsia="仿宋_GB2312" w:cs="仿宋"/>
          <w:i w:val="0"/>
          <w:iCs w:val="0"/>
          <w:color w:val="000000"/>
          <w:sz w:val="28"/>
          <w:szCs w:val="28"/>
        </w:rPr>
        <w:t>节</w:t>
      </w:r>
      <w:r>
        <w:rPr>
          <w:rFonts w:hint="eastAsia" w:ascii="仿宋_GB2312" w:hAnsi="仿宋" w:eastAsia="仿宋_GB2312" w:cs="仿宋"/>
          <w:i w:val="0"/>
          <w:iCs w:val="0"/>
          <w:color w:val="000000"/>
          <w:spacing w:val="1"/>
          <w:sz w:val="28"/>
          <w:szCs w:val="28"/>
          <w:lang w:eastAsia="zh-CN"/>
        </w:rPr>
        <w:t xml:space="preserve">  </w:t>
      </w:r>
      <w:r>
        <w:rPr>
          <w:rFonts w:hint="eastAsia" w:ascii="仿宋_GB2312" w:hAnsi="仿宋" w:eastAsia="仿宋_GB2312" w:cs="仿宋"/>
          <w:i w:val="0"/>
          <w:iCs w:val="0"/>
          <w:color w:val="000000"/>
          <w:sz w:val="28"/>
          <w:szCs w:val="28"/>
        </w:rPr>
        <w:t>农</w:t>
      </w:r>
      <w:r>
        <w:rPr>
          <w:rFonts w:hint="eastAsia" w:ascii="仿宋_GB2312" w:hAnsi="仿宋" w:eastAsia="仿宋_GB2312" w:cs="仿宋"/>
          <w:i w:val="0"/>
          <w:iCs w:val="0"/>
          <w:color w:val="000000"/>
          <w:spacing w:val="-3"/>
          <w:sz w:val="28"/>
          <w:szCs w:val="28"/>
        </w:rPr>
        <w:t>业</w:t>
      </w:r>
      <w:r>
        <w:rPr>
          <w:rFonts w:hint="eastAsia" w:ascii="仿宋_GB2312" w:hAnsi="仿宋" w:eastAsia="仿宋_GB2312" w:cs="仿宋"/>
          <w:i w:val="0"/>
          <w:iCs w:val="0"/>
          <w:color w:val="000000"/>
          <w:sz w:val="28"/>
          <w:szCs w:val="28"/>
        </w:rPr>
        <w:t>行政</w:t>
      </w:r>
      <w:r>
        <w:rPr>
          <w:rFonts w:hint="eastAsia" w:ascii="仿宋_GB2312" w:hAnsi="仿宋" w:eastAsia="仿宋_GB2312" w:cs="仿宋"/>
          <w:i w:val="0"/>
          <w:iCs w:val="0"/>
          <w:color w:val="000000"/>
          <w:spacing w:val="-3"/>
          <w:sz w:val="28"/>
          <w:szCs w:val="28"/>
        </w:rPr>
        <w:t>处</w:t>
      </w:r>
      <w:r>
        <w:rPr>
          <w:rFonts w:hint="eastAsia" w:ascii="仿宋_GB2312" w:hAnsi="仿宋" w:eastAsia="仿宋_GB2312" w:cs="仿宋"/>
          <w:i w:val="0"/>
          <w:iCs w:val="0"/>
          <w:color w:val="000000"/>
          <w:sz w:val="28"/>
          <w:szCs w:val="28"/>
        </w:rPr>
        <w:t>罚业</w:t>
      </w:r>
      <w:r>
        <w:rPr>
          <w:rFonts w:hint="eastAsia" w:ascii="仿宋_GB2312" w:hAnsi="仿宋" w:eastAsia="仿宋_GB2312" w:cs="仿宋"/>
          <w:i w:val="0"/>
          <w:iCs w:val="0"/>
          <w:color w:val="000000"/>
          <w:spacing w:val="-3"/>
          <w:sz w:val="28"/>
          <w:szCs w:val="28"/>
        </w:rPr>
        <w:t>务</w:t>
      </w:r>
      <w:r>
        <w:rPr>
          <w:rFonts w:hint="eastAsia" w:ascii="仿宋_GB2312" w:hAnsi="仿宋" w:eastAsia="仿宋_GB2312" w:cs="仿宋"/>
          <w:i w:val="0"/>
          <w:iCs w:val="0"/>
          <w:color w:val="000000"/>
          <w:sz w:val="28"/>
          <w:szCs w:val="28"/>
        </w:rPr>
        <w:t>操作</w:t>
      </w:r>
      <w:r>
        <w:rPr>
          <w:rFonts w:hint="eastAsia" w:ascii="仿宋_GB2312" w:hAnsi="仿宋" w:eastAsia="仿宋_GB2312" w:cs="仿宋"/>
          <w:i w:val="0"/>
          <w:iCs w:val="0"/>
          <w:color w:val="000000"/>
          <w:spacing w:val="-3"/>
          <w:sz w:val="28"/>
          <w:szCs w:val="28"/>
        </w:rPr>
        <w:t>指</w:t>
      </w:r>
      <w:r>
        <w:rPr>
          <w:rFonts w:hint="eastAsia" w:ascii="仿宋_GB2312" w:hAnsi="仿宋" w:eastAsia="仿宋_GB2312" w:cs="仿宋"/>
          <w:i w:val="0"/>
          <w:iCs w:val="0"/>
          <w:color w:val="000000"/>
          <w:sz w:val="28"/>
          <w:szCs w:val="28"/>
        </w:rPr>
        <w:t>引</w:t>
      </w:r>
      <w:r>
        <w:rPr>
          <w:rFonts w:hint="eastAsia" w:ascii="仿宋_GB2312" w:hAnsi="仿宋" w:eastAsia="仿宋_GB2312" w:cs="仿宋"/>
          <w:i w:val="0"/>
          <w:iCs w:val="0"/>
          <w:color w:val="000000"/>
          <w:sz w:val="28"/>
          <w:szCs w:val="28"/>
        </w:rPr>
        <w:fldChar w:fldCharType="end"/>
      </w:r>
    </w:p>
    <w:p>
      <w:pPr>
        <w:pStyle w:val="7"/>
        <w:keepNext w:val="0"/>
        <w:keepLines w:val="0"/>
        <w:pageBreakBefore w:val="0"/>
        <w:widowControl w:val="0"/>
        <w:tabs>
          <w:tab w:val="right" w:leader="dot" w:pos="8427"/>
        </w:tabs>
        <w:kinsoku/>
        <w:wordWrap/>
        <w:overflowPunct/>
        <w:topLinePunct w:val="0"/>
        <w:autoSpaceDE/>
        <w:autoSpaceDN/>
        <w:bidi w:val="0"/>
        <w:adjustRightInd/>
        <w:snapToGrid/>
        <w:spacing w:beforeLines="0" w:afterLines="0" w:line="500" w:lineRule="exact"/>
        <w:ind w:firstLine="602"/>
        <w:jc w:val="left"/>
        <w:textAlignment w:val="auto"/>
        <w:rPr>
          <w:rFonts w:hint="eastAsia" w:ascii="仿宋_GB2312" w:hAnsi="仿宋" w:eastAsia="仿宋_GB2312" w:cs="仿宋"/>
          <w:i w:val="0"/>
          <w:iCs w:val="0"/>
          <w:color w:val="000000"/>
          <w:sz w:val="28"/>
          <w:szCs w:val="28"/>
        </w:rPr>
      </w:pPr>
      <w:r>
        <w:rPr>
          <w:rFonts w:hint="eastAsia" w:ascii="仿宋_GB2312" w:hAnsi="仿宋" w:eastAsia="仿宋_GB2312" w:cs="仿宋"/>
          <w:i w:val="0"/>
          <w:iCs w:val="0"/>
          <w:color w:val="000000"/>
          <w:sz w:val="28"/>
          <w:szCs w:val="28"/>
        </w:rPr>
        <w:fldChar w:fldCharType="begin"/>
      </w:r>
      <w:r>
        <w:rPr>
          <w:rFonts w:hint="eastAsia" w:ascii="仿宋_GB2312" w:hAnsi="仿宋" w:eastAsia="仿宋_GB2312" w:cs="仿宋"/>
          <w:i w:val="0"/>
          <w:iCs w:val="0"/>
          <w:color w:val="000000"/>
          <w:sz w:val="28"/>
          <w:szCs w:val="28"/>
        </w:rPr>
        <w:instrText xml:space="preserve"> HYPERLINK \l "_bookmark42" </w:instrText>
      </w:r>
      <w:r>
        <w:rPr>
          <w:rFonts w:hint="eastAsia" w:ascii="仿宋_GB2312" w:hAnsi="仿宋" w:eastAsia="仿宋_GB2312" w:cs="仿宋"/>
          <w:i w:val="0"/>
          <w:iCs w:val="0"/>
          <w:color w:val="000000"/>
          <w:sz w:val="28"/>
          <w:szCs w:val="28"/>
        </w:rPr>
        <w:fldChar w:fldCharType="separate"/>
      </w:r>
      <w:r>
        <w:rPr>
          <w:rFonts w:hint="eastAsia" w:ascii="仿宋_GB2312" w:hAnsi="仿宋" w:eastAsia="仿宋_GB2312" w:cs="仿宋"/>
          <w:i w:val="0"/>
          <w:iCs w:val="0"/>
          <w:color w:val="000000"/>
          <w:sz w:val="28"/>
          <w:szCs w:val="28"/>
        </w:rPr>
        <w:t>第</w:t>
      </w:r>
      <w:r>
        <w:rPr>
          <w:rFonts w:hint="eastAsia" w:ascii="仿宋_GB2312" w:hAnsi="仿宋" w:eastAsia="仿宋_GB2312" w:cs="仿宋"/>
          <w:i w:val="0"/>
          <w:iCs w:val="0"/>
          <w:color w:val="000000"/>
          <w:spacing w:val="-3"/>
          <w:sz w:val="28"/>
          <w:szCs w:val="28"/>
        </w:rPr>
        <w:t>十</w:t>
      </w:r>
      <w:r>
        <w:rPr>
          <w:rFonts w:hint="eastAsia" w:ascii="仿宋_GB2312" w:hAnsi="仿宋" w:eastAsia="仿宋_GB2312" w:cs="仿宋"/>
          <w:i w:val="0"/>
          <w:iCs w:val="0"/>
          <w:color w:val="000000"/>
          <w:sz w:val="28"/>
          <w:szCs w:val="28"/>
        </w:rPr>
        <w:t>节</w:t>
      </w:r>
      <w:r>
        <w:rPr>
          <w:rFonts w:hint="eastAsia" w:ascii="仿宋_GB2312" w:hAnsi="仿宋" w:eastAsia="仿宋_GB2312" w:cs="仿宋"/>
          <w:i w:val="0"/>
          <w:iCs w:val="0"/>
          <w:color w:val="000000"/>
          <w:spacing w:val="1"/>
          <w:sz w:val="28"/>
          <w:szCs w:val="28"/>
          <w:lang w:eastAsia="zh-CN"/>
        </w:rPr>
        <w:t xml:space="preserve">  </w:t>
      </w:r>
      <w:r>
        <w:rPr>
          <w:rFonts w:hint="eastAsia" w:ascii="仿宋_GB2312" w:hAnsi="仿宋" w:eastAsia="仿宋_GB2312" w:cs="仿宋"/>
          <w:i w:val="0"/>
          <w:iCs w:val="0"/>
          <w:color w:val="000000"/>
          <w:sz w:val="28"/>
          <w:szCs w:val="28"/>
        </w:rPr>
        <w:t>农</w:t>
      </w:r>
      <w:r>
        <w:rPr>
          <w:rFonts w:hint="eastAsia" w:ascii="仿宋_GB2312" w:hAnsi="仿宋" w:eastAsia="仿宋_GB2312" w:cs="仿宋"/>
          <w:i w:val="0"/>
          <w:iCs w:val="0"/>
          <w:color w:val="000000"/>
          <w:spacing w:val="-3"/>
          <w:sz w:val="28"/>
          <w:szCs w:val="28"/>
        </w:rPr>
        <w:t>业</w:t>
      </w:r>
      <w:r>
        <w:rPr>
          <w:rFonts w:hint="eastAsia" w:ascii="仿宋_GB2312" w:hAnsi="仿宋" w:eastAsia="仿宋_GB2312" w:cs="仿宋"/>
          <w:i w:val="0"/>
          <w:iCs w:val="0"/>
          <w:color w:val="000000"/>
          <w:sz w:val="28"/>
          <w:szCs w:val="28"/>
        </w:rPr>
        <w:t>投资</w:t>
      </w:r>
      <w:r>
        <w:rPr>
          <w:rFonts w:hint="eastAsia" w:ascii="仿宋_GB2312" w:hAnsi="仿宋" w:eastAsia="仿宋_GB2312" w:cs="仿宋"/>
          <w:i w:val="0"/>
          <w:iCs w:val="0"/>
          <w:color w:val="000000"/>
          <w:spacing w:val="-3"/>
          <w:sz w:val="28"/>
          <w:szCs w:val="28"/>
        </w:rPr>
        <w:t>管</w:t>
      </w:r>
      <w:r>
        <w:rPr>
          <w:rFonts w:hint="eastAsia" w:ascii="仿宋_GB2312" w:hAnsi="仿宋" w:eastAsia="仿宋_GB2312" w:cs="仿宋"/>
          <w:i w:val="0"/>
          <w:iCs w:val="0"/>
          <w:color w:val="000000"/>
          <w:sz w:val="28"/>
          <w:szCs w:val="28"/>
        </w:rPr>
        <w:t>理业</w:t>
      </w:r>
      <w:r>
        <w:rPr>
          <w:rFonts w:hint="eastAsia" w:ascii="仿宋_GB2312" w:hAnsi="仿宋" w:eastAsia="仿宋_GB2312" w:cs="仿宋"/>
          <w:i w:val="0"/>
          <w:iCs w:val="0"/>
          <w:color w:val="000000"/>
          <w:spacing w:val="-3"/>
          <w:sz w:val="28"/>
          <w:szCs w:val="28"/>
        </w:rPr>
        <w:t>务</w:t>
      </w:r>
      <w:r>
        <w:rPr>
          <w:rFonts w:hint="eastAsia" w:ascii="仿宋_GB2312" w:hAnsi="仿宋" w:eastAsia="仿宋_GB2312" w:cs="仿宋"/>
          <w:i w:val="0"/>
          <w:iCs w:val="0"/>
          <w:color w:val="000000"/>
          <w:sz w:val="28"/>
          <w:szCs w:val="28"/>
        </w:rPr>
        <w:t>操作</w:t>
      </w:r>
      <w:r>
        <w:rPr>
          <w:rFonts w:hint="eastAsia" w:ascii="仿宋_GB2312" w:hAnsi="仿宋" w:eastAsia="仿宋_GB2312" w:cs="仿宋"/>
          <w:i w:val="0"/>
          <w:iCs w:val="0"/>
          <w:color w:val="000000"/>
          <w:spacing w:val="-3"/>
          <w:sz w:val="28"/>
          <w:szCs w:val="28"/>
        </w:rPr>
        <w:t>指</w:t>
      </w:r>
      <w:r>
        <w:rPr>
          <w:rFonts w:hint="eastAsia" w:ascii="仿宋_GB2312" w:hAnsi="仿宋" w:eastAsia="仿宋_GB2312" w:cs="仿宋"/>
          <w:i w:val="0"/>
          <w:iCs w:val="0"/>
          <w:color w:val="000000"/>
          <w:sz w:val="28"/>
          <w:szCs w:val="28"/>
        </w:rPr>
        <w:t>引</w:t>
      </w:r>
      <w:r>
        <w:rPr>
          <w:rFonts w:hint="eastAsia" w:ascii="仿宋_GB2312" w:hAnsi="仿宋" w:eastAsia="仿宋_GB2312" w:cs="仿宋"/>
          <w:i w:val="0"/>
          <w:iCs w:val="0"/>
          <w:color w:val="000000"/>
          <w:sz w:val="28"/>
          <w:szCs w:val="28"/>
        </w:rPr>
        <w:fldChar w:fldCharType="end"/>
      </w:r>
    </w:p>
    <w:p>
      <w:pPr>
        <w:pStyle w:val="7"/>
        <w:keepNext w:val="0"/>
        <w:keepLines w:val="0"/>
        <w:pageBreakBefore w:val="0"/>
        <w:widowControl w:val="0"/>
        <w:tabs>
          <w:tab w:val="right" w:leader="dot" w:pos="8427"/>
        </w:tabs>
        <w:kinsoku/>
        <w:wordWrap/>
        <w:overflowPunct/>
        <w:topLinePunct w:val="0"/>
        <w:autoSpaceDE/>
        <w:autoSpaceDN/>
        <w:bidi w:val="0"/>
        <w:adjustRightInd/>
        <w:snapToGrid/>
        <w:spacing w:beforeLines="0" w:afterLines="0" w:line="500" w:lineRule="exact"/>
        <w:ind w:firstLine="602"/>
        <w:jc w:val="left"/>
        <w:textAlignment w:val="auto"/>
        <w:rPr>
          <w:rFonts w:hint="eastAsia" w:ascii="仿宋_GB2312" w:hAnsi="仿宋" w:eastAsia="仿宋_GB2312" w:cs="仿宋"/>
          <w:i w:val="0"/>
          <w:iCs w:val="0"/>
          <w:color w:val="000000"/>
          <w:sz w:val="28"/>
          <w:szCs w:val="28"/>
        </w:rPr>
      </w:pPr>
      <w:r>
        <w:rPr>
          <w:rFonts w:hint="eastAsia" w:ascii="仿宋_GB2312" w:hAnsi="仿宋" w:eastAsia="仿宋_GB2312" w:cs="仿宋"/>
          <w:i w:val="0"/>
          <w:iCs w:val="0"/>
          <w:color w:val="000000"/>
          <w:sz w:val="28"/>
          <w:szCs w:val="28"/>
        </w:rPr>
        <w:fldChar w:fldCharType="begin"/>
      </w:r>
      <w:r>
        <w:rPr>
          <w:rFonts w:hint="eastAsia" w:ascii="仿宋_GB2312" w:hAnsi="仿宋" w:eastAsia="仿宋_GB2312" w:cs="仿宋"/>
          <w:i w:val="0"/>
          <w:iCs w:val="0"/>
          <w:color w:val="000000"/>
          <w:sz w:val="28"/>
          <w:szCs w:val="28"/>
        </w:rPr>
        <w:instrText xml:space="preserve"> HYPERLINK \l "_bookmark46" </w:instrText>
      </w:r>
      <w:r>
        <w:rPr>
          <w:rFonts w:hint="eastAsia" w:ascii="仿宋_GB2312" w:hAnsi="仿宋" w:eastAsia="仿宋_GB2312" w:cs="仿宋"/>
          <w:i w:val="0"/>
          <w:iCs w:val="0"/>
          <w:color w:val="000000"/>
          <w:sz w:val="28"/>
          <w:szCs w:val="28"/>
        </w:rPr>
        <w:fldChar w:fldCharType="separate"/>
      </w:r>
      <w:r>
        <w:rPr>
          <w:rFonts w:hint="eastAsia" w:ascii="仿宋_GB2312" w:hAnsi="仿宋" w:eastAsia="仿宋_GB2312" w:cs="仿宋"/>
          <w:i w:val="0"/>
          <w:iCs w:val="0"/>
          <w:color w:val="000000"/>
          <w:sz w:val="28"/>
          <w:szCs w:val="28"/>
        </w:rPr>
        <w:t>第</w:t>
      </w:r>
      <w:r>
        <w:rPr>
          <w:rFonts w:hint="eastAsia" w:ascii="仿宋_GB2312" w:hAnsi="仿宋" w:eastAsia="仿宋_GB2312" w:cs="仿宋"/>
          <w:i w:val="0"/>
          <w:iCs w:val="0"/>
          <w:color w:val="000000"/>
          <w:spacing w:val="-3"/>
          <w:sz w:val="28"/>
          <w:szCs w:val="28"/>
        </w:rPr>
        <w:t>十</w:t>
      </w:r>
      <w:r>
        <w:rPr>
          <w:rFonts w:hint="eastAsia" w:ascii="仿宋_GB2312" w:hAnsi="仿宋" w:eastAsia="仿宋_GB2312" w:cs="仿宋"/>
          <w:i w:val="0"/>
          <w:iCs w:val="0"/>
          <w:color w:val="000000"/>
          <w:sz w:val="28"/>
          <w:szCs w:val="28"/>
        </w:rPr>
        <w:t>一节</w:t>
      </w:r>
      <w:r>
        <w:rPr>
          <w:rFonts w:hint="eastAsia" w:ascii="仿宋_GB2312" w:hAnsi="仿宋" w:eastAsia="仿宋_GB2312" w:cs="仿宋"/>
          <w:i w:val="0"/>
          <w:iCs w:val="0"/>
          <w:color w:val="000000"/>
          <w:spacing w:val="-1"/>
          <w:sz w:val="28"/>
          <w:szCs w:val="28"/>
          <w:lang w:eastAsia="zh-CN"/>
        </w:rPr>
        <w:t xml:space="preserve">  </w:t>
      </w:r>
      <w:r>
        <w:rPr>
          <w:rFonts w:hint="eastAsia" w:ascii="仿宋_GB2312" w:hAnsi="仿宋" w:eastAsia="仿宋_GB2312" w:cs="仿宋"/>
          <w:i w:val="0"/>
          <w:iCs w:val="0"/>
          <w:color w:val="000000"/>
          <w:sz w:val="28"/>
          <w:szCs w:val="28"/>
        </w:rPr>
        <w:t>农</w:t>
      </w:r>
      <w:r>
        <w:rPr>
          <w:rFonts w:hint="eastAsia" w:ascii="仿宋_GB2312" w:hAnsi="仿宋" w:eastAsia="仿宋_GB2312" w:cs="仿宋"/>
          <w:i w:val="0"/>
          <w:iCs w:val="0"/>
          <w:color w:val="000000"/>
          <w:spacing w:val="-3"/>
          <w:sz w:val="28"/>
          <w:szCs w:val="28"/>
        </w:rPr>
        <w:t>村</w:t>
      </w:r>
      <w:r>
        <w:rPr>
          <w:rFonts w:hint="eastAsia" w:ascii="仿宋_GB2312" w:hAnsi="仿宋" w:eastAsia="仿宋_GB2312" w:cs="仿宋"/>
          <w:i w:val="0"/>
          <w:iCs w:val="0"/>
          <w:color w:val="000000"/>
          <w:sz w:val="28"/>
          <w:szCs w:val="28"/>
        </w:rPr>
        <w:t>集体</w:t>
      </w:r>
      <w:r>
        <w:rPr>
          <w:rFonts w:hint="eastAsia" w:ascii="仿宋_GB2312" w:hAnsi="仿宋" w:eastAsia="仿宋_GB2312" w:cs="仿宋"/>
          <w:i w:val="0"/>
          <w:iCs w:val="0"/>
          <w:color w:val="000000"/>
          <w:spacing w:val="-3"/>
          <w:sz w:val="28"/>
          <w:szCs w:val="28"/>
        </w:rPr>
        <w:t>资</w:t>
      </w:r>
      <w:r>
        <w:rPr>
          <w:rFonts w:hint="eastAsia" w:ascii="仿宋_GB2312" w:hAnsi="仿宋" w:eastAsia="仿宋_GB2312" w:cs="仿宋"/>
          <w:i w:val="0"/>
          <w:iCs w:val="0"/>
          <w:color w:val="000000"/>
          <w:sz w:val="28"/>
          <w:szCs w:val="28"/>
        </w:rPr>
        <w:t>产管理业务</w:t>
      </w:r>
      <w:r>
        <w:rPr>
          <w:rFonts w:hint="eastAsia" w:ascii="仿宋_GB2312" w:hAnsi="仿宋" w:eastAsia="仿宋_GB2312" w:cs="仿宋"/>
          <w:i w:val="0"/>
          <w:iCs w:val="0"/>
          <w:color w:val="000000"/>
          <w:spacing w:val="-3"/>
          <w:sz w:val="28"/>
          <w:szCs w:val="28"/>
        </w:rPr>
        <w:t>操</w:t>
      </w:r>
      <w:r>
        <w:rPr>
          <w:rFonts w:hint="eastAsia" w:ascii="仿宋_GB2312" w:hAnsi="仿宋" w:eastAsia="仿宋_GB2312" w:cs="仿宋"/>
          <w:i w:val="0"/>
          <w:iCs w:val="0"/>
          <w:color w:val="000000"/>
          <w:sz w:val="28"/>
          <w:szCs w:val="28"/>
        </w:rPr>
        <w:t>作指引</w:t>
      </w:r>
      <w:r>
        <w:rPr>
          <w:rFonts w:hint="eastAsia" w:ascii="仿宋_GB2312" w:hAnsi="仿宋" w:eastAsia="仿宋_GB2312" w:cs="仿宋"/>
          <w:i w:val="0"/>
          <w:iCs w:val="0"/>
          <w:color w:val="000000"/>
          <w:sz w:val="28"/>
          <w:szCs w:val="28"/>
        </w:rPr>
        <w:fldChar w:fldCharType="end"/>
      </w:r>
    </w:p>
    <w:p>
      <w:pPr>
        <w:pStyle w:val="7"/>
        <w:keepNext w:val="0"/>
        <w:keepLines w:val="0"/>
        <w:pageBreakBefore w:val="0"/>
        <w:widowControl w:val="0"/>
        <w:tabs>
          <w:tab w:val="right" w:leader="dot" w:pos="8427"/>
        </w:tabs>
        <w:kinsoku/>
        <w:wordWrap/>
        <w:overflowPunct/>
        <w:topLinePunct w:val="0"/>
        <w:autoSpaceDE/>
        <w:autoSpaceDN/>
        <w:bidi w:val="0"/>
        <w:adjustRightInd/>
        <w:snapToGrid/>
        <w:spacing w:beforeLines="0" w:afterLines="0" w:line="500" w:lineRule="exact"/>
        <w:ind w:firstLine="602"/>
        <w:jc w:val="left"/>
        <w:textAlignment w:val="auto"/>
        <w:rPr>
          <w:rFonts w:hint="eastAsia" w:ascii="仿宋_GB2312" w:hAnsi="仿宋" w:eastAsia="仿宋_GB2312" w:cs="仿宋"/>
          <w:i w:val="0"/>
          <w:iCs w:val="0"/>
          <w:color w:val="000000"/>
          <w:sz w:val="28"/>
          <w:szCs w:val="28"/>
        </w:rPr>
      </w:pPr>
      <w:r>
        <w:rPr>
          <w:rFonts w:hint="eastAsia" w:ascii="仿宋_GB2312" w:hAnsi="仿宋" w:eastAsia="仿宋_GB2312" w:cs="仿宋"/>
          <w:i w:val="0"/>
          <w:iCs w:val="0"/>
          <w:color w:val="000000"/>
          <w:sz w:val="28"/>
          <w:szCs w:val="28"/>
        </w:rPr>
        <w:fldChar w:fldCharType="begin"/>
      </w:r>
      <w:r>
        <w:rPr>
          <w:rFonts w:hint="eastAsia" w:ascii="仿宋_GB2312" w:hAnsi="仿宋" w:eastAsia="仿宋_GB2312" w:cs="仿宋"/>
          <w:i w:val="0"/>
          <w:iCs w:val="0"/>
          <w:color w:val="000000"/>
          <w:sz w:val="28"/>
          <w:szCs w:val="28"/>
        </w:rPr>
        <w:instrText xml:space="preserve"> HYPERLINK \l "_bookmark46" </w:instrText>
      </w:r>
      <w:r>
        <w:rPr>
          <w:rFonts w:hint="eastAsia" w:ascii="仿宋_GB2312" w:hAnsi="仿宋" w:eastAsia="仿宋_GB2312" w:cs="仿宋"/>
          <w:i w:val="0"/>
          <w:iCs w:val="0"/>
          <w:color w:val="000000"/>
          <w:sz w:val="28"/>
          <w:szCs w:val="28"/>
        </w:rPr>
        <w:fldChar w:fldCharType="separate"/>
      </w:r>
      <w:r>
        <w:rPr>
          <w:rFonts w:hint="eastAsia" w:ascii="仿宋_GB2312" w:hAnsi="仿宋" w:eastAsia="仿宋_GB2312" w:cs="仿宋"/>
          <w:i w:val="0"/>
          <w:iCs w:val="0"/>
          <w:color w:val="000000"/>
          <w:sz w:val="28"/>
          <w:szCs w:val="28"/>
        </w:rPr>
        <w:t>第</w:t>
      </w:r>
      <w:r>
        <w:rPr>
          <w:rFonts w:hint="eastAsia" w:ascii="仿宋_GB2312" w:hAnsi="仿宋" w:eastAsia="仿宋_GB2312" w:cs="仿宋"/>
          <w:i w:val="0"/>
          <w:iCs w:val="0"/>
          <w:color w:val="000000"/>
          <w:spacing w:val="-3"/>
          <w:sz w:val="28"/>
          <w:szCs w:val="28"/>
        </w:rPr>
        <w:t>十</w:t>
      </w:r>
      <w:r>
        <w:rPr>
          <w:rFonts w:hint="eastAsia" w:ascii="仿宋_GB2312" w:hAnsi="仿宋" w:eastAsia="仿宋_GB2312" w:cs="仿宋"/>
          <w:i w:val="0"/>
          <w:iCs w:val="0"/>
          <w:color w:val="000000"/>
          <w:spacing w:val="-3"/>
          <w:sz w:val="28"/>
          <w:szCs w:val="28"/>
          <w:lang w:eastAsia="zh-CN"/>
        </w:rPr>
        <w:t>二</w:t>
      </w:r>
      <w:r>
        <w:rPr>
          <w:rFonts w:hint="eastAsia" w:ascii="仿宋_GB2312" w:hAnsi="仿宋" w:eastAsia="仿宋_GB2312" w:cs="仿宋"/>
          <w:i w:val="0"/>
          <w:iCs w:val="0"/>
          <w:color w:val="000000"/>
          <w:sz w:val="28"/>
          <w:szCs w:val="28"/>
        </w:rPr>
        <w:t>节</w:t>
      </w:r>
      <w:r>
        <w:rPr>
          <w:rFonts w:hint="eastAsia" w:ascii="仿宋_GB2312" w:hAnsi="仿宋" w:eastAsia="仿宋_GB2312" w:cs="仿宋"/>
          <w:i w:val="0"/>
          <w:iCs w:val="0"/>
          <w:color w:val="000000"/>
          <w:spacing w:val="-1"/>
          <w:sz w:val="28"/>
          <w:szCs w:val="28"/>
          <w:lang w:eastAsia="zh-CN"/>
        </w:rPr>
        <w:t xml:space="preserve">  </w:t>
      </w:r>
      <w:r>
        <w:rPr>
          <w:rFonts w:hint="eastAsia" w:ascii="仿宋_GB2312" w:hAnsi="仿宋" w:eastAsia="仿宋_GB2312" w:cs="仿宋"/>
          <w:i w:val="0"/>
          <w:iCs w:val="0"/>
          <w:color w:val="000000"/>
          <w:sz w:val="28"/>
          <w:szCs w:val="28"/>
          <w:lang w:val="zh-CN" w:eastAsia="zh-CN" w:bidi="zh-CN"/>
        </w:rPr>
        <w:t>律师</w:t>
      </w:r>
      <w:r>
        <w:rPr>
          <w:rFonts w:hint="eastAsia" w:ascii="仿宋_GB2312" w:hAnsi="仿宋" w:eastAsia="仿宋_GB2312" w:cs="仿宋"/>
          <w:i w:val="0"/>
          <w:iCs w:val="0"/>
          <w:color w:val="000000"/>
          <w:sz w:val="28"/>
          <w:szCs w:val="28"/>
          <w:lang w:eastAsia="zh-CN" w:bidi="zh-CN"/>
        </w:rPr>
        <w:t>办理</w:t>
      </w:r>
      <w:r>
        <w:rPr>
          <w:rFonts w:hint="eastAsia" w:ascii="仿宋_GB2312" w:hAnsi="仿宋" w:eastAsia="仿宋_GB2312" w:cs="仿宋"/>
          <w:i w:val="0"/>
          <w:iCs w:val="0"/>
          <w:color w:val="000000"/>
          <w:sz w:val="28"/>
          <w:szCs w:val="28"/>
          <w:lang w:val="zh-CN" w:eastAsia="zh-CN" w:bidi="zh-CN"/>
        </w:rPr>
        <w:t>集体产权制度改革业务操作指引</w:t>
      </w:r>
      <w:r>
        <w:rPr>
          <w:rFonts w:hint="eastAsia" w:ascii="仿宋_GB2312" w:hAnsi="仿宋" w:eastAsia="仿宋_GB2312" w:cs="仿宋"/>
          <w:i w:val="0"/>
          <w:iCs w:val="0"/>
          <w:color w:val="000000"/>
          <w:sz w:val="28"/>
          <w:szCs w:val="28"/>
        </w:rPr>
        <w:fldChar w:fldCharType="end"/>
      </w:r>
    </w:p>
    <w:p>
      <w:pPr>
        <w:keepNext w:val="0"/>
        <w:keepLines w:val="0"/>
        <w:pageBreakBefore w:val="0"/>
        <w:widowControl w:val="0"/>
        <w:tabs>
          <w:tab w:val="right" w:leader="dot" w:pos="8427"/>
        </w:tabs>
        <w:kinsoku/>
        <w:wordWrap/>
        <w:overflowPunct/>
        <w:topLinePunct w:val="0"/>
        <w:autoSpaceDE/>
        <w:autoSpaceDN/>
        <w:bidi w:val="0"/>
        <w:adjustRightInd/>
        <w:snapToGrid/>
        <w:spacing w:line="500" w:lineRule="exact"/>
        <w:ind w:firstLine="522" w:firstLineChars="200"/>
        <w:jc w:val="left"/>
        <w:textAlignment w:val="auto"/>
        <w:outlineLvl w:val="0"/>
        <w:rPr>
          <w:rFonts w:hint="eastAsia" w:ascii="仿宋_GB2312" w:hAnsi="仿宋" w:eastAsia="仿宋_GB2312" w:cs="仿宋"/>
          <w:i w:val="0"/>
          <w:iCs w:val="0"/>
          <w:color w:val="000000"/>
          <w:sz w:val="28"/>
          <w:szCs w:val="28"/>
        </w:rPr>
      </w:pPr>
      <w:bookmarkStart w:id="400" w:name="_Toc25896"/>
      <w:r>
        <w:rPr>
          <w:rFonts w:hint="eastAsia" w:ascii="仿宋_GB2312" w:hAnsi="仿宋" w:eastAsia="仿宋_GB2312" w:cs="仿宋"/>
          <w:i w:val="0"/>
          <w:iCs w:val="0"/>
          <w:color w:val="000000"/>
          <w:sz w:val="28"/>
          <w:szCs w:val="28"/>
        </w:rPr>
        <w:fldChar w:fldCharType="begin"/>
      </w:r>
      <w:r>
        <w:rPr>
          <w:rFonts w:hint="eastAsia" w:ascii="仿宋_GB2312" w:hAnsi="仿宋" w:eastAsia="仿宋_GB2312" w:cs="仿宋"/>
          <w:i w:val="0"/>
          <w:iCs w:val="0"/>
          <w:color w:val="000000"/>
          <w:sz w:val="28"/>
          <w:szCs w:val="28"/>
        </w:rPr>
        <w:instrText xml:space="preserve"> HYPERLINK \l "_bookmark50" </w:instrText>
      </w:r>
      <w:r>
        <w:rPr>
          <w:rFonts w:hint="eastAsia" w:ascii="仿宋_GB2312" w:hAnsi="仿宋" w:eastAsia="仿宋_GB2312" w:cs="仿宋"/>
          <w:i w:val="0"/>
          <w:iCs w:val="0"/>
          <w:color w:val="000000"/>
          <w:sz w:val="28"/>
          <w:szCs w:val="28"/>
        </w:rPr>
        <w:fldChar w:fldCharType="separate"/>
      </w:r>
      <w:r>
        <w:rPr>
          <w:rFonts w:hint="eastAsia" w:ascii="仿宋_GB2312" w:hAnsi="仿宋" w:eastAsia="仿宋_GB2312" w:cs="仿宋"/>
          <w:i w:val="0"/>
          <w:iCs w:val="0"/>
          <w:color w:val="000000"/>
          <w:sz w:val="28"/>
          <w:szCs w:val="28"/>
        </w:rPr>
        <w:t>第四章</w:t>
      </w:r>
      <w:r>
        <w:rPr>
          <w:rFonts w:hint="eastAsia" w:ascii="仿宋_GB2312" w:hAnsi="仿宋" w:eastAsia="仿宋_GB2312" w:cs="仿宋"/>
          <w:i w:val="0"/>
          <w:iCs w:val="0"/>
          <w:color w:val="000000"/>
          <w:spacing w:val="57"/>
          <w:sz w:val="22"/>
          <w:szCs w:val="28"/>
        </w:rPr>
        <w:t xml:space="preserve">  </w:t>
      </w:r>
      <w:r>
        <w:rPr>
          <w:rFonts w:hint="eastAsia" w:ascii="仿宋_GB2312" w:hAnsi="仿宋" w:eastAsia="仿宋_GB2312" w:cs="仿宋"/>
          <w:i w:val="0"/>
          <w:iCs w:val="0"/>
          <w:color w:val="000000"/>
          <w:sz w:val="28"/>
          <w:szCs w:val="28"/>
        </w:rPr>
        <w:t>附则</w:t>
      </w:r>
      <w:r>
        <w:rPr>
          <w:rFonts w:hint="eastAsia" w:ascii="仿宋_GB2312" w:hAnsi="仿宋" w:eastAsia="仿宋_GB2312" w:cs="仿宋"/>
          <w:i w:val="0"/>
          <w:iCs w:val="0"/>
          <w:color w:val="000000"/>
          <w:sz w:val="28"/>
          <w:szCs w:val="28"/>
        </w:rPr>
        <w:fldChar w:fldCharType="end"/>
      </w:r>
      <w:bookmarkEnd w:id="400"/>
    </w:p>
    <w:p>
      <w:pPr>
        <w:keepNext w:val="0"/>
        <w:keepLines w:val="0"/>
        <w:pageBreakBefore w:val="0"/>
        <w:widowControl w:val="0"/>
        <w:tabs>
          <w:tab w:val="right" w:leader="dot" w:pos="8427"/>
        </w:tabs>
        <w:kinsoku/>
        <w:wordWrap/>
        <w:overflowPunct/>
        <w:topLinePunct w:val="0"/>
        <w:autoSpaceDE/>
        <w:autoSpaceDN/>
        <w:bidi w:val="0"/>
        <w:adjustRightInd/>
        <w:snapToGrid/>
        <w:spacing w:line="500" w:lineRule="exact"/>
        <w:ind w:firstLine="522" w:firstLineChars="200"/>
        <w:jc w:val="left"/>
        <w:textAlignment w:val="auto"/>
        <w:outlineLvl w:val="0"/>
        <w:rPr>
          <w:rFonts w:hint="eastAsia" w:ascii="仿宋_GB2312" w:hAnsi="仿宋" w:eastAsia="仿宋_GB2312" w:cs="仿宋"/>
          <w:i w:val="0"/>
          <w:iCs w:val="0"/>
          <w:color w:val="000000"/>
          <w:sz w:val="28"/>
          <w:szCs w:val="28"/>
          <w:lang w:val="en-US" w:eastAsia="zh-CN"/>
        </w:rPr>
      </w:pPr>
    </w:p>
    <w:p>
      <w:pPr>
        <w:keepNext w:val="0"/>
        <w:keepLines w:val="0"/>
        <w:pageBreakBefore w:val="0"/>
        <w:widowControl w:val="0"/>
        <w:tabs>
          <w:tab w:val="right" w:leader="dot" w:pos="8427"/>
        </w:tabs>
        <w:kinsoku/>
        <w:wordWrap/>
        <w:overflowPunct/>
        <w:topLinePunct w:val="0"/>
        <w:autoSpaceDE/>
        <w:autoSpaceDN/>
        <w:bidi w:val="0"/>
        <w:adjustRightInd/>
        <w:snapToGrid/>
        <w:spacing w:line="500" w:lineRule="exact"/>
        <w:ind w:firstLine="522" w:firstLineChars="200"/>
        <w:jc w:val="left"/>
        <w:textAlignment w:val="auto"/>
        <w:outlineLvl w:val="0"/>
        <w:rPr>
          <w:rFonts w:hint="eastAsia" w:ascii="仿宋_GB2312" w:hAnsi="仿宋" w:eastAsia="仿宋_GB2312" w:cs="仿宋"/>
          <w:i w:val="0"/>
          <w:iCs w:val="0"/>
          <w:color w:val="000000"/>
          <w:sz w:val="28"/>
          <w:szCs w:val="28"/>
          <w:lang w:val="en-US" w:eastAsia="zh-CN"/>
        </w:rPr>
      </w:pPr>
    </w:p>
    <w:p>
      <w:pPr>
        <w:keepNext w:val="0"/>
        <w:keepLines w:val="0"/>
        <w:pageBreakBefore w:val="0"/>
        <w:widowControl w:val="0"/>
        <w:tabs>
          <w:tab w:val="right" w:leader="dot" w:pos="8427"/>
        </w:tabs>
        <w:kinsoku/>
        <w:wordWrap/>
        <w:overflowPunct/>
        <w:topLinePunct w:val="0"/>
        <w:autoSpaceDE/>
        <w:autoSpaceDN/>
        <w:bidi w:val="0"/>
        <w:adjustRightInd/>
        <w:snapToGrid/>
        <w:spacing w:line="500" w:lineRule="exact"/>
        <w:ind w:firstLine="522" w:firstLineChars="200"/>
        <w:jc w:val="left"/>
        <w:textAlignment w:val="auto"/>
        <w:outlineLvl w:val="0"/>
        <w:rPr>
          <w:rFonts w:hint="eastAsia" w:ascii="仿宋_GB2312" w:hAnsi="仿宋" w:eastAsia="仿宋_GB2312" w:cs="仿宋"/>
          <w:i w:val="0"/>
          <w:iCs w:val="0"/>
          <w:color w:val="000000"/>
          <w:sz w:val="28"/>
          <w:szCs w:val="28"/>
          <w:lang w:val="en-US" w:eastAsia="zh-CN"/>
        </w:rPr>
      </w:pPr>
    </w:p>
    <w:p>
      <w:pPr>
        <w:keepNext w:val="0"/>
        <w:keepLines w:val="0"/>
        <w:pageBreakBefore w:val="0"/>
        <w:widowControl w:val="0"/>
        <w:tabs>
          <w:tab w:val="right" w:leader="dot" w:pos="8427"/>
        </w:tabs>
        <w:kinsoku/>
        <w:wordWrap/>
        <w:overflowPunct/>
        <w:topLinePunct w:val="0"/>
        <w:autoSpaceDE/>
        <w:autoSpaceDN/>
        <w:bidi w:val="0"/>
        <w:adjustRightInd/>
        <w:snapToGrid/>
        <w:spacing w:line="500" w:lineRule="exact"/>
        <w:ind w:firstLine="522" w:firstLineChars="200"/>
        <w:jc w:val="left"/>
        <w:textAlignment w:val="auto"/>
        <w:outlineLvl w:val="0"/>
        <w:rPr>
          <w:rFonts w:hint="eastAsia" w:ascii="仿宋_GB2312" w:hAnsi="仿宋" w:eastAsia="仿宋_GB2312" w:cs="仿宋"/>
          <w:i w:val="0"/>
          <w:iCs w:val="0"/>
          <w:color w:val="000000"/>
          <w:sz w:val="28"/>
          <w:szCs w:val="28"/>
          <w:lang w:val="en-US" w:eastAsia="zh-CN"/>
        </w:rPr>
      </w:pPr>
    </w:p>
    <w:p>
      <w:pPr>
        <w:keepNext w:val="0"/>
        <w:keepLines w:val="0"/>
        <w:pageBreakBefore w:val="0"/>
        <w:widowControl w:val="0"/>
        <w:tabs>
          <w:tab w:val="right" w:leader="dot" w:pos="8427"/>
        </w:tabs>
        <w:kinsoku/>
        <w:wordWrap/>
        <w:overflowPunct/>
        <w:topLinePunct w:val="0"/>
        <w:autoSpaceDE/>
        <w:autoSpaceDN/>
        <w:bidi w:val="0"/>
        <w:adjustRightInd/>
        <w:snapToGrid/>
        <w:spacing w:line="500" w:lineRule="exact"/>
        <w:ind w:firstLine="522" w:firstLineChars="200"/>
        <w:jc w:val="left"/>
        <w:textAlignment w:val="auto"/>
        <w:outlineLvl w:val="0"/>
        <w:rPr>
          <w:rFonts w:hint="eastAsia" w:ascii="仿宋_GB2312" w:hAnsi="仿宋" w:eastAsia="仿宋_GB2312" w:cs="仿宋"/>
          <w:i w:val="0"/>
          <w:iCs w:val="0"/>
          <w:color w:val="000000"/>
          <w:sz w:val="28"/>
          <w:szCs w:val="28"/>
          <w:lang w:val="en-US" w:eastAsia="zh-CN"/>
        </w:rPr>
        <w:sectPr>
          <w:pgSz w:w="9978" w:h="13946"/>
          <w:pgMar w:top="1871" w:right="1304" w:bottom="1701" w:left="1304" w:header="850" w:footer="1247" w:gutter="0"/>
          <w:pgBorders>
            <w:top w:val="none" w:sz="0" w:space="0"/>
            <w:left w:val="none" w:sz="0" w:space="0"/>
            <w:bottom w:val="none" w:sz="0" w:space="0"/>
            <w:right w:val="none" w:sz="0" w:space="0"/>
          </w:pgBorders>
          <w:pgNumType w:fmt="decimal"/>
          <w:cols w:space="720" w:num="1"/>
          <w:rtlGutter w:val="0"/>
          <w:docGrid w:type="linesAndChars" w:linePitch="455" w:charSpace="-3915"/>
        </w:sectPr>
      </w:pPr>
    </w:p>
    <w:p>
      <w:pPr>
        <w:keepNext w:val="0"/>
        <w:keepLines w:val="0"/>
        <w:pageBreakBefore w:val="0"/>
        <w:widowControl w:val="0"/>
        <w:wordWrap/>
        <w:bidi w:val="0"/>
        <w:spacing w:after="0" w:line="500" w:lineRule="exact"/>
        <w:jc w:val="center"/>
        <w:outlineLvl w:val="0"/>
        <w:rPr>
          <w:rFonts w:hint="eastAsia" w:ascii="方正小标宋简体" w:hAnsi="方正小标宋简体" w:eastAsia="方正小标宋简体" w:cs="方正小标宋简体"/>
          <w:color w:val="000000"/>
          <w:spacing w:val="6"/>
          <w:sz w:val="40"/>
          <w:szCs w:val="40"/>
        </w:rPr>
      </w:pPr>
      <w:bookmarkStart w:id="401" w:name="_bookmark0"/>
      <w:bookmarkEnd w:id="401"/>
      <w:bookmarkStart w:id="402" w:name="第一章_总则"/>
      <w:bookmarkEnd w:id="402"/>
      <w:bookmarkStart w:id="403" w:name="_Toc24547"/>
      <w:r>
        <w:rPr>
          <w:rFonts w:hint="eastAsia" w:ascii="方正小标宋简体" w:hAnsi="方正小标宋简体" w:eastAsia="方正小标宋简体" w:cs="方正小标宋简体"/>
          <w:color w:val="000000"/>
          <w:spacing w:val="6"/>
          <w:sz w:val="40"/>
          <w:szCs w:val="40"/>
        </w:rPr>
        <w:t>律师涉农法律业务操作指引</w:t>
      </w:r>
      <w:bookmarkEnd w:id="403"/>
    </w:p>
    <w:p>
      <w:pPr>
        <w:pStyle w:val="3"/>
        <w:keepNext w:val="0"/>
        <w:keepLines w:val="0"/>
        <w:pageBreakBefore w:val="0"/>
        <w:widowControl w:val="0"/>
        <w:wordWrap/>
        <w:bidi w:val="0"/>
        <w:spacing w:before="0" w:after="0" w:line="500" w:lineRule="exact"/>
        <w:jc w:val="center"/>
        <w:outlineLvl w:val="9"/>
        <w:rPr>
          <w:rFonts w:hint="eastAsia" w:ascii="黑体" w:hAnsi="黑体" w:eastAsia="黑体" w:cs="黑体"/>
          <w:b w:val="0"/>
          <w:bCs w:val="0"/>
          <w:color w:val="000000"/>
          <w:sz w:val="28"/>
          <w:szCs w:val="28"/>
        </w:rPr>
      </w:pPr>
    </w:p>
    <w:p>
      <w:pPr>
        <w:pStyle w:val="3"/>
        <w:keepNext w:val="0"/>
        <w:keepLines w:val="0"/>
        <w:pageBreakBefore w:val="0"/>
        <w:widowControl w:val="0"/>
        <w:wordWrap/>
        <w:bidi w:val="0"/>
        <w:spacing w:before="0" w:after="0" w:line="500" w:lineRule="exact"/>
        <w:jc w:val="center"/>
        <w:outlineLvl w:val="0"/>
        <w:rPr>
          <w:rFonts w:hint="eastAsia" w:ascii="黑体" w:hAnsi="黑体" w:eastAsia="黑体" w:cs="黑体"/>
          <w:b w:val="0"/>
          <w:bCs w:val="0"/>
          <w:color w:val="000000"/>
          <w:sz w:val="28"/>
          <w:szCs w:val="28"/>
        </w:rPr>
      </w:pPr>
      <w:bookmarkStart w:id="404" w:name="_Toc15918"/>
      <w:r>
        <w:rPr>
          <w:rFonts w:hint="eastAsia" w:ascii="黑体" w:hAnsi="黑体" w:eastAsia="黑体" w:cs="黑体"/>
          <w:b w:val="0"/>
          <w:bCs w:val="0"/>
          <w:color w:val="000000"/>
          <w:sz w:val="28"/>
          <w:szCs w:val="28"/>
        </w:rPr>
        <w:t>第一章  总则</w:t>
      </w:r>
      <w:bookmarkEnd w:id="404"/>
    </w:p>
    <w:p>
      <w:pPr>
        <w:pStyle w:val="2"/>
        <w:keepNext w:val="0"/>
        <w:keepLines w:val="0"/>
        <w:pageBreakBefore w:val="0"/>
        <w:widowControl w:val="0"/>
        <w:wordWrap/>
        <w:bidi w:val="0"/>
        <w:spacing w:before="0" w:after="0" w:line="500" w:lineRule="exact"/>
        <w:jc w:val="center"/>
        <w:rPr>
          <w:rFonts w:hint="eastAsia" w:ascii="楷体" w:hAnsi="楷体" w:eastAsia="楷体" w:cs="楷体"/>
          <w:color w:val="000000"/>
          <w:sz w:val="28"/>
          <w:szCs w:val="28"/>
        </w:rPr>
      </w:pPr>
      <w:bookmarkStart w:id="405" w:name="_bookmark1"/>
      <w:bookmarkEnd w:id="405"/>
      <w:bookmarkStart w:id="406" w:name="第一节_制定本指引的背景及目的"/>
      <w:bookmarkEnd w:id="406"/>
      <w:bookmarkStart w:id="407" w:name="_Toc28293"/>
      <w:r>
        <w:rPr>
          <w:rFonts w:hint="eastAsia" w:ascii="楷体" w:hAnsi="楷体" w:eastAsia="楷体" w:cs="楷体"/>
          <w:color w:val="000000"/>
          <w:sz w:val="28"/>
          <w:szCs w:val="28"/>
        </w:rPr>
        <w:t>第一节  制定本指引的背景及目的</w:t>
      </w:r>
      <w:bookmarkEnd w:id="407"/>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408" w:name="第1条_制定本指引的背景"/>
      <w:bookmarkEnd w:id="408"/>
      <w:r>
        <w:rPr>
          <w:rFonts w:hint="eastAsia" w:ascii="仿宋_GB2312" w:hAnsi="仿宋" w:eastAsia="仿宋_GB2312" w:cs="仿宋"/>
          <w:color w:val="000000"/>
          <w:sz w:val="28"/>
          <w:szCs w:val="28"/>
        </w:rPr>
        <w:t>第一条  制定本指引的背景</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党的十九届五中全面审议通过了《中共中央关于制定国民经济和社会发展第十四个五年规划和二</w:t>
      </w:r>
      <w:r>
        <w:rPr>
          <w:rFonts w:hint="eastAsia" w:ascii="仿宋_GB2312" w:hAnsi="仿宋" w:eastAsia="仿宋" w:cs="仿宋"/>
          <w:color w:val="000000"/>
          <w:sz w:val="28"/>
          <w:szCs w:val="28"/>
        </w:rPr>
        <w:t>〇</w:t>
      </w:r>
      <w:r>
        <w:rPr>
          <w:rFonts w:hint="eastAsia" w:ascii="仿宋_GB2312" w:hAnsi="仿宋" w:eastAsia="仿宋_GB2312" w:cs="仿宋"/>
          <w:color w:val="000000"/>
          <w:sz w:val="28"/>
          <w:szCs w:val="28"/>
        </w:rPr>
        <w:t>三五远景目标的建议》，对新发展阶段优先发展农业农村、全面推进乡村振兴作出总体部署，为做好当前和今后一个时期“三农”工作指明了方向。“十三五”时期，现代农业建设取得了重大进展，乡村振兴实现良好开局。粮食年产量连续保持在 1.3 万亿斤以上，农民人均收入较 2010 年翻一番多。新时代脱贫攻坚目标任务如期完成，现行标准下农村贫困人口全部脱贫</w:t>
      </w:r>
      <w:r>
        <w:rPr>
          <w:rFonts w:hint="eastAsia" w:ascii="仿宋_GB2312" w:hAnsi="仿宋" w:eastAsia="仿宋_GB2312" w:cs="仿宋"/>
          <w:color w:val="000000"/>
          <w:sz w:val="28"/>
          <w:szCs w:val="28"/>
          <w:lang w:eastAsia="zh-CN"/>
        </w:rPr>
        <w:t>、</w:t>
      </w:r>
      <w:r>
        <w:rPr>
          <w:rFonts w:hint="eastAsia" w:ascii="仿宋_GB2312" w:hAnsi="仿宋" w:eastAsia="仿宋_GB2312" w:cs="仿宋"/>
          <w:color w:val="000000"/>
          <w:sz w:val="28"/>
          <w:szCs w:val="28"/>
        </w:rPr>
        <w:t>贫困县全部摘帽</w:t>
      </w:r>
      <w:r>
        <w:rPr>
          <w:rFonts w:hint="eastAsia" w:ascii="仿宋_GB2312" w:hAnsi="仿宋" w:eastAsia="仿宋_GB2312" w:cs="仿宋"/>
          <w:color w:val="000000"/>
          <w:sz w:val="28"/>
          <w:szCs w:val="28"/>
          <w:lang w:eastAsia="zh-CN"/>
        </w:rPr>
        <w:t>、</w:t>
      </w:r>
      <w:r>
        <w:rPr>
          <w:rFonts w:hint="eastAsia" w:ascii="仿宋_GB2312" w:hAnsi="仿宋" w:eastAsia="仿宋_GB2312" w:cs="仿宋"/>
          <w:color w:val="000000"/>
          <w:sz w:val="28"/>
          <w:szCs w:val="28"/>
        </w:rPr>
        <w:t>易地扶贫搬迁任务全面完成，消除了绝对贫困和区域性整体贫困，创造了人类减贫史上的奇迹。农村人居环境明显改善， 农村改革向纵深推进，农村社会保持和谐稳定，农村即将同步实现全面建成小康社会目标。农业农村发展取得新的历史性成就，为党和国家战胜各种艰难险阻、稳定经济社会发展大局，发挥了“压舱石”作用。</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十四五”时期，是乘势而上开启全面建设社会主义现代化国家新征程、向第二个百年奋斗目标进军的第一个五年。民族要复兴，乡村必振兴。党中央认为，新发展阶段“三农”工作依然极端重要，须臾不可放松，务必抓紧抓实。要坚持把解决好“三农”问题作为全党工作重中之重，把全面推进乡村振兴作为实现中华民族伟大复兴的一项重大任务，举全党全社会之力加快农业农村现代化，让广大农民过上更加美好的生活。农村的发展改革和制度创新，是农村经济发展市场化和法</w:t>
      </w:r>
      <w:r>
        <w:rPr>
          <w:rFonts w:hint="eastAsia" w:ascii="仿宋_GB2312" w:hAnsi="仿宋" w:eastAsia="仿宋_GB2312" w:cs="仿宋"/>
          <w:color w:val="000000"/>
          <w:sz w:val="28"/>
          <w:szCs w:val="28"/>
          <w:lang w:eastAsia="zh-CN"/>
        </w:rPr>
        <w:t>治</w:t>
      </w:r>
      <w:r>
        <w:rPr>
          <w:rFonts w:hint="eastAsia" w:ascii="仿宋_GB2312" w:hAnsi="仿宋" w:eastAsia="仿宋_GB2312" w:cs="仿宋"/>
          <w:color w:val="000000"/>
          <w:sz w:val="28"/>
          <w:szCs w:val="28"/>
        </w:rPr>
        <w:t>化的过程，律师是农村法</w:t>
      </w:r>
      <w:r>
        <w:rPr>
          <w:rFonts w:hint="eastAsia" w:ascii="仿宋_GB2312" w:hAnsi="仿宋" w:eastAsia="仿宋_GB2312" w:cs="仿宋"/>
          <w:color w:val="000000"/>
          <w:sz w:val="28"/>
          <w:szCs w:val="28"/>
          <w:lang w:eastAsia="zh-CN"/>
        </w:rPr>
        <w:t>治</w:t>
      </w:r>
      <w:r>
        <w:rPr>
          <w:rFonts w:hint="eastAsia" w:ascii="仿宋_GB2312" w:hAnsi="仿宋" w:eastAsia="仿宋_GB2312" w:cs="仿宋"/>
          <w:color w:val="000000"/>
          <w:sz w:val="28"/>
          <w:szCs w:val="28"/>
        </w:rPr>
        <w:t>建设和法律服务的重要力量，在社会主义新农村建设中，律师应该积极作为，有所贡献。</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409" w:name="第2条_制定本指引的目的"/>
      <w:bookmarkEnd w:id="409"/>
      <w:r>
        <w:rPr>
          <w:rFonts w:hint="eastAsia" w:ascii="仿宋_GB2312" w:hAnsi="仿宋" w:eastAsia="仿宋_GB2312" w:cs="仿宋"/>
          <w:color w:val="000000"/>
          <w:sz w:val="28"/>
          <w:szCs w:val="28"/>
        </w:rPr>
        <w:t>第二条  制定本指引的目的</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为规范律师依法办理与“三农”相关的诉讼和非诉讼业务、提高律师承办“三农”法律业务的服务质量，依据《中华人民共和国农业法》等法律、法规、规章和最高人民法院相关司法解释，结合“三农”法律实务，特制定本指引供律师及相关人士借鉴参考。</w:t>
      </w:r>
    </w:p>
    <w:p>
      <w:pPr>
        <w:pStyle w:val="2"/>
        <w:keepNext w:val="0"/>
        <w:keepLines w:val="0"/>
        <w:pageBreakBefore w:val="0"/>
        <w:widowControl w:val="0"/>
        <w:wordWrap/>
        <w:bidi w:val="0"/>
        <w:spacing w:before="0" w:after="0" w:line="500" w:lineRule="exact"/>
        <w:jc w:val="center"/>
        <w:rPr>
          <w:rFonts w:hint="eastAsia" w:ascii="楷体" w:hAnsi="楷体" w:eastAsia="楷体" w:cs="楷体"/>
          <w:color w:val="000000"/>
          <w:sz w:val="28"/>
          <w:szCs w:val="28"/>
        </w:rPr>
      </w:pPr>
      <w:bookmarkStart w:id="410" w:name="第二节_本指引的适用范围"/>
      <w:bookmarkEnd w:id="410"/>
      <w:bookmarkStart w:id="411" w:name="_bookmark2"/>
      <w:bookmarkEnd w:id="411"/>
      <w:bookmarkStart w:id="412" w:name="_Toc6094"/>
      <w:r>
        <w:rPr>
          <w:rFonts w:hint="eastAsia" w:ascii="楷体" w:hAnsi="楷体" w:eastAsia="楷体" w:cs="楷体"/>
          <w:color w:val="000000"/>
          <w:sz w:val="28"/>
          <w:szCs w:val="28"/>
        </w:rPr>
        <w:t>第二节  本指引的适用范围</w:t>
      </w:r>
      <w:bookmarkEnd w:id="412"/>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413" w:name="第3条_本指引的适用范围"/>
      <w:bookmarkEnd w:id="413"/>
      <w:r>
        <w:rPr>
          <w:rFonts w:hint="eastAsia" w:ascii="仿宋_GB2312" w:hAnsi="仿宋" w:eastAsia="仿宋_GB2312" w:cs="仿宋"/>
          <w:color w:val="000000"/>
          <w:sz w:val="28"/>
          <w:szCs w:val="28"/>
        </w:rPr>
        <w:t>第三条  本指引的适用范围</w:t>
      </w:r>
    </w:p>
    <w:p>
      <w:pPr>
        <w:pStyle w:val="25"/>
        <w:keepNext w:val="0"/>
        <w:keepLines w:val="0"/>
        <w:pageBreakBefore w:val="0"/>
        <w:widowControl w:val="0"/>
        <w:numPr>
          <w:ilvl w:val="0"/>
          <w:numId w:val="246"/>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处理农村土地承包经营及农村土地承包经营权流转业务；</w:t>
      </w:r>
    </w:p>
    <w:p>
      <w:pPr>
        <w:pStyle w:val="25"/>
        <w:keepNext w:val="0"/>
        <w:keepLines w:val="0"/>
        <w:pageBreakBefore w:val="0"/>
        <w:widowControl w:val="0"/>
        <w:numPr>
          <w:ilvl w:val="0"/>
          <w:numId w:val="246"/>
        </w:numPr>
        <w:tabs>
          <w:tab w:val="left" w:pos="282"/>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农村金融信贷业务；</w:t>
      </w:r>
    </w:p>
    <w:p>
      <w:pPr>
        <w:pStyle w:val="25"/>
        <w:keepNext w:val="0"/>
        <w:keepLines w:val="0"/>
        <w:pageBreakBefore w:val="0"/>
        <w:widowControl w:val="0"/>
        <w:numPr>
          <w:ilvl w:val="0"/>
          <w:numId w:val="246"/>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农民专业合作社业务；</w:t>
      </w:r>
    </w:p>
    <w:p>
      <w:pPr>
        <w:pStyle w:val="25"/>
        <w:keepNext w:val="0"/>
        <w:keepLines w:val="0"/>
        <w:pageBreakBefore w:val="0"/>
        <w:widowControl w:val="0"/>
        <w:numPr>
          <w:ilvl w:val="0"/>
          <w:numId w:val="246"/>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农业知识产权保护业务；</w:t>
      </w:r>
    </w:p>
    <w:p>
      <w:pPr>
        <w:pStyle w:val="25"/>
        <w:keepNext w:val="0"/>
        <w:keepLines w:val="0"/>
        <w:pageBreakBefore w:val="0"/>
        <w:widowControl w:val="0"/>
        <w:numPr>
          <w:ilvl w:val="0"/>
          <w:numId w:val="246"/>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农村宅基地业务；</w:t>
      </w:r>
    </w:p>
    <w:p>
      <w:pPr>
        <w:pStyle w:val="25"/>
        <w:keepNext w:val="0"/>
        <w:keepLines w:val="0"/>
        <w:pageBreakBefore w:val="0"/>
        <w:widowControl w:val="0"/>
        <w:numPr>
          <w:ilvl w:val="0"/>
          <w:numId w:val="246"/>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农产品质量安全业务；</w:t>
      </w:r>
    </w:p>
    <w:p>
      <w:pPr>
        <w:pStyle w:val="25"/>
        <w:keepNext w:val="0"/>
        <w:keepLines w:val="0"/>
        <w:pageBreakBefore w:val="0"/>
        <w:widowControl w:val="0"/>
        <w:numPr>
          <w:ilvl w:val="0"/>
          <w:numId w:val="246"/>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村（居）基层组织法律服务业务、国有渔业水域占用补偿业务；</w:t>
      </w:r>
    </w:p>
    <w:p>
      <w:pPr>
        <w:pStyle w:val="25"/>
        <w:keepNext w:val="0"/>
        <w:keepLines w:val="0"/>
        <w:pageBreakBefore w:val="0"/>
        <w:widowControl w:val="0"/>
        <w:numPr>
          <w:ilvl w:val="0"/>
          <w:numId w:val="246"/>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农业执法业务、农业投资管理业务；</w:t>
      </w:r>
    </w:p>
    <w:p>
      <w:pPr>
        <w:pStyle w:val="25"/>
        <w:keepNext w:val="0"/>
        <w:keepLines w:val="0"/>
        <w:pageBreakBefore w:val="0"/>
        <w:widowControl w:val="0"/>
        <w:numPr>
          <w:ilvl w:val="0"/>
          <w:numId w:val="246"/>
        </w:numPr>
        <w:tabs>
          <w:tab w:val="left" w:pos="1523"/>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农村集体资产管理业务；</w:t>
      </w:r>
    </w:p>
    <w:p>
      <w:pPr>
        <w:pStyle w:val="25"/>
        <w:keepNext w:val="0"/>
        <w:keepLines w:val="0"/>
        <w:pageBreakBefore w:val="0"/>
        <w:widowControl w:val="0"/>
        <w:numPr>
          <w:ilvl w:val="0"/>
          <w:numId w:val="246"/>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bookmarkStart w:id="414" w:name="第三节_律师参与涉农法律事务业务的方式与途径"/>
      <w:bookmarkEnd w:id="414"/>
      <w:r>
        <w:rPr>
          <w:rFonts w:hint="eastAsia" w:ascii="仿宋_GB2312" w:hAnsi="仿宋" w:eastAsia="仿宋_GB2312" w:cs="仿宋"/>
          <w:color w:val="000000"/>
          <w:sz w:val="28"/>
          <w:szCs w:val="28"/>
        </w:rPr>
        <w:t>其他涉及“三农”法律实务的诉讼、非诉讼法律服务。</w:t>
      </w:r>
    </w:p>
    <w:p>
      <w:pPr>
        <w:pStyle w:val="2"/>
        <w:keepNext w:val="0"/>
        <w:keepLines w:val="0"/>
        <w:pageBreakBefore w:val="0"/>
        <w:widowControl w:val="0"/>
        <w:wordWrap/>
        <w:bidi w:val="0"/>
        <w:spacing w:before="0" w:after="0" w:line="500" w:lineRule="exact"/>
        <w:jc w:val="center"/>
        <w:rPr>
          <w:rFonts w:hint="eastAsia" w:ascii="楷体" w:hAnsi="楷体" w:eastAsia="楷体" w:cs="楷体"/>
          <w:color w:val="000000"/>
          <w:sz w:val="28"/>
          <w:szCs w:val="28"/>
        </w:rPr>
      </w:pPr>
      <w:bookmarkStart w:id="415" w:name="_Toc22843"/>
      <w:r>
        <w:rPr>
          <w:rFonts w:hint="eastAsia" w:ascii="楷体" w:hAnsi="楷体" w:eastAsia="楷体" w:cs="楷体"/>
          <w:color w:val="000000"/>
          <w:sz w:val="28"/>
          <w:szCs w:val="28"/>
        </w:rPr>
        <w:t>第三节  律师参与涉农法律事务的方式与途径</w:t>
      </w:r>
      <w:bookmarkEnd w:id="415"/>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416" w:name="第4条_律师参与涉农法律事务业务的方式与途径"/>
      <w:bookmarkEnd w:id="416"/>
      <w:r>
        <w:rPr>
          <w:rFonts w:hint="eastAsia" w:ascii="仿宋_GB2312" w:hAnsi="仿宋" w:eastAsia="仿宋_GB2312" w:cs="仿宋"/>
          <w:color w:val="000000"/>
          <w:sz w:val="28"/>
          <w:szCs w:val="28"/>
        </w:rPr>
        <w:t>第四条  律师参与涉农法律事务的方式与途径</w:t>
      </w:r>
    </w:p>
    <w:p>
      <w:pPr>
        <w:pStyle w:val="25"/>
        <w:keepNext w:val="0"/>
        <w:keepLines w:val="0"/>
        <w:pageBreakBefore w:val="0"/>
        <w:widowControl w:val="0"/>
        <w:numPr>
          <w:ilvl w:val="0"/>
          <w:numId w:val="0"/>
        </w:numPr>
        <w:tabs>
          <w:tab w:val="left" w:pos="1169"/>
        </w:tabs>
        <w:wordWrap/>
        <w:autoSpaceDE w:val="0"/>
        <w:autoSpaceDN w:val="0"/>
        <w:bidi w:val="0"/>
        <w:spacing w:line="500" w:lineRule="exact"/>
        <w:ind w:firstLine="562" w:firstLineChars="200"/>
        <w:jc w:val="both"/>
        <w:rPr>
          <w:rFonts w:hint="eastAsia" w:ascii="仿宋_GB2312" w:hAnsi="仿宋" w:eastAsia="仿宋_GB2312" w:cs="仿宋"/>
          <w:b/>
          <w:color w:val="000000"/>
          <w:sz w:val="28"/>
          <w:szCs w:val="28"/>
        </w:rPr>
      </w:pPr>
      <w:bookmarkStart w:id="417" w:name="4.1_成为基层政府或涉农相关部门的法律顾问"/>
      <w:bookmarkEnd w:id="417"/>
      <w:r>
        <w:rPr>
          <w:rFonts w:hint="eastAsia" w:ascii="仿宋_GB2312" w:hAnsi="仿宋" w:eastAsia="仿宋_GB2312" w:cs="仿宋"/>
          <w:b/>
          <w:color w:val="000000"/>
          <w:sz w:val="28"/>
          <w:szCs w:val="28"/>
        </w:rPr>
        <w:t>（一）成为基层政府或涉农相关部门的法律顾问</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基层人民政府以及涉农相关部门与“三农”问题紧密联系，息息相关，律师可以通过成为上述单位的法律顾问，参与“三农”问题的处理。如：参与政府信访活动和维稳工作</w:t>
      </w:r>
      <w:r>
        <w:rPr>
          <w:rFonts w:hint="eastAsia" w:ascii="仿宋_GB2312" w:hAnsi="仿宋" w:eastAsia="仿宋_GB2312" w:cs="仿宋"/>
          <w:color w:val="000000"/>
          <w:sz w:val="28"/>
          <w:szCs w:val="28"/>
          <w:lang w:eastAsia="zh-CN"/>
        </w:rPr>
        <w:t>、</w:t>
      </w:r>
      <w:r>
        <w:rPr>
          <w:rFonts w:hint="eastAsia" w:ascii="仿宋_GB2312" w:hAnsi="仿宋" w:eastAsia="仿宋_GB2312" w:cs="仿宋"/>
          <w:color w:val="000000"/>
          <w:sz w:val="28"/>
          <w:szCs w:val="28"/>
        </w:rPr>
        <w:t>开展法</w:t>
      </w:r>
      <w:r>
        <w:rPr>
          <w:rFonts w:hint="eastAsia" w:ascii="仿宋_GB2312" w:hAnsi="仿宋" w:eastAsia="仿宋_GB2312" w:cs="仿宋"/>
          <w:color w:val="000000"/>
          <w:sz w:val="28"/>
          <w:szCs w:val="28"/>
          <w:lang w:eastAsia="zh-CN"/>
        </w:rPr>
        <w:t>治</w:t>
      </w:r>
      <w:r>
        <w:rPr>
          <w:rFonts w:hint="eastAsia" w:ascii="仿宋_GB2312" w:hAnsi="仿宋" w:eastAsia="仿宋_GB2312" w:cs="仿宋"/>
          <w:color w:val="000000"/>
          <w:sz w:val="28"/>
          <w:szCs w:val="28"/>
        </w:rPr>
        <w:t>宣讲解说</w:t>
      </w:r>
      <w:r>
        <w:rPr>
          <w:rFonts w:hint="eastAsia" w:ascii="仿宋_GB2312" w:hAnsi="仿宋" w:eastAsia="仿宋_GB2312" w:cs="仿宋"/>
          <w:color w:val="000000"/>
          <w:sz w:val="28"/>
          <w:szCs w:val="28"/>
          <w:lang w:eastAsia="zh-CN"/>
        </w:rPr>
        <w:t>、</w:t>
      </w:r>
      <w:r>
        <w:rPr>
          <w:rFonts w:hint="eastAsia" w:ascii="仿宋_GB2312" w:hAnsi="仿宋" w:eastAsia="仿宋_GB2312" w:cs="仿宋"/>
          <w:color w:val="000000"/>
          <w:sz w:val="28"/>
          <w:szCs w:val="28"/>
        </w:rPr>
        <w:t>就涉农法律法规政策咨询提供意见</w:t>
      </w:r>
      <w:r>
        <w:rPr>
          <w:rFonts w:hint="eastAsia" w:ascii="仿宋_GB2312" w:hAnsi="仿宋" w:eastAsia="仿宋_GB2312" w:cs="仿宋"/>
          <w:color w:val="000000"/>
          <w:sz w:val="28"/>
          <w:szCs w:val="28"/>
          <w:lang w:eastAsia="zh-CN"/>
        </w:rPr>
        <w:t>、</w:t>
      </w:r>
      <w:r>
        <w:rPr>
          <w:rFonts w:hint="eastAsia" w:ascii="仿宋_GB2312" w:hAnsi="仿宋" w:eastAsia="仿宋_GB2312" w:cs="仿宋"/>
          <w:color w:val="000000"/>
          <w:sz w:val="28"/>
          <w:szCs w:val="28"/>
        </w:rPr>
        <w:t>为政府依法行政、农业投资等问题及时提出意见和建议，避免政府在决策“三农”问题上出现失误。</w:t>
      </w:r>
    </w:p>
    <w:p>
      <w:pPr>
        <w:pStyle w:val="5"/>
        <w:keepNext w:val="0"/>
        <w:keepLines w:val="0"/>
        <w:pageBreakBefore w:val="0"/>
        <w:widowControl w:val="0"/>
        <w:tabs>
          <w:tab w:val="left" w:pos="1169"/>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bookmarkStart w:id="418" w:name="4.2_为农村各种金融机构、经济组织提供法律服务"/>
      <w:bookmarkEnd w:id="418"/>
      <w:r>
        <w:rPr>
          <w:rFonts w:hint="eastAsia" w:ascii="仿宋_GB2312" w:hAnsi="仿宋" w:eastAsia="仿宋_GB2312" w:cs="仿宋"/>
          <w:color w:val="000000"/>
          <w:sz w:val="28"/>
          <w:szCs w:val="28"/>
        </w:rPr>
        <w:t>（二）为农村各金融机构、经济组织提供法律服务</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随着经济的发展，经济组织形态多变。国家支持各种金融机构对农村经济组织进行扶持，因此，农村经济组织借贷问题突出，同时农村的改革和发展使农村不同经济组织之间的联系日益密切，法律问题越来越复杂。律师可通过担任农村各种金融机构或经济组织的法律顾问，来提供法律意见、参与争议的调解、仲裁、诉讼等。同时，律师还可以配合土地承包经营权流转服务组织，为流转双方提供法规咨询、合同制作和签订、纠纷调处等服务。</w:t>
      </w:r>
    </w:p>
    <w:p>
      <w:pPr>
        <w:pStyle w:val="5"/>
        <w:keepNext w:val="0"/>
        <w:keepLines w:val="0"/>
        <w:pageBreakBefore w:val="0"/>
        <w:widowControl w:val="0"/>
        <w:tabs>
          <w:tab w:val="left" w:pos="1169"/>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（三）办理涉及“三农”的诉讼、非诉讼法律事务，参与司法调解、行政调解，或主持民间调解活动。</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十四五”时期，是开启全面建设社会主义现代化国家新征程、向第二个百年奋斗目标进军的第一个五年。新发展阶段“三农”工作依然极端重要，在我国农村处于经济社会的快速变革时期，各种矛盾纠纷会日益显现。如农村征地、环境污染、移民搬迁、退圩还湖、土地承包、宅基地取得、集体资产处置等容易激化矛盾的群体性纠纷。律师应从预防和化解纠纷入手，及时向政府及相关部门反映农民诉求，配合政府及相关部门参与农村群体性事件的疏导，为避免和解决群体性事件发挥作用，促进社会和谐。</w:t>
      </w:r>
    </w:p>
    <w:p>
      <w:pPr>
        <w:pStyle w:val="5"/>
        <w:keepNext w:val="0"/>
        <w:keepLines w:val="0"/>
        <w:pageBreakBefore w:val="0"/>
        <w:widowControl w:val="0"/>
        <w:tabs>
          <w:tab w:val="left" w:pos="1169"/>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bookmarkStart w:id="419" w:name="4.4_参与农村普法教育和法治宣传活动"/>
      <w:bookmarkEnd w:id="419"/>
      <w:r>
        <w:rPr>
          <w:rFonts w:hint="eastAsia" w:ascii="仿宋_GB2312" w:hAnsi="仿宋" w:eastAsia="仿宋_GB2312" w:cs="仿宋"/>
          <w:color w:val="000000"/>
          <w:sz w:val="28"/>
          <w:szCs w:val="28"/>
        </w:rPr>
        <w:t>（四）参与农村普法教育和法治宣传活动</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农民对法律知识的需求是现实和迫切的，律师可以以多种方式开展农村普法宣传和法制教育活动。如送法下乡、开设律师农村法制课堂等，增强广大农民的法律意识，为农村经济和社会发展营造良好的法制氛围。</w:t>
      </w:r>
    </w:p>
    <w:p>
      <w:pPr>
        <w:pStyle w:val="5"/>
        <w:keepNext w:val="0"/>
        <w:keepLines w:val="0"/>
        <w:pageBreakBefore w:val="0"/>
        <w:widowControl w:val="0"/>
        <w:tabs>
          <w:tab w:val="left" w:pos="1169"/>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bookmarkStart w:id="420" w:name="4.5_提供法律援助服务，维护农民合法权益"/>
      <w:bookmarkEnd w:id="420"/>
      <w:r>
        <w:rPr>
          <w:rFonts w:hint="eastAsia" w:ascii="仿宋_GB2312" w:hAnsi="仿宋" w:eastAsia="仿宋_GB2312" w:cs="仿宋"/>
          <w:color w:val="000000"/>
          <w:sz w:val="28"/>
          <w:szCs w:val="28"/>
        </w:rPr>
        <w:t>（五）提供法律援助服务，维护农民合法权益</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律师可以通过与法律援助机构相互配合，参与对农村中的五保户和低保户的社会保障、残疾人救助、灾害救助纠纷，赡养、抚养类家庭纠纷</w:t>
      </w:r>
      <w:r>
        <w:rPr>
          <w:rFonts w:hint="eastAsia" w:ascii="仿宋_GB2312" w:hAnsi="仿宋" w:eastAsia="仿宋_GB2312" w:cs="仿宋"/>
          <w:color w:val="000000"/>
          <w:sz w:val="28"/>
          <w:szCs w:val="28"/>
          <w:lang w:eastAsia="zh-CN"/>
        </w:rPr>
        <w:t>、</w:t>
      </w:r>
      <w:r>
        <w:rPr>
          <w:rFonts w:hint="eastAsia" w:ascii="仿宋_GB2312" w:hAnsi="仿宋" w:eastAsia="仿宋_GB2312" w:cs="仿宋"/>
          <w:color w:val="000000"/>
          <w:sz w:val="28"/>
          <w:szCs w:val="28"/>
        </w:rPr>
        <w:t>交通、医疗事故等人身伤害案件及环境污染等关系到农民群众利益的纠纷和案件，从促进公平正义、促进社会和谐</w:t>
      </w:r>
      <w:r>
        <w:rPr>
          <w:rFonts w:hint="eastAsia" w:ascii="仿宋_GB2312" w:hAnsi="仿宋" w:eastAsia="仿宋_GB2312" w:cs="仿宋"/>
          <w:color w:val="000000"/>
          <w:sz w:val="28"/>
          <w:szCs w:val="28"/>
          <w:lang w:eastAsia="zh-CN"/>
        </w:rPr>
        <w:t>出发</w:t>
      </w:r>
      <w:r>
        <w:rPr>
          <w:rFonts w:hint="eastAsia" w:ascii="仿宋_GB2312" w:hAnsi="仿宋" w:eastAsia="仿宋_GB2312" w:cs="仿宋"/>
          <w:color w:val="000000"/>
          <w:sz w:val="28"/>
          <w:szCs w:val="28"/>
        </w:rPr>
        <w:t>，积极参与法律援助活动，认真履行法律援助义务，依法维护农民的合法权益。</w:t>
      </w:r>
    </w:p>
    <w:p>
      <w:pPr>
        <w:pStyle w:val="2"/>
        <w:keepNext w:val="0"/>
        <w:keepLines w:val="0"/>
        <w:pageBreakBefore w:val="0"/>
        <w:widowControl w:val="0"/>
        <w:wordWrap/>
        <w:bidi w:val="0"/>
        <w:spacing w:before="0" w:after="0" w:line="500" w:lineRule="exact"/>
        <w:jc w:val="center"/>
        <w:rPr>
          <w:rFonts w:hint="eastAsia" w:ascii="楷体" w:hAnsi="楷体" w:eastAsia="楷体" w:cs="楷体"/>
          <w:color w:val="000000"/>
          <w:sz w:val="28"/>
          <w:szCs w:val="28"/>
        </w:rPr>
      </w:pPr>
      <w:bookmarkStart w:id="421" w:name="_bookmark4"/>
      <w:bookmarkEnd w:id="421"/>
      <w:bookmarkStart w:id="422" w:name="第四节_律师提供“三农”服务的要求"/>
      <w:bookmarkEnd w:id="422"/>
      <w:bookmarkStart w:id="423" w:name="_Toc22668"/>
      <w:r>
        <w:rPr>
          <w:rFonts w:hint="eastAsia" w:ascii="楷体" w:hAnsi="楷体" w:eastAsia="楷体" w:cs="楷体"/>
          <w:color w:val="000000"/>
          <w:sz w:val="28"/>
          <w:szCs w:val="28"/>
        </w:rPr>
        <w:t>第四节  律师提供“三农”法律服务的要求</w:t>
      </w:r>
      <w:bookmarkEnd w:id="423"/>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424" w:name="第5条_律师提供“三农”服务的要求"/>
      <w:bookmarkEnd w:id="424"/>
      <w:r>
        <w:rPr>
          <w:rFonts w:hint="eastAsia" w:ascii="仿宋_GB2312" w:hAnsi="仿宋" w:eastAsia="仿宋_GB2312" w:cs="仿宋"/>
          <w:color w:val="000000"/>
          <w:sz w:val="28"/>
          <w:szCs w:val="28"/>
        </w:rPr>
        <w:t>第五条  律师提供“三农”法律服务的要求</w:t>
      </w:r>
    </w:p>
    <w:p>
      <w:pPr>
        <w:pStyle w:val="25"/>
        <w:keepNext w:val="0"/>
        <w:keepLines w:val="0"/>
        <w:pageBreakBefore w:val="0"/>
        <w:widowControl w:val="0"/>
        <w:numPr>
          <w:ilvl w:val="0"/>
          <w:numId w:val="0"/>
        </w:numPr>
        <w:tabs>
          <w:tab w:val="left" w:pos="1169"/>
        </w:tabs>
        <w:wordWrap/>
        <w:autoSpaceDE w:val="0"/>
        <w:autoSpaceDN w:val="0"/>
        <w:bidi w:val="0"/>
        <w:spacing w:line="500" w:lineRule="exact"/>
        <w:ind w:firstLine="562" w:firstLineChars="200"/>
        <w:jc w:val="both"/>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（一）熟练掌握“三农”工作政策及法律法规。</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“三农”问题是党中央一直关注的问题</w:t>
      </w:r>
      <w:r>
        <w:rPr>
          <w:rFonts w:hint="eastAsia" w:ascii="仿宋_GB2312" w:hAnsi="仿宋" w:eastAsia="仿宋_GB2312" w:cs="仿宋"/>
          <w:color w:val="000000"/>
          <w:sz w:val="28"/>
          <w:szCs w:val="28"/>
          <w:lang w:eastAsia="zh-CN"/>
        </w:rPr>
        <w:t>。</w:t>
      </w:r>
      <w:r>
        <w:rPr>
          <w:rFonts w:hint="eastAsia" w:ascii="仿宋_GB2312" w:hAnsi="仿宋" w:eastAsia="仿宋_GB2312" w:cs="仿宋"/>
          <w:color w:val="000000"/>
          <w:sz w:val="28"/>
          <w:szCs w:val="28"/>
        </w:rPr>
        <w:t>十三五时期，农业农村发展取得新的历史性成就，为党和国家战胜各种艰难险阻、稳定经济社会发展大局，发挥了“压舱石”作用。同时，“三农”问题不仅涉及许多涉农法律法规，还涉及政策文件。因此，提供“三农”服务的律师不仅要研究涉农法律法规，还要时刻关注“三农”相关制度的发展进程，了解相关政策，研究和预测农村经济发展中出现的法律服务需求。</w:t>
      </w:r>
    </w:p>
    <w:p>
      <w:pPr>
        <w:pStyle w:val="5"/>
        <w:keepNext w:val="0"/>
        <w:keepLines w:val="0"/>
        <w:pageBreakBefore w:val="0"/>
        <w:widowControl w:val="0"/>
        <w:tabs>
          <w:tab w:val="left" w:pos="1169"/>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bookmarkStart w:id="425" w:name="5.2_按程序依法办理“三农”问题"/>
      <w:bookmarkEnd w:id="425"/>
      <w:r>
        <w:rPr>
          <w:rFonts w:hint="eastAsia" w:ascii="仿宋_GB2312" w:hAnsi="仿宋" w:eastAsia="仿宋_GB2312" w:cs="仿宋"/>
          <w:color w:val="000000"/>
          <w:sz w:val="28"/>
          <w:szCs w:val="28"/>
        </w:rPr>
        <w:t>（二）按程序依法办理“三农”问题</w:t>
      </w:r>
    </w:p>
    <w:p>
      <w:pPr>
        <w:pStyle w:val="25"/>
        <w:keepNext w:val="0"/>
        <w:keepLines w:val="0"/>
        <w:pageBreakBefore w:val="0"/>
        <w:widowControl w:val="0"/>
        <w:numPr>
          <w:ilvl w:val="0"/>
          <w:numId w:val="0"/>
        </w:numPr>
        <w:tabs>
          <w:tab w:val="left" w:pos="1311"/>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1.咨询</w:t>
      </w:r>
    </w:p>
    <w:p>
      <w:pPr>
        <w:pStyle w:val="25"/>
        <w:keepNext w:val="0"/>
        <w:keepLines w:val="0"/>
        <w:pageBreakBefore w:val="0"/>
        <w:widowControl w:val="0"/>
        <w:numPr>
          <w:ilvl w:val="0"/>
          <w:numId w:val="0"/>
        </w:numPr>
        <w:tabs>
          <w:tab w:val="left" w:pos="1520"/>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（1）倾听当事人陈述案件，重点关注案件的背景、历史渊源及争议的焦点；</w:t>
      </w:r>
    </w:p>
    <w:p>
      <w:pPr>
        <w:pStyle w:val="25"/>
        <w:keepNext w:val="0"/>
        <w:keepLines w:val="0"/>
        <w:pageBreakBefore w:val="0"/>
        <w:widowControl w:val="0"/>
        <w:numPr>
          <w:ilvl w:val="0"/>
          <w:numId w:val="0"/>
        </w:numPr>
        <w:tabs>
          <w:tab w:val="left" w:pos="1520"/>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（2）针对当事人陈述的事实的疑惑之处进行提问，并询问相关证据情况；</w:t>
      </w:r>
    </w:p>
    <w:p>
      <w:pPr>
        <w:pStyle w:val="25"/>
        <w:keepNext w:val="0"/>
        <w:keepLines w:val="0"/>
        <w:pageBreakBefore w:val="0"/>
        <w:widowControl w:val="0"/>
        <w:numPr>
          <w:ilvl w:val="0"/>
          <w:numId w:val="0"/>
        </w:numPr>
        <w:tabs>
          <w:tab w:val="left" w:pos="1520"/>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（3）要根据不同的咨询对象，从不同的角度提供客观全面的咨询建议，尽最大可能维护当事人的利益。</w:t>
      </w:r>
    </w:p>
    <w:p>
      <w:pPr>
        <w:pStyle w:val="25"/>
        <w:keepNext w:val="0"/>
        <w:keepLines w:val="0"/>
        <w:pageBreakBefore w:val="0"/>
        <w:widowControl w:val="0"/>
        <w:numPr>
          <w:ilvl w:val="0"/>
          <w:numId w:val="0"/>
        </w:numPr>
        <w:tabs>
          <w:tab w:val="left" w:pos="1311"/>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2.收案</w:t>
      </w:r>
    </w:p>
    <w:p>
      <w:pPr>
        <w:pStyle w:val="25"/>
        <w:keepNext w:val="0"/>
        <w:keepLines w:val="0"/>
        <w:pageBreakBefore w:val="0"/>
        <w:widowControl w:val="0"/>
        <w:numPr>
          <w:ilvl w:val="0"/>
          <w:numId w:val="0"/>
        </w:numPr>
        <w:tabs>
          <w:tab w:val="left" w:pos="1520"/>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（1）向当事人提交委托须知、办案质量监督卡交委托人过目后签字或盖章；</w:t>
      </w:r>
    </w:p>
    <w:p>
      <w:pPr>
        <w:pStyle w:val="25"/>
        <w:keepNext w:val="0"/>
        <w:keepLines w:val="0"/>
        <w:pageBreakBefore w:val="0"/>
        <w:widowControl w:val="0"/>
        <w:numPr>
          <w:ilvl w:val="0"/>
          <w:numId w:val="0"/>
        </w:numPr>
        <w:tabs>
          <w:tab w:val="left" w:pos="1520"/>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（2）签订委托代理合同一式两份并提交律所收案审批；</w:t>
      </w:r>
    </w:p>
    <w:p>
      <w:pPr>
        <w:pStyle w:val="25"/>
        <w:keepNext w:val="0"/>
        <w:keepLines w:val="0"/>
        <w:pageBreakBefore w:val="0"/>
        <w:widowControl w:val="0"/>
        <w:numPr>
          <w:ilvl w:val="0"/>
          <w:numId w:val="0"/>
        </w:numPr>
        <w:tabs>
          <w:tab w:val="left" w:pos="1520"/>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（3）委托人授权并让委托人签字或盖章，委托人是个人的，让其提交身份证复印件，委托人是单位的让其交法人证书复印件及法定代表人或负责人的身份证明书；</w:t>
      </w:r>
    </w:p>
    <w:p>
      <w:pPr>
        <w:pStyle w:val="25"/>
        <w:keepNext w:val="0"/>
        <w:keepLines w:val="0"/>
        <w:pageBreakBefore w:val="0"/>
        <w:widowControl w:val="0"/>
        <w:numPr>
          <w:ilvl w:val="0"/>
          <w:numId w:val="0"/>
        </w:numPr>
        <w:tabs>
          <w:tab w:val="left" w:pos="1520"/>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（4）收费。收取委托人费用后，律所向委托人开具发票；</w:t>
      </w:r>
    </w:p>
    <w:p>
      <w:pPr>
        <w:pStyle w:val="25"/>
        <w:keepNext w:val="0"/>
        <w:keepLines w:val="0"/>
        <w:pageBreakBefore w:val="0"/>
        <w:widowControl w:val="0"/>
        <w:numPr>
          <w:ilvl w:val="0"/>
          <w:numId w:val="0"/>
        </w:numPr>
        <w:tabs>
          <w:tab w:val="left" w:pos="1527"/>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（5）做好首谈笔录，记录当事人陈述的事实及接收的证据情况，并要求当事人签字；</w:t>
      </w:r>
    </w:p>
    <w:p>
      <w:pPr>
        <w:pStyle w:val="25"/>
        <w:keepNext w:val="0"/>
        <w:keepLines w:val="0"/>
        <w:pageBreakBefore w:val="0"/>
        <w:widowControl w:val="0"/>
        <w:numPr>
          <w:ilvl w:val="0"/>
          <w:numId w:val="0"/>
        </w:numPr>
        <w:tabs>
          <w:tab w:val="left" w:pos="1520"/>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6）对于必要的证据要列清单交给当事人，并根据案件进展情况要求当事人在合理的时间内提交证据。对于当事人无法提供的证据，要提醒当事人尽可能列明清单，看是否可以调取。根据证据的情况综合评判案件的风险及胜诉率。</w:t>
      </w:r>
    </w:p>
    <w:p>
      <w:pPr>
        <w:pStyle w:val="25"/>
        <w:keepNext w:val="0"/>
        <w:keepLines w:val="0"/>
        <w:pageBreakBefore w:val="0"/>
        <w:widowControl w:val="0"/>
        <w:numPr>
          <w:ilvl w:val="0"/>
          <w:numId w:val="0"/>
        </w:numPr>
        <w:tabs>
          <w:tab w:val="left" w:pos="1311"/>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3.办案</w:t>
      </w:r>
    </w:p>
    <w:p>
      <w:pPr>
        <w:pStyle w:val="25"/>
        <w:keepNext w:val="0"/>
        <w:keepLines w:val="0"/>
        <w:pageBreakBefore w:val="0"/>
        <w:widowControl w:val="0"/>
        <w:numPr>
          <w:ilvl w:val="0"/>
          <w:numId w:val="0"/>
        </w:numPr>
        <w:tabs>
          <w:tab w:val="left" w:pos="1520"/>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（1）根据委托人的委托事项，依法提供法律意见书、咨询报告、起诉状、答辩状等；</w:t>
      </w:r>
    </w:p>
    <w:p>
      <w:pPr>
        <w:pStyle w:val="25"/>
        <w:keepNext w:val="0"/>
        <w:keepLines w:val="0"/>
        <w:pageBreakBefore w:val="0"/>
        <w:widowControl w:val="0"/>
        <w:numPr>
          <w:ilvl w:val="0"/>
          <w:numId w:val="0"/>
        </w:numPr>
        <w:tabs>
          <w:tab w:val="left" w:pos="1527"/>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（2）根据委托人的委托事项及提交的证据情况，依法收集证据、分析证据，如当事人无法提供且律师可以调取的要调查取证。</w:t>
      </w:r>
    </w:p>
    <w:p>
      <w:pPr>
        <w:pStyle w:val="25"/>
        <w:keepNext w:val="0"/>
        <w:keepLines w:val="0"/>
        <w:pageBreakBefore w:val="0"/>
        <w:widowControl w:val="0"/>
        <w:numPr>
          <w:ilvl w:val="0"/>
          <w:numId w:val="0"/>
        </w:numPr>
        <w:tabs>
          <w:tab w:val="left" w:pos="152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（3）诉讼案件：</w:t>
      </w:r>
    </w:p>
    <w:p>
      <w:pPr>
        <w:pStyle w:val="25"/>
        <w:keepNext w:val="0"/>
        <w:keepLines w:val="0"/>
        <w:pageBreakBefore w:val="0"/>
        <w:widowControl w:val="0"/>
        <w:numPr>
          <w:ilvl w:val="0"/>
          <w:numId w:val="0"/>
        </w:numPr>
        <w:tabs>
          <w:tab w:val="left" w:pos="152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①代理原告的，要按照当事人的要求在法律允许的期限内依法向有管辖权的法院提交律所公函、授权委托书、证据目录及相关证据、起诉状、进行立案。并按照法院的出庭通知书、举证通知书等要求依法出庭、举证，庭审结束后，必要时提交代理词， 方便法院依法裁判；</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eastAsia="zh-CN"/>
        </w:rPr>
        <w:t>②</w:t>
      </w:r>
      <w:r>
        <w:rPr>
          <w:rFonts w:hint="eastAsia" w:ascii="仿宋_GB2312" w:hAnsi="仿宋" w:eastAsia="仿宋_GB2312" w:cs="仿宋"/>
          <w:color w:val="000000"/>
          <w:sz w:val="28"/>
          <w:szCs w:val="28"/>
        </w:rPr>
        <w:t>代理被告的要根据原告的起诉状及证据依据，按照受理法院提交的应诉通知书、出庭通知书及举证通知书要求依法出庭并提交律所公函、授权委托书、证据目录及相关证据、答辩状。庭审结束后，必要时提交代理词，方便法院依法裁判。</w:t>
      </w:r>
    </w:p>
    <w:p>
      <w:pPr>
        <w:pStyle w:val="25"/>
        <w:keepNext w:val="0"/>
        <w:keepLines w:val="0"/>
        <w:pageBreakBefore w:val="0"/>
        <w:widowControl w:val="0"/>
        <w:numPr>
          <w:ilvl w:val="0"/>
          <w:numId w:val="0"/>
        </w:numPr>
        <w:tabs>
          <w:tab w:val="left" w:pos="1520"/>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4）非诉案件：要根据当事人的要求及委托事项的具体情况，做好调查取证、专家论证、分险评估、征求意见、听取公众意见等必要程序，同时要全面检索相关法律法规规章及政策的变化及背景，依法客观地出具法律意见、咨询报告等相关法律文书。</w:t>
      </w:r>
    </w:p>
    <w:p>
      <w:pPr>
        <w:pStyle w:val="2"/>
        <w:keepNext w:val="0"/>
        <w:keepLines w:val="0"/>
        <w:pageBreakBefore w:val="0"/>
        <w:widowControl w:val="0"/>
        <w:wordWrap/>
        <w:bidi w:val="0"/>
        <w:spacing w:before="0" w:after="0" w:line="500" w:lineRule="exact"/>
        <w:jc w:val="center"/>
        <w:rPr>
          <w:rFonts w:hint="eastAsia" w:ascii="楷体" w:hAnsi="楷体" w:eastAsia="楷体" w:cs="楷体"/>
          <w:color w:val="000000"/>
          <w:sz w:val="28"/>
          <w:szCs w:val="28"/>
        </w:rPr>
      </w:pPr>
      <w:bookmarkStart w:id="426" w:name="_bookmark5"/>
      <w:bookmarkEnd w:id="426"/>
      <w:bookmarkStart w:id="427" w:name="第五节_特别说明"/>
      <w:bookmarkEnd w:id="427"/>
      <w:bookmarkStart w:id="428" w:name="_Toc23937"/>
      <w:r>
        <w:rPr>
          <w:rFonts w:hint="eastAsia" w:ascii="楷体" w:hAnsi="楷体" w:eastAsia="楷体" w:cs="楷体"/>
          <w:color w:val="000000"/>
          <w:sz w:val="28"/>
          <w:szCs w:val="28"/>
        </w:rPr>
        <w:t>第五节 特别说明</w:t>
      </w:r>
      <w:bookmarkEnd w:id="428"/>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429" w:name="第6条_特别说明"/>
      <w:bookmarkEnd w:id="429"/>
      <w:r>
        <w:rPr>
          <w:rFonts w:hint="eastAsia" w:ascii="仿宋_GB2312" w:hAnsi="仿宋" w:eastAsia="仿宋_GB2312" w:cs="仿宋"/>
          <w:color w:val="000000"/>
          <w:sz w:val="28"/>
          <w:szCs w:val="28"/>
        </w:rPr>
        <w:t>第六条  特别说明</w:t>
      </w:r>
    </w:p>
    <w:p>
      <w:pPr>
        <w:pStyle w:val="3"/>
        <w:keepNext w:val="0"/>
        <w:keepLines w:val="0"/>
        <w:pageBreakBefore w:val="0"/>
        <w:widowControl w:val="0"/>
        <w:wordWrap/>
        <w:bidi w:val="0"/>
        <w:spacing w:before="0" w:after="0" w:line="500" w:lineRule="exact"/>
        <w:ind w:firstLine="560" w:firstLineChars="200"/>
        <w:jc w:val="both"/>
        <w:rPr>
          <w:rFonts w:hint="eastAsia" w:ascii="仿宋_GB2312" w:hAnsi="仿宋" w:eastAsia="仿宋_GB2312" w:cs="仿宋"/>
          <w:b w:val="0"/>
          <w:bCs w:val="0"/>
          <w:color w:val="000000"/>
          <w:sz w:val="28"/>
          <w:szCs w:val="28"/>
        </w:rPr>
      </w:pPr>
      <w:r>
        <w:rPr>
          <w:rFonts w:hint="eastAsia" w:ascii="仿宋_GB2312" w:hAnsi="仿宋" w:eastAsia="仿宋_GB2312" w:cs="仿宋"/>
          <w:b w:val="0"/>
          <w:bCs w:val="0"/>
          <w:color w:val="000000"/>
          <w:sz w:val="28"/>
          <w:szCs w:val="28"/>
        </w:rPr>
        <w:t>本律师业务指引仅仅是对律师执业活动的参考和提示，不能以此作为判定律师执业是否尽职合规的依据，更不能作为追究律师责任的依据。</w:t>
      </w:r>
    </w:p>
    <w:p>
      <w:pPr>
        <w:keepNext w:val="0"/>
        <w:keepLines w:val="0"/>
        <w:pageBreakBefore w:val="0"/>
        <w:widowControl w:val="0"/>
        <w:wordWrap/>
        <w:bidi w:val="0"/>
        <w:spacing w:after="0" w:line="500" w:lineRule="exact"/>
        <w:ind w:firstLine="560" w:firstLineChars="200"/>
        <w:jc w:val="both"/>
        <w:rPr>
          <w:rFonts w:hint="eastAsia" w:ascii="仿宋" w:hAnsi="仿宋" w:eastAsia="仿宋" w:cs="仿宋"/>
          <w:color w:val="000000"/>
          <w:sz w:val="28"/>
          <w:szCs w:val="28"/>
        </w:rPr>
      </w:pPr>
    </w:p>
    <w:p>
      <w:pPr>
        <w:pStyle w:val="3"/>
        <w:keepNext w:val="0"/>
        <w:keepLines w:val="0"/>
        <w:pageBreakBefore w:val="0"/>
        <w:widowControl w:val="0"/>
        <w:wordWrap/>
        <w:bidi w:val="0"/>
        <w:spacing w:before="0" w:after="0" w:line="500" w:lineRule="exact"/>
        <w:jc w:val="center"/>
        <w:outlineLvl w:val="0"/>
        <w:rPr>
          <w:rFonts w:hint="eastAsia" w:ascii="黑体" w:hAnsi="黑体" w:eastAsia="黑体" w:cs="黑体"/>
          <w:b w:val="0"/>
          <w:bCs w:val="0"/>
          <w:color w:val="000000"/>
          <w:sz w:val="28"/>
          <w:szCs w:val="28"/>
        </w:rPr>
      </w:pPr>
      <w:bookmarkStart w:id="430" w:name="_Toc7383"/>
      <w:r>
        <w:rPr>
          <w:rFonts w:hint="eastAsia" w:ascii="黑体" w:hAnsi="黑体" w:eastAsia="黑体" w:cs="黑体"/>
          <w:b w:val="0"/>
          <w:bCs w:val="0"/>
          <w:color w:val="000000"/>
          <w:sz w:val="28"/>
          <w:szCs w:val="28"/>
        </w:rPr>
        <w:t>第二章  律师服务“三农”需重点关注的业务范围</w:t>
      </w:r>
      <w:bookmarkEnd w:id="430"/>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431" w:name="第7条_律师服务“三农”需重点关注的业务范围"/>
      <w:bookmarkEnd w:id="431"/>
      <w:r>
        <w:rPr>
          <w:rFonts w:hint="eastAsia" w:ascii="仿宋_GB2312" w:hAnsi="仿宋" w:eastAsia="仿宋_GB2312" w:cs="仿宋"/>
          <w:color w:val="000000"/>
          <w:sz w:val="28"/>
          <w:szCs w:val="28"/>
        </w:rPr>
        <w:t>第七条  律师服务“三农”需重点关注的业务范围</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eastAsia="zh-CN"/>
        </w:rPr>
        <w:t>（一）</w:t>
      </w:r>
      <w:r>
        <w:rPr>
          <w:rFonts w:hint="eastAsia" w:ascii="仿宋_GB2312" w:hAnsi="仿宋" w:eastAsia="仿宋_GB2312" w:cs="仿宋"/>
          <w:color w:val="000000"/>
          <w:sz w:val="28"/>
          <w:szCs w:val="28"/>
        </w:rPr>
        <w:t>律师服务“三农”需重点关注的业务范围主要有：</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eastAsia="zh-CN"/>
        </w:rPr>
        <w:t>（二）</w:t>
      </w:r>
      <w:r>
        <w:rPr>
          <w:rFonts w:hint="eastAsia" w:ascii="仿宋_GB2312" w:hAnsi="仿宋" w:eastAsia="仿宋_GB2312" w:cs="仿宋"/>
          <w:color w:val="000000"/>
          <w:sz w:val="28"/>
          <w:szCs w:val="28"/>
        </w:rPr>
        <w:t>农村土地承包经营及农村土地承包经营权流转业务；</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eastAsia="zh-CN"/>
        </w:rPr>
        <w:t>（三）</w:t>
      </w:r>
      <w:r>
        <w:rPr>
          <w:rFonts w:hint="eastAsia" w:ascii="仿宋_GB2312" w:hAnsi="仿宋" w:eastAsia="仿宋_GB2312" w:cs="仿宋"/>
          <w:color w:val="000000"/>
          <w:sz w:val="28"/>
          <w:szCs w:val="28"/>
        </w:rPr>
        <w:t>农村金融信贷业务；</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eastAsia="zh-CN"/>
        </w:rPr>
        <w:t>（四）</w:t>
      </w:r>
      <w:r>
        <w:rPr>
          <w:rFonts w:hint="eastAsia" w:ascii="仿宋_GB2312" w:hAnsi="仿宋" w:eastAsia="仿宋_GB2312" w:cs="仿宋"/>
          <w:color w:val="000000"/>
          <w:sz w:val="28"/>
          <w:szCs w:val="28"/>
        </w:rPr>
        <w:t>农民专业合作社业务；</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eastAsia="zh-CN"/>
        </w:rPr>
        <w:t>（五）</w:t>
      </w:r>
      <w:r>
        <w:rPr>
          <w:rFonts w:hint="eastAsia" w:ascii="仿宋_GB2312" w:hAnsi="仿宋" w:eastAsia="仿宋_GB2312" w:cs="仿宋"/>
          <w:color w:val="000000"/>
          <w:sz w:val="28"/>
          <w:szCs w:val="28"/>
        </w:rPr>
        <w:t>农业知识产权保护业务；</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eastAsia="zh-CN"/>
        </w:rPr>
        <w:t>（六）</w:t>
      </w:r>
      <w:r>
        <w:rPr>
          <w:rFonts w:hint="eastAsia" w:ascii="仿宋_GB2312" w:hAnsi="仿宋" w:eastAsia="仿宋_GB2312" w:cs="仿宋"/>
          <w:color w:val="000000"/>
          <w:sz w:val="28"/>
          <w:szCs w:val="28"/>
        </w:rPr>
        <w:t>农村宅基地业务；</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eastAsia="zh-CN"/>
        </w:rPr>
        <w:t>（七）</w:t>
      </w:r>
      <w:r>
        <w:rPr>
          <w:rFonts w:hint="eastAsia" w:ascii="仿宋_GB2312" w:hAnsi="仿宋" w:eastAsia="仿宋_GB2312" w:cs="仿宋"/>
          <w:color w:val="000000"/>
          <w:sz w:val="28"/>
          <w:szCs w:val="28"/>
        </w:rPr>
        <w:t>农产品质量安全业务；</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eastAsia="zh-CN"/>
        </w:rPr>
        <w:t>（八）</w:t>
      </w:r>
      <w:r>
        <w:rPr>
          <w:rFonts w:hint="eastAsia" w:ascii="仿宋_GB2312" w:hAnsi="仿宋" w:eastAsia="仿宋_GB2312" w:cs="仿宋"/>
          <w:color w:val="000000"/>
          <w:sz w:val="28"/>
          <w:szCs w:val="28"/>
        </w:rPr>
        <w:t>国有渔业水域占用补偿业务；</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eastAsia="zh-CN"/>
        </w:rPr>
        <w:t>（九）</w:t>
      </w:r>
      <w:r>
        <w:rPr>
          <w:rFonts w:hint="eastAsia" w:ascii="仿宋_GB2312" w:hAnsi="仿宋" w:eastAsia="仿宋_GB2312" w:cs="仿宋"/>
          <w:color w:val="000000"/>
          <w:sz w:val="28"/>
          <w:szCs w:val="28"/>
        </w:rPr>
        <w:t>农业执法业务；</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eastAsia="zh-CN"/>
        </w:rPr>
        <w:t>（十）</w:t>
      </w:r>
      <w:r>
        <w:rPr>
          <w:rFonts w:hint="eastAsia" w:ascii="仿宋_GB2312" w:hAnsi="仿宋" w:eastAsia="仿宋_GB2312" w:cs="仿宋"/>
          <w:color w:val="000000"/>
          <w:sz w:val="28"/>
          <w:szCs w:val="28"/>
        </w:rPr>
        <w:t>农业投资管理业务；</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eastAsia="zh-CN"/>
        </w:rPr>
        <w:t>（十一）</w:t>
      </w:r>
      <w:r>
        <w:rPr>
          <w:rFonts w:hint="eastAsia" w:ascii="仿宋_GB2312" w:hAnsi="仿宋" w:eastAsia="仿宋_GB2312" w:cs="仿宋"/>
          <w:color w:val="000000"/>
          <w:sz w:val="28"/>
          <w:szCs w:val="28"/>
        </w:rPr>
        <w:t>农村集体资产管理业务。</w:t>
      </w:r>
    </w:p>
    <w:p>
      <w:pPr>
        <w:pStyle w:val="7"/>
        <w:keepNext w:val="0"/>
        <w:keepLines w:val="0"/>
        <w:pageBreakBefore w:val="0"/>
        <w:widowControl w:val="0"/>
        <w:wordWrap/>
        <w:bidi w:val="0"/>
        <w:spacing w:beforeLines="0" w:after="0" w:afterLines="0" w:line="500" w:lineRule="exact"/>
        <w:ind w:firstLine="602"/>
        <w:jc w:val="both"/>
        <w:rPr>
          <w:rFonts w:hint="eastAsia" w:ascii="仿宋" w:hAnsi="仿宋" w:eastAsia="仿宋" w:cs="仿宋"/>
          <w:color w:val="000000"/>
          <w:sz w:val="28"/>
          <w:szCs w:val="28"/>
        </w:rPr>
      </w:pPr>
    </w:p>
    <w:p>
      <w:pPr>
        <w:pStyle w:val="3"/>
        <w:keepNext w:val="0"/>
        <w:keepLines w:val="0"/>
        <w:pageBreakBefore w:val="0"/>
        <w:widowControl w:val="0"/>
        <w:wordWrap/>
        <w:bidi w:val="0"/>
        <w:spacing w:before="0" w:after="0" w:line="500" w:lineRule="exact"/>
        <w:jc w:val="center"/>
        <w:outlineLvl w:val="0"/>
        <w:rPr>
          <w:rFonts w:hint="eastAsia" w:ascii="黑体" w:hAnsi="黑体" w:eastAsia="黑体" w:cs="黑体"/>
          <w:b w:val="0"/>
          <w:bCs w:val="0"/>
          <w:color w:val="000000"/>
          <w:sz w:val="28"/>
          <w:szCs w:val="28"/>
        </w:rPr>
      </w:pPr>
      <w:bookmarkStart w:id="432" w:name="_bookmark7"/>
      <w:bookmarkEnd w:id="432"/>
      <w:bookmarkStart w:id="433" w:name="第三章_律师服务“三农”需重点关注的业务操作指引"/>
      <w:bookmarkEnd w:id="433"/>
      <w:bookmarkStart w:id="434" w:name="_Toc12134"/>
      <w:r>
        <w:rPr>
          <w:rFonts w:hint="eastAsia" w:ascii="黑体" w:hAnsi="黑体" w:eastAsia="黑体" w:cs="黑体"/>
          <w:b w:val="0"/>
          <w:bCs w:val="0"/>
          <w:color w:val="000000"/>
          <w:sz w:val="28"/>
          <w:szCs w:val="28"/>
        </w:rPr>
        <w:t>第三章  律师服务“三农”需重点关注的业务操作指引</w:t>
      </w:r>
      <w:bookmarkEnd w:id="434"/>
    </w:p>
    <w:p>
      <w:pPr>
        <w:pStyle w:val="2"/>
        <w:keepNext w:val="0"/>
        <w:keepLines w:val="0"/>
        <w:pageBreakBefore w:val="0"/>
        <w:widowControl w:val="0"/>
        <w:wordWrap/>
        <w:bidi w:val="0"/>
        <w:spacing w:before="0" w:after="0" w:line="500" w:lineRule="exact"/>
        <w:jc w:val="center"/>
        <w:rPr>
          <w:rFonts w:hint="eastAsia" w:ascii="楷体" w:hAnsi="楷体" w:eastAsia="楷体" w:cs="楷体"/>
          <w:color w:val="000000"/>
          <w:spacing w:val="-6"/>
          <w:sz w:val="28"/>
          <w:szCs w:val="28"/>
        </w:rPr>
      </w:pPr>
      <w:bookmarkStart w:id="435" w:name="_bookmark8"/>
      <w:bookmarkEnd w:id="435"/>
      <w:bookmarkStart w:id="436" w:name="第一节_农村土地承包经营及农村土地承包经营权"/>
      <w:bookmarkEnd w:id="436"/>
      <w:bookmarkStart w:id="437" w:name="_Toc5238"/>
      <w:r>
        <w:rPr>
          <w:rFonts w:hint="eastAsia" w:ascii="楷体" w:hAnsi="楷体" w:eastAsia="楷体" w:cs="楷体"/>
          <w:color w:val="000000"/>
          <w:sz w:val="28"/>
          <w:szCs w:val="28"/>
        </w:rPr>
        <w:t xml:space="preserve">第一节 </w:t>
      </w:r>
      <w:r>
        <w:rPr>
          <w:rFonts w:hint="eastAsia" w:ascii="楷体" w:hAnsi="楷体" w:eastAsia="楷体" w:cs="楷体"/>
          <w:color w:val="000000"/>
          <w:spacing w:val="-6"/>
          <w:sz w:val="28"/>
          <w:szCs w:val="28"/>
        </w:rPr>
        <w:t>农村土地承包经营及农村土地承包经营权</w:t>
      </w:r>
      <w:bookmarkStart w:id="438" w:name="流转业务操作指引"/>
      <w:bookmarkEnd w:id="438"/>
      <w:bookmarkStart w:id="439" w:name="_bookmark9"/>
      <w:bookmarkEnd w:id="439"/>
      <w:r>
        <w:rPr>
          <w:rFonts w:hint="eastAsia" w:ascii="楷体" w:hAnsi="楷体" w:eastAsia="楷体" w:cs="楷体"/>
          <w:color w:val="000000"/>
          <w:spacing w:val="-6"/>
          <w:sz w:val="28"/>
          <w:szCs w:val="28"/>
        </w:rPr>
        <w:t>流转业务操作指引</w:t>
      </w:r>
      <w:bookmarkEnd w:id="437"/>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440" w:name="第8条_主要概念"/>
      <w:bookmarkEnd w:id="440"/>
      <w:r>
        <w:rPr>
          <w:rFonts w:hint="eastAsia" w:ascii="仿宋_GB2312" w:hAnsi="仿宋" w:eastAsia="仿宋_GB2312" w:cs="仿宋"/>
          <w:color w:val="000000"/>
          <w:sz w:val="28"/>
          <w:szCs w:val="28"/>
        </w:rPr>
        <w:t>第八条  主要概念</w:t>
      </w:r>
    </w:p>
    <w:p>
      <w:pPr>
        <w:pStyle w:val="25"/>
        <w:keepNext w:val="0"/>
        <w:keepLines w:val="0"/>
        <w:pageBreakBefore w:val="0"/>
        <w:widowControl w:val="0"/>
        <w:numPr>
          <w:ilvl w:val="0"/>
          <w:numId w:val="0"/>
        </w:numPr>
        <w:tabs>
          <w:tab w:val="left" w:pos="1169"/>
        </w:tabs>
        <w:wordWrap/>
        <w:autoSpaceDE w:val="0"/>
        <w:autoSpaceDN w:val="0"/>
        <w:bidi w:val="0"/>
        <w:spacing w:line="500" w:lineRule="exact"/>
        <w:ind w:firstLine="562" w:firstLineChars="200"/>
        <w:jc w:val="both"/>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（一）农村土地</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是指农民集体所有和国家所有依法由农民集体使用的耕地、林地、草地，以及其他依法用于农业的土地。</w:t>
      </w:r>
    </w:p>
    <w:p>
      <w:pPr>
        <w:pStyle w:val="25"/>
        <w:keepNext w:val="0"/>
        <w:keepLines w:val="0"/>
        <w:pageBreakBefore w:val="0"/>
        <w:widowControl w:val="0"/>
        <w:numPr>
          <w:ilvl w:val="0"/>
          <w:numId w:val="0"/>
        </w:numPr>
        <w:tabs>
          <w:tab w:val="left" w:pos="1169"/>
        </w:tabs>
        <w:wordWrap/>
        <w:autoSpaceDE w:val="0"/>
        <w:autoSpaceDN w:val="0"/>
        <w:bidi w:val="0"/>
        <w:spacing w:line="500" w:lineRule="exact"/>
        <w:ind w:firstLine="562" w:firstLineChars="200"/>
        <w:jc w:val="both"/>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（二）农村土地承包</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是指采取农村集体经济组织内部的家庭承包方式，不宜采取家庭承包方式的荒山、荒沟、荒丘、荒滩等农村土地，可以采取招标、拍卖、公开协商等方式承包。</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农村土地承包经营权是指公民、法人依法对集体所有的或国家所有而由集体使用的土地按照法律规定和法定期限，通过与发包人签订承包合同的方式所取得的占有、使用、收益的权利。</w:t>
      </w:r>
    </w:p>
    <w:p>
      <w:pPr>
        <w:pStyle w:val="25"/>
        <w:keepNext w:val="0"/>
        <w:keepLines w:val="0"/>
        <w:pageBreakBefore w:val="0"/>
        <w:widowControl w:val="0"/>
        <w:numPr>
          <w:ilvl w:val="0"/>
          <w:numId w:val="0"/>
        </w:numPr>
        <w:tabs>
          <w:tab w:val="left" w:pos="1169"/>
        </w:tabs>
        <w:wordWrap/>
        <w:autoSpaceDE w:val="0"/>
        <w:autoSpaceDN w:val="0"/>
        <w:bidi w:val="0"/>
        <w:spacing w:line="500" w:lineRule="exact"/>
        <w:ind w:firstLine="562" w:firstLineChars="200"/>
        <w:jc w:val="both"/>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（三）农村土地承包经营权证</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是指农村土地承包合同生效后，国家依法确认承包方享有土地承包经营权的法律凭证。农村土地承包经营权证只限承包方使用。</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441" w:name="（二）农村土地承包业务操作指引"/>
      <w:bookmarkEnd w:id="441"/>
      <w:bookmarkStart w:id="442" w:name="_bookmark11"/>
      <w:bookmarkEnd w:id="442"/>
      <w:bookmarkStart w:id="443" w:name="第9条_农村土地承包的“三权”分置"/>
      <w:bookmarkEnd w:id="443"/>
      <w:r>
        <w:rPr>
          <w:rFonts w:hint="eastAsia" w:ascii="仿宋_GB2312" w:hAnsi="仿宋" w:eastAsia="仿宋_GB2312" w:cs="仿宋"/>
          <w:color w:val="000000"/>
          <w:sz w:val="28"/>
          <w:szCs w:val="28"/>
        </w:rPr>
        <w:t>第九条  农村土地承包的“三权”分置</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eastAsia="zh-CN"/>
        </w:rPr>
        <w:t>集体</w:t>
      </w:r>
      <w:r>
        <w:rPr>
          <w:rFonts w:hint="eastAsia" w:ascii="仿宋_GB2312" w:hAnsi="仿宋" w:eastAsia="仿宋_GB2312" w:cs="仿宋"/>
          <w:color w:val="000000"/>
          <w:sz w:val="28"/>
          <w:szCs w:val="28"/>
        </w:rPr>
        <w:t>所有权、</w:t>
      </w:r>
      <w:r>
        <w:rPr>
          <w:rFonts w:hint="eastAsia" w:ascii="仿宋_GB2312" w:hAnsi="仿宋" w:eastAsia="仿宋_GB2312" w:cs="仿宋"/>
          <w:color w:val="000000"/>
          <w:sz w:val="28"/>
          <w:szCs w:val="28"/>
          <w:lang w:eastAsia="zh-CN"/>
        </w:rPr>
        <w:t>农户承包经营</w:t>
      </w:r>
      <w:r>
        <w:rPr>
          <w:rFonts w:hint="eastAsia" w:ascii="仿宋_GB2312" w:hAnsi="仿宋" w:eastAsia="仿宋_GB2312" w:cs="仿宋"/>
          <w:color w:val="000000"/>
          <w:sz w:val="28"/>
          <w:szCs w:val="28"/>
        </w:rPr>
        <w:t>权、</w:t>
      </w:r>
      <w:r>
        <w:rPr>
          <w:rFonts w:hint="eastAsia" w:ascii="仿宋_GB2312" w:hAnsi="仿宋" w:eastAsia="仿宋_GB2312" w:cs="仿宋"/>
          <w:color w:val="000000"/>
          <w:sz w:val="28"/>
          <w:szCs w:val="28"/>
          <w:lang w:eastAsia="zh-CN"/>
        </w:rPr>
        <w:t>土地经营权为</w:t>
      </w:r>
      <w:r>
        <w:rPr>
          <w:rFonts w:hint="eastAsia" w:ascii="仿宋_GB2312" w:hAnsi="仿宋" w:eastAsia="仿宋_GB2312" w:cs="仿宋"/>
          <w:color w:val="000000"/>
          <w:sz w:val="28"/>
          <w:szCs w:val="28"/>
        </w:rPr>
        <w:t>农村土地</w:t>
      </w:r>
      <w:r>
        <w:rPr>
          <w:rFonts w:hint="eastAsia" w:ascii="仿宋_GB2312" w:hAnsi="仿宋" w:eastAsia="仿宋_GB2312" w:cs="仿宋"/>
          <w:color w:val="000000"/>
          <w:sz w:val="28"/>
          <w:szCs w:val="28"/>
          <w:lang w:eastAsia="zh-CN"/>
        </w:rPr>
        <w:t>三权分置</w:t>
      </w:r>
      <w:r>
        <w:rPr>
          <w:rFonts w:hint="eastAsia" w:ascii="仿宋_GB2312" w:hAnsi="仿宋" w:eastAsia="仿宋_GB2312" w:cs="仿宋"/>
          <w:color w:val="000000"/>
          <w:sz w:val="28"/>
          <w:szCs w:val="28"/>
        </w:rPr>
        <w:t>的</w:t>
      </w:r>
      <w:r>
        <w:rPr>
          <w:rFonts w:hint="eastAsia" w:ascii="仿宋_GB2312" w:hAnsi="仿宋" w:eastAsia="仿宋_GB2312" w:cs="仿宋"/>
          <w:color w:val="000000"/>
          <w:sz w:val="28"/>
          <w:szCs w:val="28"/>
          <w:lang w:eastAsia="zh-CN"/>
        </w:rPr>
        <w:t>三种权利</w:t>
      </w:r>
      <w:r>
        <w:rPr>
          <w:rFonts w:hint="eastAsia" w:ascii="仿宋_GB2312" w:hAnsi="仿宋" w:eastAsia="仿宋_GB2312" w:cs="仿宋"/>
          <w:color w:val="000000"/>
          <w:sz w:val="28"/>
          <w:szCs w:val="28"/>
        </w:rPr>
        <w:t>。农村土地的所有权归农民集体所有或国家所有。农村集体经济组织成员享有农村土地承包资格。农村土地承包</w:t>
      </w:r>
      <w:r>
        <w:rPr>
          <w:rFonts w:hint="eastAsia" w:ascii="仿宋_GB2312" w:hAnsi="仿宋" w:eastAsia="仿宋_GB2312" w:cs="仿宋"/>
          <w:color w:val="000000"/>
          <w:sz w:val="28"/>
          <w:szCs w:val="28"/>
          <w:lang w:eastAsia="zh-CN"/>
        </w:rPr>
        <w:t>经营</w:t>
      </w:r>
      <w:r>
        <w:rPr>
          <w:rFonts w:hint="eastAsia" w:ascii="仿宋_GB2312" w:hAnsi="仿宋" w:eastAsia="仿宋_GB2312" w:cs="仿宋"/>
          <w:color w:val="000000"/>
          <w:sz w:val="28"/>
          <w:szCs w:val="28"/>
        </w:rPr>
        <w:t>权是指获得农村土地承包经营权证的承包方。</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444" w:name="第10条_农村土地承包经营纠纷的范围"/>
      <w:bookmarkEnd w:id="444"/>
      <w:r>
        <w:rPr>
          <w:rFonts w:hint="eastAsia" w:ascii="仿宋_GB2312" w:hAnsi="仿宋" w:eastAsia="仿宋_GB2312" w:cs="仿宋"/>
          <w:color w:val="000000"/>
          <w:sz w:val="28"/>
          <w:szCs w:val="28"/>
        </w:rPr>
        <w:t>第十条  农村土地承包经营纠纷的范围</w:t>
      </w:r>
    </w:p>
    <w:p>
      <w:pPr>
        <w:pStyle w:val="25"/>
        <w:keepNext w:val="0"/>
        <w:keepLines w:val="0"/>
        <w:pageBreakBefore w:val="0"/>
        <w:widowControl w:val="0"/>
        <w:numPr>
          <w:ilvl w:val="0"/>
          <w:numId w:val="247"/>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因订立、履行、变更、解除和终止农村土地承包合同发生的纠纷；</w:t>
      </w:r>
    </w:p>
    <w:p>
      <w:pPr>
        <w:pStyle w:val="25"/>
        <w:keepNext w:val="0"/>
        <w:keepLines w:val="0"/>
        <w:pageBreakBefore w:val="0"/>
        <w:widowControl w:val="0"/>
        <w:numPr>
          <w:ilvl w:val="0"/>
          <w:numId w:val="247"/>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因农村土地承包经营权转包、出租、互换、转让、入股等流转发生的纠纷；</w:t>
      </w:r>
    </w:p>
    <w:p>
      <w:pPr>
        <w:pStyle w:val="25"/>
        <w:keepNext w:val="0"/>
        <w:keepLines w:val="0"/>
        <w:pageBreakBefore w:val="0"/>
        <w:widowControl w:val="0"/>
        <w:numPr>
          <w:ilvl w:val="0"/>
          <w:numId w:val="247"/>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因收回、调整承包地发生的纠纷；</w:t>
      </w:r>
    </w:p>
    <w:p>
      <w:pPr>
        <w:pStyle w:val="25"/>
        <w:keepNext w:val="0"/>
        <w:keepLines w:val="0"/>
        <w:pageBreakBefore w:val="0"/>
        <w:widowControl w:val="0"/>
        <w:numPr>
          <w:ilvl w:val="0"/>
          <w:numId w:val="247"/>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因确认农村土地承包经营权发生的纠纷；</w:t>
      </w:r>
    </w:p>
    <w:p>
      <w:pPr>
        <w:pStyle w:val="25"/>
        <w:keepNext w:val="0"/>
        <w:keepLines w:val="0"/>
        <w:pageBreakBefore w:val="0"/>
        <w:widowControl w:val="0"/>
        <w:numPr>
          <w:ilvl w:val="0"/>
          <w:numId w:val="247"/>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因侵害农村土地承包经营权发生的纠纷；</w:t>
      </w:r>
    </w:p>
    <w:p>
      <w:pPr>
        <w:pStyle w:val="25"/>
        <w:keepNext w:val="0"/>
        <w:keepLines w:val="0"/>
        <w:pageBreakBefore w:val="0"/>
        <w:widowControl w:val="0"/>
        <w:numPr>
          <w:ilvl w:val="0"/>
          <w:numId w:val="247"/>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法律、法规规定的其他农村土地承包经营纠纷。</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445" w:name="第11条_农村土地承包纠纷解决方式"/>
      <w:bookmarkEnd w:id="445"/>
      <w:r>
        <w:rPr>
          <w:rFonts w:hint="eastAsia" w:ascii="仿宋_GB2312" w:hAnsi="仿宋" w:eastAsia="仿宋_GB2312" w:cs="仿宋"/>
          <w:color w:val="000000"/>
          <w:sz w:val="28"/>
          <w:szCs w:val="28"/>
        </w:rPr>
        <w:t>第十一条  农村土地承包纠纷解决方式</w:t>
      </w:r>
    </w:p>
    <w:p>
      <w:pPr>
        <w:pStyle w:val="25"/>
        <w:keepNext w:val="0"/>
        <w:keepLines w:val="0"/>
        <w:pageBreakBefore w:val="0"/>
        <w:widowControl w:val="0"/>
        <w:numPr>
          <w:ilvl w:val="0"/>
          <w:numId w:val="248"/>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当事人自行和解；</w:t>
      </w:r>
    </w:p>
    <w:p>
      <w:pPr>
        <w:pStyle w:val="25"/>
        <w:keepNext w:val="0"/>
        <w:keepLines w:val="0"/>
        <w:pageBreakBefore w:val="0"/>
        <w:widowControl w:val="0"/>
        <w:numPr>
          <w:ilvl w:val="0"/>
          <w:numId w:val="248"/>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和解不成的，请求村民委员会、乡（镇）人民政府调解；</w:t>
      </w:r>
    </w:p>
    <w:p>
      <w:pPr>
        <w:pStyle w:val="25"/>
        <w:keepNext w:val="0"/>
        <w:keepLines w:val="0"/>
        <w:pageBreakBefore w:val="0"/>
        <w:widowControl w:val="0"/>
        <w:numPr>
          <w:ilvl w:val="0"/>
          <w:numId w:val="248"/>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当事人和解、调解不成或不愿和解、调解的，可以向农村土地承包仲裁委员会申请仲裁；</w:t>
      </w:r>
    </w:p>
    <w:p>
      <w:pPr>
        <w:pStyle w:val="25"/>
        <w:keepNext w:val="0"/>
        <w:keepLines w:val="0"/>
        <w:pageBreakBefore w:val="0"/>
        <w:widowControl w:val="0"/>
        <w:numPr>
          <w:ilvl w:val="0"/>
          <w:numId w:val="248"/>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可以直接向人民法院起诉。</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446" w:name="第12条_农村土地承包经营权纠纷仲裁与诉讼的衔接"/>
      <w:bookmarkEnd w:id="446"/>
      <w:r>
        <w:rPr>
          <w:rFonts w:hint="eastAsia" w:ascii="仿宋_GB2312" w:hAnsi="仿宋" w:eastAsia="仿宋_GB2312" w:cs="仿宋"/>
          <w:color w:val="000000"/>
          <w:sz w:val="28"/>
          <w:szCs w:val="28"/>
        </w:rPr>
        <w:t>第十二条  农村土地承包经营权纠纷仲裁与诉讼的衔接</w:t>
      </w:r>
    </w:p>
    <w:p>
      <w:pPr>
        <w:pStyle w:val="25"/>
        <w:keepNext w:val="0"/>
        <w:keepLines w:val="0"/>
        <w:pageBreakBefore w:val="0"/>
        <w:widowControl w:val="0"/>
        <w:numPr>
          <w:ilvl w:val="0"/>
          <w:numId w:val="249"/>
        </w:numPr>
        <w:tabs>
          <w:tab w:val="left" w:pos="200"/>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当事人自愿达成书面仲裁协议的，受诉人民法院应当参照《最高人民法院关于适用〈中华人民共和国民事诉讼法〉的解释》第二百一十五条、第二百一十六条的规定处理。即当事人在书面合同中订有仲裁条款，或者在发生纠纷后达成书面仲裁协议，一方向人民法院起诉的，人民法院应当告知原告向仲裁机构申请仲裁，其坚持起诉的，裁定不予受理，但仲裁条款或仲裁协议不成立、无效、失效、内容不明确无法执行的除外。</w:t>
      </w:r>
    </w:p>
    <w:p>
      <w:pPr>
        <w:pStyle w:val="25"/>
        <w:keepNext w:val="0"/>
        <w:keepLines w:val="0"/>
        <w:pageBreakBefore w:val="0"/>
        <w:widowControl w:val="0"/>
        <w:numPr>
          <w:ilvl w:val="0"/>
          <w:numId w:val="249"/>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在人民法院首次开庭前，被告以有书面仲裁协议为由对受理民事案件提出异议的，人民法院应当进行审查。经审查符合下列情形之一的，人民法院应当裁定驳回起诉：</w:t>
      </w:r>
    </w:p>
    <w:p>
      <w:pPr>
        <w:pStyle w:val="25"/>
        <w:keepNext w:val="0"/>
        <w:keepLines w:val="0"/>
        <w:pageBreakBefore w:val="0"/>
        <w:widowControl w:val="0"/>
        <w:numPr>
          <w:ilvl w:val="0"/>
          <w:numId w:val="0"/>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1.仲裁机构或者人民法院已经确定仲裁协议有效的；</w:t>
      </w:r>
    </w:p>
    <w:p>
      <w:pPr>
        <w:pStyle w:val="25"/>
        <w:keepNext w:val="0"/>
        <w:keepLines w:val="0"/>
        <w:pageBreakBefore w:val="0"/>
        <w:widowControl w:val="0"/>
        <w:numPr>
          <w:ilvl w:val="0"/>
          <w:numId w:val="0"/>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2.当事人没有在仲裁庭首次开庭前对仲裁协议的效力提出异议的；</w:t>
      </w:r>
    </w:p>
    <w:p>
      <w:pPr>
        <w:pStyle w:val="25"/>
        <w:keepNext w:val="0"/>
        <w:keepLines w:val="0"/>
        <w:pageBreakBefore w:val="0"/>
        <w:widowControl w:val="0"/>
        <w:numPr>
          <w:ilvl w:val="0"/>
          <w:numId w:val="0"/>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3.仲裁协议符合仲裁法第十六条规定且不具有仲裁法第十七条规定的情形的。即仲裁协议符合仲裁法第十六条规定的内容且不存在仲裁法第十七条规定的协议无效的情形。</w:t>
      </w:r>
    </w:p>
    <w:p>
      <w:pPr>
        <w:pStyle w:val="25"/>
        <w:keepNext w:val="0"/>
        <w:keepLines w:val="0"/>
        <w:pageBreakBefore w:val="0"/>
        <w:widowControl w:val="0"/>
        <w:numPr>
          <w:ilvl w:val="0"/>
          <w:numId w:val="249"/>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农村土地承包仲裁委员会根据农村土地承包经营纠纷调解仲裁法第十八条规定，以超过申请仲裁的时效期间为由驳回申请后， 当事人就同一纠纷提起诉讼的，人民法院应予受理。</w:t>
      </w:r>
    </w:p>
    <w:p>
      <w:pPr>
        <w:pStyle w:val="25"/>
        <w:keepNext w:val="0"/>
        <w:keepLines w:val="0"/>
        <w:pageBreakBefore w:val="0"/>
        <w:widowControl w:val="0"/>
        <w:numPr>
          <w:ilvl w:val="0"/>
          <w:numId w:val="249"/>
        </w:numPr>
        <w:tabs>
          <w:tab w:val="left" w:pos="200"/>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当事人未达成书面仲裁协议，一方当事人向农村土地承包仲裁机构申请仲裁，另一方当事人提起诉讼的，人民法院应予受理，并书面通知仲裁机构。但另一方当事人接受仲裁管辖后又起诉的，人民法院不予受理。</w:t>
      </w:r>
    </w:p>
    <w:p>
      <w:pPr>
        <w:pStyle w:val="25"/>
        <w:keepNext w:val="0"/>
        <w:keepLines w:val="0"/>
        <w:pageBreakBefore w:val="0"/>
        <w:widowControl w:val="0"/>
        <w:numPr>
          <w:ilvl w:val="0"/>
          <w:numId w:val="249"/>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当事人对仲裁裁决不服并在收到裁决书之日起三十日内提起诉讼的，人民法院应予受理。</w:t>
      </w:r>
    </w:p>
    <w:p>
      <w:pPr>
        <w:pStyle w:val="25"/>
        <w:keepNext w:val="0"/>
        <w:keepLines w:val="0"/>
        <w:pageBreakBefore w:val="0"/>
        <w:widowControl w:val="0"/>
        <w:numPr>
          <w:ilvl w:val="0"/>
          <w:numId w:val="249"/>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当事人在收到农村土地承包仲裁委员会作出的裁决书之日起三十日后或者签收农村土地承包仲裁委员会作出的调解书后，就同一纠纷向人民法院提起诉讼的，裁定不予受理；已经受理的，裁定驳回起诉。</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447" w:name="第13条_农村土地承包民事纠纷的范围"/>
      <w:bookmarkEnd w:id="447"/>
      <w:r>
        <w:rPr>
          <w:rFonts w:hint="eastAsia" w:ascii="仿宋_GB2312" w:hAnsi="仿宋" w:eastAsia="仿宋_GB2312" w:cs="仿宋"/>
          <w:color w:val="000000"/>
          <w:sz w:val="28"/>
          <w:szCs w:val="28"/>
        </w:rPr>
        <w:t>第十三条  农村土地承包民事纠纷的范围</w:t>
      </w:r>
    </w:p>
    <w:p>
      <w:pPr>
        <w:pStyle w:val="25"/>
        <w:keepNext w:val="0"/>
        <w:keepLines w:val="0"/>
        <w:pageBreakBefore w:val="0"/>
        <w:widowControl w:val="0"/>
        <w:numPr>
          <w:ilvl w:val="0"/>
          <w:numId w:val="250"/>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承包合同纠纷；</w:t>
      </w:r>
    </w:p>
    <w:p>
      <w:pPr>
        <w:pStyle w:val="25"/>
        <w:keepNext w:val="0"/>
        <w:keepLines w:val="0"/>
        <w:pageBreakBefore w:val="0"/>
        <w:widowControl w:val="0"/>
        <w:numPr>
          <w:ilvl w:val="0"/>
          <w:numId w:val="250"/>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承包经营权侵权纠纷；</w:t>
      </w:r>
    </w:p>
    <w:p>
      <w:pPr>
        <w:pStyle w:val="25"/>
        <w:keepNext w:val="0"/>
        <w:keepLines w:val="0"/>
        <w:pageBreakBefore w:val="0"/>
        <w:widowControl w:val="0"/>
        <w:numPr>
          <w:ilvl w:val="0"/>
          <w:numId w:val="250"/>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土地经营权侵权纠纷；</w:t>
      </w:r>
    </w:p>
    <w:p>
      <w:pPr>
        <w:pStyle w:val="25"/>
        <w:keepNext w:val="0"/>
        <w:keepLines w:val="0"/>
        <w:pageBreakBefore w:val="0"/>
        <w:widowControl w:val="0"/>
        <w:numPr>
          <w:ilvl w:val="0"/>
          <w:numId w:val="250"/>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承包经营权互换、转让纠纷；</w:t>
      </w:r>
    </w:p>
    <w:p>
      <w:pPr>
        <w:pStyle w:val="25"/>
        <w:keepNext w:val="0"/>
        <w:keepLines w:val="0"/>
        <w:pageBreakBefore w:val="0"/>
        <w:widowControl w:val="0"/>
        <w:numPr>
          <w:ilvl w:val="0"/>
          <w:numId w:val="250"/>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土地经营权流转纠纷；</w:t>
      </w:r>
    </w:p>
    <w:p>
      <w:pPr>
        <w:pStyle w:val="25"/>
        <w:keepNext w:val="0"/>
        <w:keepLines w:val="0"/>
        <w:pageBreakBefore w:val="0"/>
        <w:widowControl w:val="0"/>
        <w:numPr>
          <w:ilvl w:val="0"/>
          <w:numId w:val="250"/>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承包地征收补偿费用分配纠纷；</w:t>
      </w:r>
    </w:p>
    <w:p>
      <w:pPr>
        <w:pStyle w:val="25"/>
        <w:keepNext w:val="0"/>
        <w:keepLines w:val="0"/>
        <w:pageBreakBefore w:val="0"/>
        <w:widowControl w:val="0"/>
        <w:numPr>
          <w:ilvl w:val="0"/>
          <w:numId w:val="250"/>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承包经营权继承纠纷；</w:t>
      </w:r>
    </w:p>
    <w:p>
      <w:pPr>
        <w:pStyle w:val="25"/>
        <w:keepNext w:val="0"/>
        <w:keepLines w:val="0"/>
        <w:pageBreakBefore w:val="0"/>
        <w:widowControl w:val="0"/>
        <w:numPr>
          <w:ilvl w:val="0"/>
          <w:numId w:val="250"/>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土地经营权继承纠纷。</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448" w:name="第14条_发包方收回承包地的情形"/>
      <w:bookmarkEnd w:id="448"/>
      <w:r>
        <w:rPr>
          <w:rFonts w:hint="eastAsia" w:ascii="仿宋_GB2312" w:hAnsi="仿宋" w:eastAsia="仿宋_GB2312" w:cs="仿宋"/>
          <w:color w:val="000000"/>
          <w:sz w:val="28"/>
          <w:szCs w:val="28"/>
        </w:rPr>
        <w:t>第十四条  发包方收回承包地的情形</w:t>
      </w:r>
    </w:p>
    <w:p>
      <w:pPr>
        <w:pStyle w:val="25"/>
        <w:keepNext w:val="0"/>
        <w:keepLines w:val="0"/>
        <w:pageBreakBefore w:val="0"/>
        <w:widowControl w:val="0"/>
        <w:numPr>
          <w:ilvl w:val="0"/>
          <w:numId w:val="251"/>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承包期内，发包方与承包方协商收回；</w:t>
      </w:r>
    </w:p>
    <w:p>
      <w:pPr>
        <w:pStyle w:val="25"/>
        <w:keepNext w:val="0"/>
        <w:keepLines w:val="0"/>
        <w:pageBreakBefore w:val="0"/>
        <w:widowControl w:val="0"/>
        <w:numPr>
          <w:ilvl w:val="0"/>
          <w:numId w:val="251"/>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承包期满，发包方依法收回；</w:t>
      </w:r>
    </w:p>
    <w:p>
      <w:pPr>
        <w:pStyle w:val="25"/>
        <w:keepNext w:val="0"/>
        <w:keepLines w:val="0"/>
        <w:pageBreakBefore w:val="0"/>
        <w:widowControl w:val="0"/>
        <w:numPr>
          <w:ilvl w:val="0"/>
          <w:numId w:val="251"/>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土地经营权人擅自改变土地的农业用途、弃耕抛荒连续两年以上、给土地造成严重损害或者严重破坏土地生态环境，承包方在合理期限内不解除土地经营权流转合同的，发包方有权要求终止土地经营权流转合同；</w:t>
      </w:r>
    </w:p>
    <w:p>
      <w:pPr>
        <w:pStyle w:val="25"/>
        <w:keepNext w:val="0"/>
        <w:keepLines w:val="0"/>
        <w:pageBreakBefore w:val="0"/>
        <w:widowControl w:val="0"/>
        <w:numPr>
          <w:ilvl w:val="0"/>
          <w:numId w:val="251"/>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承包期内，承包方死亡且无人继承的；</w:t>
      </w:r>
    </w:p>
    <w:p>
      <w:pPr>
        <w:pStyle w:val="25"/>
        <w:keepNext w:val="0"/>
        <w:keepLines w:val="0"/>
        <w:pageBreakBefore w:val="0"/>
        <w:widowControl w:val="0"/>
        <w:numPr>
          <w:ilvl w:val="0"/>
          <w:numId w:val="251"/>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承包期内，承包方进城落户，自愿交还承包地的；</w:t>
      </w:r>
    </w:p>
    <w:p>
      <w:pPr>
        <w:pStyle w:val="25"/>
        <w:keepNext w:val="0"/>
        <w:keepLines w:val="0"/>
        <w:pageBreakBefore w:val="0"/>
        <w:widowControl w:val="0"/>
        <w:numPr>
          <w:ilvl w:val="0"/>
          <w:numId w:val="251"/>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承包期内，妇女结婚，在新居住地取得承包地的或妇女离婚或者丧偶，在新居住地取得承包地的。</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449" w:name="第15条_土地征收补偿费用分配"/>
      <w:bookmarkEnd w:id="449"/>
      <w:r>
        <w:rPr>
          <w:rFonts w:hint="eastAsia" w:ascii="仿宋_GB2312" w:hAnsi="仿宋" w:eastAsia="仿宋_GB2312" w:cs="仿宋"/>
          <w:color w:val="000000"/>
          <w:sz w:val="28"/>
          <w:szCs w:val="28"/>
        </w:rPr>
        <w:t>第十五条  土地征收补偿费用分配</w:t>
      </w:r>
    </w:p>
    <w:p>
      <w:pPr>
        <w:pStyle w:val="25"/>
        <w:keepNext w:val="0"/>
        <w:keepLines w:val="0"/>
        <w:pageBreakBefore w:val="0"/>
        <w:widowControl w:val="0"/>
        <w:numPr>
          <w:ilvl w:val="0"/>
          <w:numId w:val="252"/>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承包地被依法征收，承包方有权获得发包方已经收到的地上附着物和青苗的补偿费；</w:t>
      </w:r>
    </w:p>
    <w:p>
      <w:pPr>
        <w:pStyle w:val="25"/>
        <w:keepNext w:val="0"/>
        <w:keepLines w:val="0"/>
        <w:pageBreakBefore w:val="0"/>
        <w:widowControl w:val="0"/>
        <w:numPr>
          <w:ilvl w:val="0"/>
          <w:numId w:val="252"/>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承包方已将土地经营权以出租、入股或者其他方式流转给第三人的，除当事人另有约定外，青苗补偿费归实际投入人所有，地上附着物补偿费归附着物所有人所有；</w:t>
      </w:r>
    </w:p>
    <w:p>
      <w:pPr>
        <w:pStyle w:val="25"/>
        <w:keepNext w:val="0"/>
        <w:keepLines w:val="0"/>
        <w:pageBreakBefore w:val="0"/>
        <w:widowControl w:val="0"/>
        <w:numPr>
          <w:ilvl w:val="0"/>
          <w:numId w:val="252"/>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承包地被依法征收，放弃统一安置的家庭承包方，有权获得发包方给付已经收到的安置补助费；</w:t>
      </w:r>
    </w:p>
    <w:p>
      <w:pPr>
        <w:pStyle w:val="25"/>
        <w:keepNext w:val="0"/>
        <w:keepLines w:val="0"/>
        <w:pageBreakBefore w:val="0"/>
        <w:widowControl w:val="0"/>
        <w:numPr>
          <w:ilvl w:val="0"/>
          <w:numId w:val="252"/>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农村集体经济组织或者村民委员会、村民小组，可以依照法律规定的民主议定程序，决定在本集体经济组织内部分配已经收到的土地补偿费。征地补偿安置方案确定时已经具有本集体经济组织成员资格的人，有权请求支付相应份额但已报全国人大常委会、国务院备案的地方性法规、自治条例和单行条例、地方政府规章对土地补偿费在农村集体经济组织内部的分配办法另有规定的除外。</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450" w:name="第16条_土地承包经营权继承纠纷"/>
      <w:bookmarkEnd w:id="450"/>
      <w:r>
        <w:rPr>
          <w:rFonts w:hint="eastAsia" w:ascii="仿宋_GB2312" w:hAnsi="仿宋" w:eastAsia="仿宋_GB2312" w:cs="仿宋"/>
          <w:color w:val="000000"/>
          <w:sz w:val="28"/>
          <w:szCs w:val="28"/>
        </w:rPr>
        <w:t>第十六条 土地承包经营权继承</w:t>
      </w:r>
    </w:p>
    <w:p>
      <w:pPr>
        <w:pStyle w:val="25"/>
        <w:keepNext w:val="0"/>
        <w:keepLines w:val="0"/>
        <w:pageBreakBefore w:val="0"/>
        <w:widowControl w:val="0"/>
        <w:numPr>
          <w:ilvl w:val="0"/>
          <w:numId w:val="253"/>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林地家庭承包中，承包方的继承人有权在承包期内继续承包。</w:t>
      </w:r>
    </w:p>
    <w:p>
      <w:pPr>
        <w:pStyle w:val="25"/>
        <w:keepNext w:val="0"/>
        <w:keepLines w:val="0"/>
        <w:pageBreakBefore w:val="0"/>
        <w:widowControl w:val="0"/>
        <w:numPr>
          <w:ilvl w:val="0"/>
          <w:numId w:val="253"/>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其他方式承包（指农村土地家庭承包之外的）中，承包方的继承人或者权利义务承受者有权在承包期内继续承包。</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451" w:name="第17条_土地承包业务操作提示"/>
      <w:bookmarkEnd w:id="451"/>
      <w:r>
        <w:rPr>
          <w:rFonts w:hint="eastAsia" w:ascii="仿宋_GB2312" w:hAnsi="仿宋" w:eastAsia="仿宋_GB2312" w:cs="仿宋"/>
          <w:color w:val="000000"/>
          <w:sz w:val="28"/>
          <w:szCs w:val="28"/>
        </w:rPr>
        <w:t>第十七条 土地承包法律业务操作提示</w:t>
      </w:r>
    </w:p>
    <w:p>
      <w:pPr>
        <w:pStyle w:val="25"/>
        <w:keepNext w:val="0"/>
        <w:keepLines w:val="0"/>
        <w:pageBreakBefore w:val="0"/>
        <w:widowControl w:val="0"/>
        <w:numPr>
          <w:ilvl w:val="0"/>
          <w:numId w:val="254"/>
        </w:numPr>
        <w:tabs>
          <w:tab w:val="left" w:pos="1313"/>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律师代理因征收集体所有的土地及其补偿发生的纠纷，应告知当事人该纠纷不属于农村土地承包仲裁委员会的受理范围，可通过行政复议或者诉讼等方式解决。</w:t>
      </w:r>
    </w:p>
    <w:p>
      <w:pPr>
        <w:pStyle w:val="25"/>
        <w:keepNext w:val="0"/>
        <w:keepLines w:val="0"/>
        <w:pageBreakBefore w:val="0"/>
        <w:widowControl w:val="0"/>
        <w:numPr>
          <w:ilvl w:val="0"/>
          <w:numId w:val="254"/>
        </w:numPr>
        <w:tabs>
          <w:tab w:val="left" w:pos="1313"/>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律师代理农村集体经济组织成员因未实际取得土地承包经营权提起民事诉讼的，应当告知当事人其向有关行政主管部门申请解决，而非提起民事诉讼。律师代理农村集体经济组织成员就用于分配的土地补偿费数额提起民事诉讼的，应告知当事人该情形不是人民法院民事案件受理情形，可以通过行政复议、行政诉讼解决。</w:t>
      </w:r>
    </w:p>
    <w:p>
      <w:pPr>
        <w:pStyle w:val="25"/>
        <w:keepNext w:val="0"/>
        <w:keepLines w:val="0"/>
        <w:pageBreakBefore w:val="0"/>
        <w:widowControl w:val="0"/>
        <w:numPr>
          <w:ilvl w:val="0"/>
          <w:numId w:val="254"/>
        </w:numPr>
        <w:tabs>
          <w:tab w:val="left" w:pos="1325"/>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律师代理承包合同纠纷案件时应注意承包合同中有关收回、调整承包地的约定，违反农村土地承包法第二十七条、第二十八条、第三十一条规定的，该约定无效。</w:t>
      </w:r>
    </w:p>
    <w:p>
      <w:pPr>
        <w:pStyle w:val="25"/>
        <w:keepNext w:val="0"/>
        <w:keepLines w:val="0"/>
        <w:pageBreakBefore w:val="0"/>
        <w:widowControl w:val="0"/>
        <w:numPr>
          <w:ilvl w:val="0"/>
          <w:numId w:val="254"/>
        </w:numPr>
        <w:tabs>
          <w:tab w:val="left" w:pos="1313"/>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律师接到当事人在收到农村土地承包仲裁委员会作出的裁决书后向人民法院提起请求撤销仲裁裁决的诉讼案件，首先要审查是否在收到农村土地承包仲裁委员会作出的裁决书 30 日内，其次在起诉时要就原纠纷提起诉讼。</w:t>
      </w:r>
    </w:p>
    <w:p>
      <w:pPr>
        <w:pStyle w:val="25"/>
        <w:keepNext w:val="0"/>
        <w:keepLines w:val="0"/>
        <w:pageBreakBefore w:val="0"/>
        <w:widowControl w:val="0"/>
        <w:numPr>
          <w:ilvl w:val="0"/>
          <w:numId w:val="254"/>
        </w:numPr>
        <w:tabs>
          <w:tab w:val="left" w:pos="1311"/>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承包方未经发包方同意，转让其土地承包经营权的， 转让合同无效。发包方无法定理由不同意或者拖延表态的除外。</w:t>
      </w:r>
    </w:p>
    <w:p>
      <w:pPr>
        <w:pStyle w:val="25"/>
        <w:keepNext w:val="0"/>
        <w:keepLines w:val="0"/>
        <w:pageBreakBefore w:val="0"/>
        <w:widowControl w:val="0"/>
        <w:numPr>
          <w:ilvl w:val="0"/>
          <w:numId w:val="254"/>
        </w:numPr>
        <w:tabs>
          <w:tab w:val="left" w:pos="1311"/>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承包方依法采取出租、入股或者其他方式流转土地经营权，发包方仅以该土地经营权流转合同未报其备案为由，请求确认合同无效的，不予支持。</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452" w:name="_bookmark12"/>
      <w:bookmarkEnd w:id="452"/>
      <w:bookmarkStart w:id="453" w:name="第18条_土地承包经营权取得的方式和途径"/>
      <w:bookmarkEnd w:id="453"/>
      <w:bookmarkStart w:id="454" w:name="（三）土地承包经营权流转业务操作指引"/>
      <w:bookmarkEnd w:id="454"/>
      <w:r>
        <w:rPr>
          <w:rFonts w:hint="eastAsia" w:ascii="仿宋_GB2312" w:hAnsi="仿宋" w:eastAsia="仿宋_GB2312" w:cs="仿宋"/>
          <w:color w:val="000000"/>
          <w:sz w:val="28"/>
          <w:szCs w:val="28"/>
        </w:rPr>
        <w:t>第十八条  土地承包经营权取得的方式和途径</w:t>
      </w:r>
    </w:p>
    <w:p>
      <w:pPr>
        <w:pStyle w:val="25"/>
        <w:keepNext w:val="0"/>
        <w:keepLines w:val="0"/>
        <w:pageBreakBefore w:val="0"/>
        <w:widowControl w:val="0"/>
        <w:numPr>
          <w:ilvl w:val="0"/>
          <w:numId w:val="0"/>
        </w:numPr>
        <w:tabs>
          <w:tab w:val="left" w:pos="1311"/>
        </w:tabs>
        <w:wordWrap/>
        <w:autoSpaceDE w:val="0"/>
        <w:autoSpaceDN w:val="0"/>
        <w:bidi w:val="0"/>
        <w:spacing w:line="500" w:lineRule="exact"/>
        <w:ind w:firstLine="562" w:firstLineChars="200"/>
        <w:jc w:val="both"/>
        <w:rPr>
          <w:rFonts w:hint="eastAsia" w:ascii="仿宋_GB2312" w:hAnsi="仿宋" w:eastAsia="仿宋_GB2312" w:cs="仿宋"/>
          <w:b/>
          <w:color w:val="000000"/>
          <w:sz w:val="28"/>
          <w:szCs w:val="28"/>
        </w:rPr>
      </w:pPr>
      <w:bookmarkStart w:id="455" w:name="18.1_原始取得"/>
      <w:bookmarkEnd w:id="455"/>
      <w:r>
        <w:rPr>
          <w:rFonts w:hint="eastAsia" w:ascii="仿宋_GB2312" w:hAnsi="仿宋" w:eastAsia="仿宋_GB2312" w:cs="仿宋"/>
          <w:b/>
          <w:color w:val="000000"/>
          <w:sz w:val="28"/>
          <w:szCs w:val="28"/>
        </w:rPr>
        <w:t>（一）原始取得</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原始取得主要指集体经济组织的成员或本集体经济组织以外的单位或个人，通过依法订立承包合同所取得的土地承包经营权。</w:t>
      </w:r>
    </w:p>
    <w:p>
      <w:pPr>
        <w:pStyle w:val="5"/>
        <w:keepNext w:val="0"/>
        <w:keepLines w:val="0"/>
        <w:pageBreakBefore w:val="0"/>
        <w:widowControl w:val="0"/>
        <w:tabs>
          <w:tab w:val="left" w:pos="1311"/>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bookmarkStart w:id="456" w:name="18.2_流转取得"/>
      <w:bookmarkEnd w:id="456"/>
      <w:r>
        <w:rPr>
          <w:rFonts w:hint="eastAsia" w:ascii="仿宋_GB2312" w:hAnsi="仿宋" w:eastAsia="仿宋_GB2312" w:cs="仿宋"/>
          <w:color w:val="000000"/>
          <w:sz w:val="28"/>
          <w:szCs w:val="28"/>
        </w:rPr>
        <w:t>（二）流转取得</w:t>
      </w:r>
    </w:p>
    <w:p>
      <w:pPr>
        <w:pStyle w:val="25"/>
        <w:keepNext w:val="0"/>
        <w:keepLines w:val="0"/>
        <w:pageBreakBefore w:val="0"/>
        <w:widowControl w:val="0"/>
        <w:numPr>
          <w:ilvl w:val="0"/>
          <w:numId w:val="0"/>
        </w:numPr>
        <w:tabs>
          <w:tab w:val="left" w:pos="1382"/>
        </w:tabs>
        <w:wordWrap/>
        <w:autoSpaceDE w:val="0"/>
        <w:autoSpaceDN w:val="0"/>
        <w:bidi w:val="0"/>
        <w:spacing w:line="500" w:lineRule="exact"/>
        <w:ind w:firstLine="562" w:firstLineChars="200"/>
        <w:jc w:val="both"/>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1.一般方式为：转包、转让、出租、入股、互换。</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eastAsia="zh-CN"/>
        </w:rPr>
        <w:t>（1）</w:t>
      </w:r>
      <w:r>
        <w:rPr>
          <w:rFonts w:hint="eastAsia" w:ascii="仿宋_GB2312" w:hAnsi="仿宋" w:eastAsia="仿宋_GB2312" w:cs="仿宋"/>
          <w:color w:val="000000"/>
          <w:sz w:val="28"/>
          <w:szCs w:val="28"/>
        </w:rPr>
        <w:t>转包，是指承包方将承包的土地转承包给新承包方，原承包方为转包人，新承包方为受让人。土地转包后由受让人继续享受和履行承包合同规定的权利和义务，并向转包人提供一定数量的转包费。转包需经发包方备案，但不必经发包方同意。转包只适用于家庭承包的情形。</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eastAsia="zh-CN"/>
        </w:rPr>
        <w:t>（2）</w:t>
      </w:r>
      <w:r>
        <w:rPr>
          <w:rFonts w:hint="eastAsia" w:ascii="仿宋_GB2312" w:hAnsi="仿宋" w:eastAsia="仿宋_GB2312" w:cs="仿宋"/>
          <w:color w:val="000000"/>
          <w:sz w:val="28"/>
          <w:szCs w:val="28"/>
        </w:rPr>
        <w:t>出租，是指承包方将土地租赁给其他公民、法人或者其他组织使用，由承包方向出租方交纳租金，只需发包方备案即可进行。承包方在一定期限内将部分或者全部土地承包经营权转包或者出租给他人后，转包人或者出租人并不退出土地承包合同，承包方与发包方的关系不变，由承包方直接向发包方承担义务。</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eastAsia="zh-CN"/>
        </w:rPr>
        <w:t>（3）</w:t>
      </w:r>
      <w:r>
        <w:rPr>
          <w:rFonts w:hint="eastAsia" w:ascii="仿宋_GB2312" w:hAnsi="仿宋" w:eastAsia="仿宋_GB2312" w:cs="仿宋"/>
          <w:color w:val="000000"/>
          <w:sz w:val="28"/>
          <w:szCs w:val="28"/>
        </w:rPr>
        <w:t>互换，承包方之间为方便耕种或者各自需要，可以对属于同一集体经济组织的土地承包经营权进行互换。互换是一种互易合同。互易后，互换的双方取得对方的土地承包经营权，丧失自己的原土地承包经营权。双方农户达成互换合同后，还应与发包人变更原土地承包合同。双方互换的，不必经发包人同意，但互换合同应经发包人备案。互换未经登记，不得对抗善意第三人。入股，是指将农地量化股份，把土地承包经营权转化为股权，实行股份合作制经营的一种流转方式。</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eastAsia="zh-CN"/>
        </w:rPr>
        <w:t>（4）</w:t>
      </w:r>
      <w:r>
        <w:rPr>
          <w:rFonts w:hint="eastAsia" w:ascii="仿宋_GB2312" w:hAnsi="仿宋" w:eastAsia="仿宋_GB2312" w:cs="仿宋"/>
          <w:color w:val="000000"/>
          <w:sz w:val="28"/>
          <w:szCs w:val="28"/>
        </w:rPr>
        <w:t>转让，是指土地承包经营权人将其拥有的未到期的土地承包经营权以一定的方式和条件有偿转移给其他公民、法人或者其他组织的一种农村土地流转方式。土地承包经营权的受让对象可以是本集体经济组织的成员，也可以是本集体经济组织之外的个人和单位，本集体经济组织成员有优先受让权。转让后，土地承包经营权发生转移，由受让人向发包方履行义务，原承包方完全退出承包经营关系。通过家庭承包获取的土地承包经营权转让的，必须经发包方同意。转让未经登记的，不得对抗善意第三人。</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eastAsia="zh-CN"/>
        </w:rPr>
        <w:t>（5）</w:t>
      </w:r>
      <w:r>
        <w:rPr>
          <w:rFonts w:hint="eastAsia" w:ascii="仿宋_GB2312" w:hAnsi="仿宋" w:eastAsia="仿宋_GB2312" w:cs="仿宋"/>
          <w:color w:val="000000"/>
          <w:sz w:val="28"/>
          <w:szCs w:val="28"/>
        </w:rPr>
        <w:t>土地承包经营权抵押，是指承包方为了确保自己或者他人债务的履行，将土地不转移占有而提供相应担保。</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eastAsia="zh-CN"/>
        </w:rPr>
        <w:t>（6）</w:t>
      </w:r>
      <w:r>
        <w:rPr>
          <w:rFonts w:hint="eastAsia" w:ascii="仿宋_GB2312" w:hAnsi="仿宋" w:eastAsia="仿宋_GB2312" w:cs="仿宋"/>
          <w:color w:val="000000"/>
          <w:sz w:val="28"/>
          <w:szCs w:val="28"/>
        </w:rPr>
        <w:t>继承，是指“四荒”土地承包经营权以及林地家庭承包经营权， 承包方死亡的，由其继承人依法在承包期内继承土地承包经营权。</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eastAsia="zh-CN"/>
        </w:rPr>
        <w:t>（7）</w:t>
      </w:r>
      <w:r>
        <w:rPr>
          <w:rFonts w:hint="eastAsia" w:ascii="仿宋_GB2312" w:hAnsi="仿宋" w:eastAsia="仿宋_GB2312" w:cs="仿宋"/>
          <w:color w:val="000000"/>
          <w:sz w:val="28"/>
          <w:szCs w:val="28"/>
        </w:rPr>
        <w:t>代耕，是指承包方在承包期内依法将承包地委托给第三人(即代耕方)暂时代为经营的行为。</w:t>
      </w:r>
    </w:p>
    <w:p>
      <w:pPr>
        <w:pStyle w:val="25"/>
        <w:keepNext w:val="0"/>
        <w:keepLines w:val="0"/>
        <w:pageBreakBefore w:val="0"/>
        <w:widowControl w:val="0"/>
        <w:numPr>
          <w:ilvl w:val="0"/>
          <w:numId w:val="0"/>
        </w:numPr>
        <w:tabs>
          <w:tab w:val="left" w:pos="1382"/>
        </w:tabs>
        <w:wordWrap/>
        <w:autoSpaceDE w:val="0"/>
        <w:autoSpaceDN w:val="0"/>
        <w:bidi w:val="0"/>
        <w:spacing w:line="500" w:lineRule="exact"/>
        <w:ind w:firstLine="562" w:firstLineChars="200"/>
        <w:jc w:val="both"/>
        <w:rPr>
          <w:rFonts w:hint="eastAsia" w:ascii="仿宋_GB2312" w:hAnsi="仿宋" w:eastAsia="仿宋_GB2312" w:cs="仿宋"/>
          <w:b/>
          <w:bCs/>
          <w:color w:val="000000"/>
          <w:sz w:val="28"/>
          <w:szCs w:val="28"/>
        </w:rPr>
      </w:pPr>
      <w:r>
        <w:rPr>
          <w:rFonts w:hint="eastAsia" w:ascii="仿宋_GB2312" w:hAnsi="仿宋" w:eastAsia="仿宋_GB2312" w:cs="仿宋"/>
          <w:b/>
          <w:bCs/>
          <w:color w:val="000000"/>
          <w:sz w:val="28"/>
          <w:szCs w:val="28"/>
        </w:rPr>
        <w:t>（三）其他方式的承包</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荒山、荒沟、荒丘、荒滩等可以直接通过招标、拍卖、公开协商等方式实行承包经营。通过招标、拍卖、公开协商的方式承包农村土地</w:t>
      </w:r>
      <w:r>
        <w:rPr>
          <w:rFonts w:hint="eastAsia" w:ascii="仿宋_GB2312" w:hAnsi="仿宋" w:eastAsia="仿宋_GB2312" w:cs="仿宋"/>
          <w:color w:val="000000"/>
          <w:sz w:val="28"/>
          <w:szCs w:val="28"/>
          <w:lang w:eastAsia="zh-CN"/>
        </w:rPr>
        <w:t>，</w:t>
      </w:r>
      <w:r>
        <w:rPr>
          <w:rFonts w:hint="eastAsia" w:ascii="仿宋_GB2312" w:hAnsi="仿宋" w:eastAsia="仿宋_GB2312" w:cs="仿宋"/>
          <w:color w:val="000000"/>
          <w:sz w:val="28"/>
          <w:szCs w:val="28"/>
        </w:rPr>
        <w:t>经依法登记取得权属证书的，可以依法采取出租、入股、抵押的方式流转土地经营权。将整片土地承包经营权作价折股，分配给本集体经济组织成员后，再实行承包经营或者股份合作经营。</w:t>
      </w:r>
      <w:bookmarkStart w:id="457" w:name="第19条_土地承包经营权的期限"/>
      <w:bookmarkEnd w:id="457"/>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第十九条  土地承包经营权的期限</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土地承包分为耕地、草地、林地承包。耕地的承包期为三十年。草地的承包期为三十年至五十年。林地的承包期为三十年至七十年。</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458" w:name="第20条_土地承包经营权业务操作提示"/>
      <w:bookmarkEnd w:id="458"/>
      <w:r>
        <w:rPr>
          <w:rFonts w:hint="eastAsia" w:ascii="仿宋_GB2312" w:hAnsi="仿宋" w:eastAsia="仿宋_GB2312" w:cs="仿宋"/>
          <w:color w:val="000000"/>
          <w:sz w:val="28"/>
          <w:szCs w:val="28"/>
        </w:rPr>
        <w:t>第二十条  土地承包经营权律师业务操作提示</w:t>
      </w:r>
    </w:p>
    <w:p>
      <w:pPr>
        <w:pStyle w:val="25"/>
        <w:keepNext w:val="0"/>
        <w:keepLines w:val="0"/>
        <w:pageBreakBefore w:val="0"/>
        <w:widowControl w:val="0"/>
        <w:numPr>
          <w:ilvl w:val="0"/>
          <w:numId w:val="0"/>
        </w:numPr>
        <w:tabs>
          <w:tab w:val="left" w:pos="1311"/>
        </w:tabs>
        <w:wordWrap/>
        <w:autoSpaceDE w:val="0"/>
        <w:autoSpaceDN w:val="0"/>
        <w:bidi w:val="0"/>
        <w:spacing w:line="500" w:lineRule="exact"/>
        <w:ind w:firstLine="562" w:firstLineChars="200"/>
        <w:jc w:val="both"/>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（一）律师代理土地承包经营权纠纷时的注意事项</w:t>
      </w:r>
    </w:p>
    <w:p>
      <w:pPr>
        <w:pStyle w:val="25"/>
        <w:keepNext w:val="0"/>
        <w:keepLines w:val="0"/>
        <w:pageBreakBefore w:val="0"/>
        <w:widowControl w:val="0"/>
        <w:numPr>
          <w:ilvl w:val="0"/>
          <w:numId w:val="0"/>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1.土地承包经营权互换、转让不以登记为生效要件，未经登记，不得对抗善意第三人。</w:t>
      </w:r>
    </w:p>
    <w:p>
      <w:pPr>
        <w:pStyle w:val="25"/>
        <w:keepNext w:val="0"/>
        <w:keepLines w:val="0"/>
        <w:pageBreakBefore w:val="0"/>
        <w:widowControl w:val="0"/>
        <w:numPr>
          <w:ilvl w:val="0"/>
          <w:numId w:val="0"/>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2.无论采取何种方式取得农村土地承包经营权，均要签订承包合同且土地承包经营权自土地承包经营权合同生效时设立。</w:t>
      </w:r>
    </w:p>
    <w:p>
      <w:pPr>
        <w:pStyle w:val="25"/>
        <w:keepNext w:val="0"/>
        <w:keepLines w:val="0"/>
        <w:pageBreakBefore w:val="0"/>
        <w:widowControl w:val="0"/>
        <w:numPr>
          <w:ilvl w:val="0"/>
          <w:numId w:val="0"/>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3.承包方的继承人请求在承包期内继续承包的仅限于林地承包和“四荒地”承包。</w:t>
      </w:r>
    </w:p>
    <w:p>
      <w:pPr>
        <w:pStyle w:val="25"/>
        <w:keepNext w:val="0"/>
        <w:keepLines w:val="0"/>
        <w:pageBreakBefore w:val="0"/>
        <w:widowControl w:val="0"/>
        <w:numPr>
          <w:ilvl w:val="0"/>
          <w:numId w:val="0"/>
        </w:numPr>
        <w:tabs>
          <w:tab w:val="left" w:pos="200"/>
          <w:tab w:val="left" w:pos="1205"/>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4.当事人对出租地流转期限没有约定或者约定不明的，根据《民法典》第五百一十条（即合同生效后，当事人就质量、价款或者报酬、履行地点等内容没有约定或约定不明确的，可以协议补充；不能达成补充协议的，按照相关条款或者交易习惯确定。）仍不能确定的，视为不定期租赁，当事人可以随时解除合同，但是应当在合理期限之前通知对方。除当事人另有约定或者属于林地承包经营外，承包地交回的时间应当在农作物收获期结束后或者下一耕种期开始前。</w:t>
      </w:r>
    </w:p>
    <w:p>
      <w:pPr>
        <w:pStyle w:val="25"/>
        <w:keepNext w:val="0"/>
        <w:keepLines w:val="0"/>
        <w:pageBreakBefore w:val="0"/>
        <w:widowControl w:val="0"/>
        <w:numPr>
          <w:ilvl w:val="0"/>
          <w:numId w:val="0"/>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5.流转期限为五年以上的土地经营权，自流转合同生效时设立。且土地经营权登记不是合同生效要件，而是对抗善意第三人的条件。</w:t>
      </w:r>
    </w:p>
    <w:p>
      <w:pPr>
        <w:pStyle w:val="25"/>
        <w:keepNext w:val="0"/>
        <w:keepLines w:val="0"/>
        <w:pageBreakBefore w:val="0"/>
        <w:widowControl w:val="0"/>
        <w:numPr>
          <w:ilvl w:val="0"/>
          <w:numId w:val="0"/>
        </w:numPr>
        <w:tabs>
          <w:tab w:val="left" w:pos="1313"/>
        </w:tabs>
        <w:wordWrap/>
        <w:autoSpaceDE w:val="0"/>
        <w:autoSpaceDN w:val="0"/>
        <w:bidi w:val="0"/>
        <w:spacing w:line="500" w:lineRule="exact"/>
        <w:ind w:firstLine="562" w:firstLineChars="200"/>
        <w:jc w:val="both"/>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（二）</w:t>
      </w:r>
      <w:r>
        <w:rPr>
          <w:rFonts w:hint="eastAsia" w:ascii="仿宋_GB2312" w:hAnsi="仿宋" w:eastAsia="仿宋_GB2312" w:cs="仿宋"/>
          <w:color w:val="000000"/>
          <w:sz w:val="28"/>
          <w:szCs w:val="28"/>
        </w:rPr>
        <w:t>《民法典》增加规定了除“四荒地”之外土地承包经营权可以采取入股的方式流转，同时删除了“耕地”不能抵押的情形，体现了土地“三权”分置中经营权的作用。</w:t>
      </w:r>
    </w:p>
    <w:p>
      <w:pPr>
        <w:pStyle w:val="25"/>
        <w:keepNext w:val="0"/>
        <w:keepLines w:val="0"/>
        <w:pageBreakBefore w:val="0"/>
        <w:widowControl w:val="0"/>
        <w:numPr>
          <w:ilvl w:val="0"/>
          <w:numId w:val="0"/>
        </w:numPr>
        <w:tabs>
          <w:tab w:val="left" w:pos="1313"/>
        </w:tabs>
        <w:wordWrap/>
        <w:autoSpaceDE w:val="0"/>
        <w:autoSpaceDN w:val="0"/>
        <w:bidi w:val="0"/>
        <w:spacing w:line="500" w:lineRule="exact"/>
        <w:ind w:firstLine="562" w:firstLineChars="200"/>
        <w:jc w:val="both"/>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（三）</w:t>
      </w:r>
      <w:r>
        <w:rPr>
          <w:rFonts w:hint="eastAsia" w:ascii="仿宋_GB2312" w:hAnsi="仿宋" w:eastAsia="仿宋_GB2312" w:cs="仿宋"/>
          <w:color w:val="000000"/>
          <w:sz w:val="28"/>
          <w:szCs w:val="28"/>
        </w:rPr>
        <w:t>本集体经济组织成员在承包费、承包期限等主要内容相同的条件下，一般情况下具有优先承包权。</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但在发包方将农村土地发包给本集体经济组织以外的组织或者个人，已经法律规定的民主议定程序通过，并由乡（镇）人民政府批准后主张优先承包的除外。</w:t>
      </w:r>
    </w:p>
    <w:p>
      <w:pPr>
        <w:pStyle w:val="25"/>
        <w:keepNext w:val="0"/>
        <w:keepLines w:val="0"/>
        <w:pageBreakBefore w:val="0"/>
        <w:widowControl w:val="0"/>
        <w:numPr>
          <w:ilvl w:val="0"/>
          <w:numId w:val="0"/>
        </w:numPr>
        <w:tabs>
          <w:tab w:val="left" w:pos="1313"/>
        </w:tabs>
        <w:wordWrap/>
        <w:autoSpaceDE w:val="0"/>
        <w:autoSpaceDN w:val="0"/>
        <w:bidi w:val="0"/>
        <w:spacing w:line="500" w:lineRule="exact"/>
        <w:ind w:firstLine="562" w:firstLineChars="200"/>
        <w:jc w:val="both"/>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（四）</w:t>
      </w:r>
      <w:r>
        <w:rPr>
          <w:rFonts w:hint="eastAsia" w:ascii="仿宋_GB2312" w:hAnsi="仿宋" w:eastAsia="仿宋_GB2312" w:cs="仿宋"/>
          <w:color w:val="000000"/>
          <w:sz w:val="28"/>
          <w:szCs w:val="28"/>
        </w:rPr>
        <w:t>发包方就同一土地签订两个以上承包合同，承包方均主张取得土地经营权的，按照下列情形，分别处理：</w:t>
      </w:r>
    </w:p>
    <w:p>
      <w:pPr>
        <w:pStyle w:val="25"/>
        <w:keepNext w:val="0"/>
        <w:keepLines w:val="0"/>
        <w:pageBreakBefore w:val="0"/>
        <w:widowControl w:val="0"/>
        <w:numPr>
          <w:ilvl w:val="0"/>
          <w:numId w:val="0"/>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1.已经依法登记的承包方，取得土地经营权；</w:t>
      </w:r>
    </w:p>
    <w:p>
      <w:pPr>
        <w:pStyle w:val="25"/>
        <w:keepNext w:val="0"/>
        <w:keepLines w:val="0"/>
        <w:pageBreakBefore w:val="0"/>
        <w:widowControl w:val="0"/>
        <w:numPr>
          <w:ilvl w:val="0"/>
          <w:numId w:val="0"/>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2.均未依法登记的，生效在先合同的承包方取得土地经营权；</w:t>
      </w:r>
    </w:p>
    <w:p>
      <w:pPr>
        <w:pStyle w:val="25"/>
        <w:keepNext w:val="0"/>
        <w:keepLines w:val="0"/>
        <w:pageBreakBefore w:val="0"/>
        <w:widowControl w:val="0"/>
        <w:numPr>
          <w:ilvl w:val="0"/>
          <w:numId w:val="0"/>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3.依前两项规定无法确定的，已经根据承包合同合法占有使用承包地的人取得土地经营权，但争议发生后一方强行先占承包地的行为和事实，不得作为确定土地经营权的依据。</w:t>
      </w:r>
    </w:p>
    <w:p>
      <w:pPr>
        <w:pStyle w:val="25"/>
        <w:keepNext w:val="0"/>
        <w:keepLines w:val="0"/>
        <w:pageBreakBefore w:val="0"/>
        <w:widowControl w:val="0"/>
        <w:numPr>
          <w:ilvl w:val="0"/>
          <w:numId w:val="0"/>
        </w:numPr>
        <w:tabs>
          <w:tab w:val="left" w:pos="1313"/>
        </w:tabs>
        <w:wordWrap/>
        <w:autoSpaceDE w:val="0"/>
        <w:autoSpaceDN w:val="0"/>
        <w:bidi w:val="0"/>
        <w:spacing w:line="500" w:lineRule="exact"/>
        <w:ind w:firstLine="562" w:firstLineChars="200"/>
        <w:jc w:val="both"/>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（五）</w:t>
      </w:r>
      <w:r>
        <w:rPr>
          <w:rFonts w:hint="eastAsia" w:ascii="仿宋_GB2312" w:hAnsi="仿宋" w:eastAsia="仿宋_GB2312" w:cs="仿宋"/>
          <w:color w:val="000000"/>
          <w:sz w:val="28"/>
          <w:szCs w:val="28"/>
        </w:rPr>
        <w:t>对提高土地生产能力的投入，对方当事人有权请求承包方给予相应补偿的。</w:t>
      </w:r>
    </w:p>
    <w:p>
      <w:pPr>
        <w:pStyle w:val="25"/>
        <w:keepNext w:val="0"/>
        <w:keepLines w:val="0"/>
        <w:pageBreakBefore w:val="0"/>
        <w:widowControl w:val="0"/>
        <w:numPr>
          <w:ilvl w:val="0"/>
          <w:numId w:val="0"/>
        </w:numPr>
        <w:tabs>
          <w:tab w:val="left" w:pos="1311"/>
        </w:tabs>
        <w:wordWrap/>
        <w:autoSpaceDE w:val="0"/>
        <w:autoSpaceDN w:val="0"/>
        <w:bidi w:val="0"/>
        <w:spacing w:line="500" w:lineRule="exact"/>
        <w:ind w:firstLine="562" w:firstLineChars="200"/>
        <w:jc w:val="both"/>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（六）</w:t>
      </w:r>
      <w:r>
        <w:rPr>
          <w:rFonts w:hint="eastAsia" w:ascii="仿宋_GB2312" w:hAnsi="仿宋" w:eastAsia="仿宋_GB2312" w:cs="仿宋"/>
          <w:color w:val="000000"/>
          <w:sz w:val="28"/>
          <w:szCs w:val="28"/>
        </w:rPr>
        <w:t>审查土地经营权流流转合同时应注意审查以下事项：</w:t>
      </w:r>
    </w:p>
    <w:p>
      <w:pPr>
        <w:pStyle w:val="25"/>
        <w:keepNext w:val="0"/>
        <w:keepLines w:val="0"/>
        <w:pageBreakBefore w:val="0"/>
        <w:widowControl w:val="0"/>
        <w:numPr>
          <w:ilvl w:val="0"/>
          <w:numId w:val="255"/>
        </w:numPr>
        <w:tabs>
          <w:tab w:val="left" w:pos="1382"/>
        </w:tabs>
        <w:wordWrap/>
        <w:autoSpaceDE w:val="0"/>
        <w:autoSpaceDN w:val="0"/>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是否改变土地所有权性质和土地的农业用途；</w:t>
      </w:r>
    </w:p>
    <w:p>
      <w:pPr>
        <w:pStyle w:val="25"/>
        <w:keepNext w:val="0"/>
        <w:keepLines w:val="0"/>
        <w:pageBreakBefore w:val="0"/>
        <w:widowControl w:val="0"/>
        <w:numPr>
          <w:ilvl w:val="0"/>
          <w:numId w:val="255"/>
        </w:numPr>
        <w:tabs>
          <w:tab w:val="left" w:pos="1382"/>
        </w:tabs>
        <w:wordWrap/>
        <w:autoSpaceDE w:val="0"/>
        <w:autoSpaceDN w:val="0"/>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是否会破坏农业综合生产能力和农业生态环境；</w:t>
      </w:r>
    </w:p>
    <w:p>
      <w:pPr>
        <w:pStyle w:val="25"/>
        <w:keepNext w:val="0"/>
        <w:keepLines w:val="0"/>
        <w:pageBreakBefore w:val="0"/>
        <w:widowControl w:val="0"/>
        <w:numPr>
          <w:ilvl w:val="0"/>
          <w:numId w:val="255"/>
        </w:numPr>
        <w:tabs>
          <w:tab w:val="left" w:pos="1382"/>
        </w:tabs>
        <w:wordWrap/>
        <w:autoSpaceDE w:val="0"/>
        <w:autoSpaceDN w:val="0"/>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流转的期限是否超过承包期的剩余期限；</w:t>
      </w:r>
    </w:p>
    <w:p>
      <w:pPr>
        <w:pStyle w:val="25"/>
        <w:keepNext w:val="0"/>
        <w:keepLines w:val="0"/>
        <w:pageBreakBefore w:val="0"/>
        <w:widowControl w:val="0"/>
        <w:numPr>
          <w:ilvl w:val="0"/>
          <w:numId w:val="255"/>
        </w:numPr>
        <w:tabs>
          <w:tab w:val="left" w:pos="1382"/>
        </w:tabs>
        <w:wordWrap/>
        <w:autoSpaceDE w:val="0"/>
        <w:autoSpaceDN w:val="0"/>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受让方是否具有农业经营能力或者资质。</w:t>
      </w:r>
    </w:p>
    <w:p>
      <w:pPr>
        <w:pStyle w:val="2"/>
        <w:keepNext w:val="0"/>
        <w:keepLines w:val="0"/>
        <w:pageBreakBefore w:val="0"/>
        <w:widowControl w:val="0"/>
        <w:wordWrap/>
        <w:bidi w:val="0"/>
        <w:spacing w:before="0" w:after="0" w:line="500" w:lineRule="exact"/>
        <w:jc w:val="center"/>
        <w:rPr>
          <w:rFonts w:hint="eastAsia" w:ascii="楷体" w:hAnsi="楷体" w:eastAsia="楷体" w:cs="楷体"/>
          <w:color w:val="000000"/>
          <w:sz w:val="28"/>
          <w:szCs w:val="28"/>
        </w:rPr>
      </w:pPr>
      <w:bookmarkStart w:id="459" w:name="_bookmark13"/>
      <w:bookmarkEnd w:id="459"/>
      <w:bookmarkStart w:id="460" w:name="第二节_农业金融信贷业务操作指引"/>
      <w:bookmarkEnd w:id="460"/>
      <w:bookmarkStart w:id="461" w:name="_Toc9151"/>
      <w:r>
        <w:rPr>
          <w:rFonts w:hint="eastAsia" w:ascii="楷体" w:hAnsi="楷体" w:eastAsia="楷体" w:cs="楷体"/>
          <w:color w:val="000000"/>
          <w:sz w:val="28"/>
          <w:szCs w:val="28"/>
        </w:rPr>
        <w:t>第二节  农业金融信贷律师业务操作指引</w:t>
      </w:r>
      <w:bookmarkEnd w:id="461"/>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462" w:name="（一）农业金融信贷的主要模式、概念和特点"/>
      <w:bookmarkEnd w:id="462"/>
      <w:bookmarkStart w:id="463" w:name="_bookmark14"/>
      <w:bookmarkEnd w:id="463"/>
      <w:r>
        <w:rPr>
          <w:rFonts w:hint="eastAsia" w:ascii="仿宋_GB2312" w:hAnsi="仿宋" w:eastAsia="仿宋_GB2312" w:cs="仿宋"/>
          <w:color w:val="000000"/>
          <w:sz w:val="28"/>
          <w:szCs w:val="28"/>
        </w:rPr>
        <w:t>第二十一条  农业金融信贷的主要模式</w:t>
      </w:r>
    </w:p>
    <w:p>
      <w:pPr>
        <w:pStyle w:val="25"/>
        <w:keepNext w:val="0"/>
        <w:keepLines w:val="0"/>
        <w:pageBreakBefore w:val="0"/>
        <w:widowControl w:val="0"/>
        <w:numPr>
          <w:ilvl w:val="0"/>
          <w:numId w:val="256"/>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“政银担”模式；</w:t>
      </w:r>
    </w:p>
    <w:p>
      <w:pPr>
        <w:pStyle w:val="25"/>
        <w:keepNext w:val="0"/>
        <w:keepLines w:val="0"/>
        <w:pageBreakBefore w:val="0"/>
        <w:widowControl w:val="0"/>
        <w:numPr>
          <w:ilvl w:val="0"/>
          <w:numId w:val="256"/>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“银行贷款+风险补偿金”模式；</w:t>
      </w:r>
    </w:p>
    <w:p>
      <w:pPr>
        <w:pStyle w:val="25"/>
        <w:keepNext w:val="0"/>
        <w:keepLines w:val="0"/>
        <w:pageBreakBefore w:val="0"/>
        <w:widowControl w:val="0"/>
        <w:numPr>
          <w:ilvl w:val="0"/>
          <w:numId w:val="256"/>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“政银保”模式；</w:t>
      </w:r>
    </w:p>
    <w:p>
      <w:pPr>
        <w:pStyle w:val="25"/>
        <w:keepNext w:val="0"/>
        <w:keepLines w:val="0"/>
        <w:pageBreakBefore w:val="0"/>
        <w:widowControl w:val="0"/>
        <w:numPr>
          <w:ilvl w:val="0"/>
          <w:numId w:val="256"/>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“两权抵押贷款”模式；</w:t>
      </w:r>
    </w:p>
    <w:p>
      <w:pPr>
        <w:pStyle w:val="25"/>
        <w:keepNext w:val="0"/>
        <w:keepLines w:val="0"/>
        <w:pageBreakBefore w:val="0"/>
        <w:widowControl w:val="0"/>
        <w:numPr>
          <w:ilvl w:val="0"/>
          <w:numId w:val="256"/>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“农村信用社小额信贷”模式；</w:t>
      </w:r>
    </w:p>
    <w:p>
      <w:pPr>
        <w:pStyle w:val="25"/>
        <w:keepNext w:val="0"/>
        <w:keepLines w:val="0"/>
        <w:pageBreakBefore w:val="0"/>
        <w:widowControl w:val="0"/>
        <w:numPr>
          <w:ilvl w:val="0"/>
          <w:numId w:val="256"/>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“农产品价格指数保险”模式；</w:t>
      </w:r>
    </w:p>
    <w:p>
      <w:pPr>
        <w:pStyle w:val="25"/>
        <w:keepNext w:val="0"/>
        <w:keepLines w:val="0"/>
        <w:pageBreakBefore w:val="0"/>
        <w:widowControl w:val="0"/>
        <w:numPr>
          <w:ilvl w:val="0"/>
          <w:numId w:val="256"/>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“农机融资租赁”模式；</w:t>
      </w:r>
    </w:p>
    <w:p>
      <w:pPr>
        <w:pStyle w:val="25"/>
        <w:keepNext w:val="0"/>
        <w:keepLines w:val="0"/>
        <w:pageBreakBefore w:val="0"/>
        <w:widowControl w:val="0"/>
        <w:numPr>
          <w:ilvl w:val="0"/>
          <w:numId w:val="256"/>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“双基联动合作贷款”模式；</w:t>
      </w:r>
    </w:p>
    <w:p>
      <w:pPr>
        <w:pStyle w:val="25"/>
        <w:keepNext w:val="0"/>
        <w:keepLines w:val="0"/>
        <w:pageBreakBefore w:val="0"/>
        <w:widowControl w:val="0"/>
        <w:numPr>
          <w:ilvl w:val="0"/>
          <w:numId w:val="256"/>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“互联网+农村金融”模式；</w:t>
      </w:r>
    </w:p>
    <w:p>
      <w:pPr>
        <w:pStyle w:val="25"/>
        <w:keepNext w:val="0"/>
        <w:keepLines w:val="0"/>
        <w:pageBreakBefore w:val="0"/>
        <w:widowControl w:val="0"/>
        <w:numPr>
          <w:ilvl w:val="0"/>
          <w:numId w:val="256"/>
        </w:numPr>
        <w:tabs>
          <w:tab w:val="left" w:pos="1523"/>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“农业领域PPP”模式。</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464" w:name="第22条_农业金融信贷主要模式的概念及特点"/>
      <w:bookmarkEnd w:id="464"/>
      <w:r>
        <w:rPr>
          <w:rFonts w:hint="eastAsia" w:ascii="仿宋_GB2312" w:hAnsi="仿宋" w:eastAsia="仿宋_GB2312" w:cs="仿宋"/>
          <w:color w:val="000000"/>
          <w:sz w:val="28"/>
          <w:szCs w:val="28"/>
        </w:rPr>
        <w:t>第二十二条  农业金融信贷主要模式的概念及特点</w:t>
      </w:r>
    </w:p>
    <w:p>
      <w:pPr>
        <w:pStyle w:val="25"/>
        <w:keepNext w:val="0"/>
        <w:keepLines w:val="0"/>
        <w:pageBreakBefore w:val="0"/>
        <w:widowControl w:val="0"/>
        <w:numPr>
          <w:ilvl w:val="0"/>
          <w:numId w:val="0"/>
        </w:numPr>
        <w:tabs>
          <w:tab w:val="left" w:pos="1172"/>
        </w:tabs>
        <w:wordWrap/>
        <w:autoSpaceDE w:val="0"/>
        <w:autoSpaceDN w:val="0"/>
        <w:bidi w:val="0"/>
        <w:spacing w:line="500" w:lineRule="exact"/>
        <w:ind w:firstLine="562" w:firstLineChars="200"/>
        <w:jc w:val="both"/>
        <w:rPr>
          <w:rFonts w:hint="eastAsia" w:ascii="仿宋_GB2312" w:hAnsi="仿宋" w:eastAsia="仿宋_GB2312" w:cs="仿宋"/>
          <w:b/>
          <w:color w:val="000000"/>
          <w:sz w:val="28"/>
          <w:szCs w:val="28"/>
        </w:rPr>
      </w:pPr>
      <w:bookmarkStart w:id="465" w:name="22.1“政银担”模式"/>
      <w:bookmarkEnd w:id="465"/>
      <w:r>
        <w:rPr>
          <w:rFonts w:hint="eastAsia" w:ascii="仿宋_GB2312" w:hAnsi="仿宋" w:eastAsia="仿宋_GB2312" w:cs="仿宋"/>
          <w:b/>
          <w:color w:val="000000"/>
          <w:sz w:val="28"/>
          <w:szCs w:val="28"/>
        </w:rPr>
        <w:t>（一）“政银担”模式</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政府、银行、担保机构充分发挥各自优势，密切分工协作，政府扶持或直接出资设立担保公司，对符合条件的农业信贷项目予以担保，银行再发放贷款。</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该模式的主要特点：</w:t>
      </w:r>
    </w:p>
    <w:p>
      <w:pPr>
        <w:pStyle w:val="7"/>
        <w:keepNext w:val="0"/>
        <w:keepLines w:val="0"/>
        <w:pageBreakBefore w:val="0"/>
        <w:widowControl w:val="0"/>
        <w:numPr>
          <w:ilvl w:val="0"/>
          <w:numId w:val="257"/>
        </w:numPr>
        <w:wordWrap/>
        <w:bidi w:val="0"/>
        <w:spacing w:beforeLines="0" w:after="0" w:afterLines="0" w:line="500" w:lineRule="exact"/>
        <w:ind w:left="0"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促进金融资本落地。将量大面广、额度小的农业信贷需求汇集起来，将银行与农户“一对多”的关系变成与担保公司的“一对一”，拉近了供求双方的距离，降低交易成本。</w:t>
      </w:r>
    </w:p>
    <w:p>
      <w:pPr>
        <w:pStyle w:val="7"/>
        <w:keepNext w:val="0"/>
        <w:keepLines w:val="0"/>
        <w:pageBreakBefore w:val="0"/>
        <w:widowControl w:val="0"/>
        <w:numPr>
          <w:ilvl w:val="0"/>
          <w:numId w:val="257"/>
        </w:numPr>
        <w:wordWrap/>
        <w:bidi w:val="0"/>
        <w:spacing w:beforeLines="0" w:after="0" w:afterLines="0" w:line="500" w:lineRule="exact"/>
        <w:ind w:left="0"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充分发挥财政资金的杠杆作用。政府通过对担保公司的资本金注入，担保公司能够放大实现其净资产最高 15 倍的杠杆效应。</w:t>
      </w:r>
    </w:p>
    <w:p>
      <w:pPr>
        <w:pStyle w:val="7"/>
        <w:keepNext w:val="0"/>
        <w:keepLines w:val="0"/>
        <w:pageBreakBefore w:val="0"/>
        <w:widowControl w:val="0"/>
        <w:numPr>
          <w:ilvl w:val="0"/>
          <w:numId w:val="257"/>
        </w:numPr>
        <w:wordWrap/>
        <w:bidi w:val="0"/>
        <w:spacing w:beforeLines="0" w:after="0" w:afterLines="0" w:line="500" w:lineRule="exact"/>
        <w:ind w:left="0"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农业信贷风险可控。将信贷风险从银行部分转移到了担保公司，分散了农业信贷风险，调动了金融机构的积极性。同时政府对政策性农业担保公司给“政银担”模式给予持续的担保费用补助和风险代偿补助，确保了可持续运营。</w:t>
      </w:r>
    </w:p>
    <w:p>
      <w:pPr>
        <w:pStyle w:val="5"/>
        <w:keepNext w:val="0"/>
        <w:keepLines w:val="0"/>
        <w:pageBreakBefore w:val="0"/>
        <w:widowControl w:val="0"/>
        <w:tabs>
          <w:tab w:val="left" w:pos="1311"/>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bookmarkStart w:id="466" w:name="22.2_“银行贷款+风险补偿金”模式"/>
      <w:bookmarkEnd w:id="466"/>
      <w:r>
        <w:rPr>
          <w:rFonts w:hint="eastAsia" w:ascii="仿宋_GB2312" w:hAnsi="仿宋" w:eastAsia="仿宋_GB2312" w:cs="仿宋"/>
          <w:color w:val="000000"/>
          <w:sz w:val="28"/>
          <w:szCs w:val="28"/>
        </w:rPr>
        <w:t>（二）“银行贷款+风险补偿金”模式</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由财政资金建立风险补偿金，合作银行向新型农业经营主体提供无担保、无抵押、低成本、简便快捷的贷款，当出现不良贷款时，按约定程序和比例从财政风险补偿金中予以补偿。</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该模式的主要特点：</w:t>
      </w:r>
    </w:p>
    <w:p>
      <w:pPr>
        <w:pStyle w:val="7"/>
        <w:keepNext w:val="0"/>
        <w:keepLines w:val="0"/>
        <w:pageBreakBefore w:val="0"/>
        <w:widowControl w:val="0"/>
        <w:numPr>
          <w:ilvl w:val="0"/>
          <w:numId w:val="258"/>
        </w:numPr>
        <w:wordWrap/>
        <w:bidi w:val="0"/>
        <w:spacing w:beforeLines="0" w:after="0" w:afterLines="0" w:line="500" w:lineRule="exact"/>
        <w:ind w:left="0" w:firstLine="602"/>
        <w:jc w:val="both"/>
        <w:rPr>
          <w:rFonts w:hint="eastAsia" w:ascii="仿宋_GB2312" w:hAnsi="仿宋" w:eastAsia="仿宋_GB2312" w:cs="仿宋"/>
          <w:color w:val="000000"/>
          <w:sz w:val="28"/>
          <w:szCs w:val="28"/>
          <w:lang w:eastAsia="zh-CN"/>
        </w:rPr>
      </w:pPr>
      <w:r>
        <w:rPr>
          <w:rFonts w:hint="eastAsia" w:ascii="仿宋_GB2312" w:hAnsi="仿宋" w:eastAsia="仿宋_GB2312" w:cs="仿宋"/>
          <w:color w:val="000000"/>
          <w:sz w:val="28"/>
          <w:szCs w:val="28"/>
        </w:rPr>
        <w:t>弱化了对农民财产抵押物的要求，调动了银行积极性，有效提升了贷款可得性</w:t>
      </w:r>
      <w:r>
        <w:rPr>
          <w:rFonts w:hint="eastAsia" w:ascii="仿宋_GB2312" w:hAnsi="仿宋" w:eastAsia="仿宋_GB2312" w:cs="仿宋"/>
          <w:color w:val="000000"/>
          <w:sz w:val="28"/>
          <w:szCs w:val="28"/>
          <w:lang w:eastAsia="zh-CN"/>
        </w:rPr>
        <w:t>；</w:t>
      </w:r>
    </w:p>
    <w:p>
      <w:pPr>
        <w:pStyle w:val="7"/>
        <w:keepNext w:val="0"/>
        <w:keepLines w:val="0"/>
        <w:pageBreakBefore w:val="0"/>
        <w:widowControl w:val="0"/>
        <w:numPr>
          <w:ilvl w:val="0"/>
          <w:numId w:val="258"/>
        </w:numPr>
        <w:wordWrap/>
        <w:bidi w:val="0"/>
        <w:spacing w:beforeLines="0" w:after="0" w:afterLines="0" w:line="500" w:lineRule="exact"/>
        <w:ind w:left="0"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发挥了财政资金“小钱撬大钱”的作用，可按照政府风险补偿金最高 10 倍的杠杆撬动银行贷款。</w:t>
      </w:r>
    </w:p>
    <w:p>
      <w:pPr>
        <w:pStyle w:val="5"/>
        <w:keepNext w:val="0"/>
        <w:keepLines w:val="0"/>
        <w:pageBreakBefore w:val="0"/>
        <w:widowControl w:val="0"/>
        <w:tabs>
          <w:tab w:val="left" w:pos="1311"/>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bookmarkStart w:id="467" w:name="22.3_“政银保”模式"/>
      <w:bookmarkEnd w:id="467"/>
      <w:r>
        <w:rPr>
          <w:rFonts w:hint="eastAsia" w:ascii="仿宋_GB2312" w:hAnsi="仿宋" w:eastAsia="仿宋_GB2312" w:cs="仿宋"/>
          <w:color w:val="000000"/>
          <w:sz w:val="28"/>
          <w:szCs w:val="28"/>
        </w:rPr>
        <w:t>（三）“政银保”模式</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保险公司为贷款主体提供保证保险，银行提供贷款，政府提供保费补贴、贴息补贴和风险补偿支持，通过财政、信贷、保险三轮驱动，共同扶持新型农业经营主体发展。</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该模式的主要特点：</w:t>
      </w:r>
    </w:p>
    <w:p>
      <w:pPr>
        <w:pStyle w:val="7"/>
        <w:keepNext w:val="0"/>
        <w:keepLines w:val="0"/>
        <w:pageBreakBefore w:val="0"/>
        <w:widowControl w:val="0"/>
        <w:numPr>
          <w:ilvl w:val="0"/>
          <w:numId w:val="259"/>
        </w:numPr>
        <w:wordWrap/>
        <w:bidi w:val="0"/>
        <w:spacing w:beforeLines="0" w:after="0" w:afterLines="0" w:line="500" w:lineRule="exact"/>
        <w:ind w:left="0" w:firstLine="602"/>
        <w:jc w:val="both"/>
        <w:rPr>
          <w:rFonts w:hint="eastAsia" w:ascii="仿宋_GB2312" w:hAnsi="仿宋" w:eastAsia="仿宋_GB2312" w:cs="仿宋"/>
          <w:color w:val="000000"/>
          <w:sz w:val="28"/>
          <w:szCs w:val="28"/>
          <w:lang w:eastAsia="zh-CN"/>
        </w:rPr>
      </w:pPr>
      <w:r>
        <w:rPr>
          <w:rFonts w:hint="eastAsia" w:ascii="仿宋_GB2312" w:hAnsi="仿宋" w:eastAsia="仿宋_GB2312" w:cs="仿宋"/>
          <w:color w:val="000000"/>
          <w:sz w:val="28"/>
          <w:szCs w:val="28"/>
        </w:rPr>
        <w:t>发挥了保证保险的增信作用</w:t>
      </w:r>
      <w:r>
        <w:rPr>
          <w:rFonts w:hint="eastAsia" w:ascii="仿宋_GB2312" w:hAnsi="仿宋" w:eastAsia="仿宋_GB2312" w:cs="仿宋"/>
          <w:color w:val="000000"/>
          <w:sz w:val="28"/>
          <w:szCs w:val="28"/>
          <w:lang w:eastAsia="zh-CN"/>
        </w:rPr>
        <w:t>；</w:t>
      </w:r>
    </w:p>
    <w:p>
      <w:pPr>
        <w:pStyle w:val="7"/>
        <w:keepNext w:val="0"/>
        <w:keepLines w:val="0"/>
        <w:pageBreakBefore w:val="0"/>
        <w:widowControl w:val="0"/>
        <w:numPr>
          <w:ilvl w:val="0"/>
          <w:numId w:val="259"/>
        </w:numPr>
        <w:wordWrap/>
        <w:bidi w:val="0"/>
        <w:spacing w:beforeLines="0" w:after="0" w:afterLines="0" w:line="500" w:lineRule="exact"/>
        <w:ind w:left="0" w:firstLine="602"/>
        <w:jc w:val="both"/>
        <w:rPr>
          <w:rFonts w:hint="eastAsia" w:ascii="仿宋_GB2312" w:hAnsi="仿宋" w:eastAsia="仿宋_GB2312" w:cs="仿宋"/>
          <w:color w:val="000000"/>
          <w:sz w:val="28"/>
          <w:szCs w:val="28"/>
          <w:lang w:eastAsia="zh-CN"/>
        </w:rPr>
      </w:pPr>
      <w:r>
        <w:rPr>
          <w:rFonts w:hint="eastAsia" w:ascii="仿宋_GB2312" w:hAnsi="仿宋" w:eastAsia="仿宋_GB2312" w:cs="仿宋"/>
          <w:color w:val="000000"/>
          <w:sz w:val="28"/>
          <w:szCs w:val="28"/>
        </w:rPr>
        <w:t>弱化了对抵质押物的要求，农民可以获得快捷优惠的贷款</w:t>
      </w:r>
      <w:r>
        <w:rPr>
          <w:rFonts w:hint="eastAsia" w:ascii="仿宋_GB2312" w:hAnsi="仿宋" w:eastAsia="仿宋_GB2312" w:cs="仿宋"/>
          <w:color w:val="000000"/>
          <w:sz w:val="28"/>
          <w:szCs w:val="28"/>
          <w:lang w:eastAsia="zh-CN"/>
        </w:rPr>
        <w:t>；</w:t>
      </w:r>
    </w:p>
    <w:p>
      <w:pPr>
        <w:pStyle w:val="7"/>
        <w:keepNext w:val="0"/>
        <w:keepLines w:val="0"/>
        <w:pageBreakBefore w:val="0"/>
        <w:widowControl w:val="0"/>
        <w:numPr>
          <w:ilvl w:val="0"/>
          <w:numId w:val="259"/>
        </w:numPr>
        <w:wordWrap/>
        <w:bidi w:val="0"/>
        <w:spacing w:beforeLines="0" w:after="0" w:afterLines="0" w:line="500" w:lineRule="exact"/>
        <w:ind w:left="0"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实现了政府、银行、保险机构风险共担。</w:t>
      </w:r>
    </w:p>
    <w:p>
      <w:pPr>
        <w:pStyle w:val="5"/>
        <w:keepNext w:val="0"/>
        <w:keepLines w:val="0"/>
        <w:pageBreakBefore w:val="0"/>
        <w:widowControl w:val="0"/>
        <w:tabs>
          <w:tab w:val="left" w:pos="1311"/>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bookmarkStart w:id="468" w:name="22.4_“两权抵押贷款”模式"/>
      <w:bookmarkEnd w:id="468"/>
      <w:r>
        <w:rPr>
          <w:rFonts w:hint="eastAsia" w:ascii="仿宋_GB2312" w:hAnsi="仿宋" w:eastAsia="仿宋_GB2312" w:cs="仿宋"/>
          <w:color w:val="000000"/>
          <w:sz w:val="28"/>
          <w:szCs w:val="28"/>
        </w:rPr>
        <w:t>（四）“两权抵押贷款”模式</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农村承包土地的经营权抵押贷款和农民住房财产权抵押贷款。其中，农村承包土地的经营权抵押贷款，是以承包土地的经营权作抵押、由银行向农户或农业经营主体发放贷款。农民住房财产权抵押贷款，是在不改变宅基地所有权性质的前提下，以农民住房所有权及所占宅基地使用权作为抵押、由银行向住房所有人发放贷款。</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该模式的主要特点：</w:t>
      </w:r>
    </w:p>
    <w:p>
      <w:pPr>
        <w:pStyle w:val="7"/>
        <w:keepNext w:val="0"/>
        <w:keepLines w:val="0"/>
        <w:pageBreakBefore w:val="0"/>
        <w:widowControl w:val="0"/>
        <w:numPr>
          <w:ilvl w:val="0"/>
          <w:numId w:val="260"/>
        </w:numPr>
        <w:wordWrap/>
        <w:bidi w:val="0"/>
        <w:spacing w:beforeLines="0" w:after="0" w:afterLines="0" w:line="500" w:lineRule="exact"/>
        <w:ind w:left="0" w:firstLine="602"/>
        <w:jc w:val="both"/>
        <w:rPr>
          <w:rFonts w:hint="eastAsia" w:ascii="仿宋_GB2312" w:hAnsi="仿宋" w:eastAsia="仿宋_GB2312" w:cs="仿宋"/>
          <w:color w:val="000000"/>
          <w:sz w:val="28"/>
          <w:szCs w:val="28"/>
          <w:lang w:eastAsia="zh-CN"/>
        </w:rPr>
      </w:pPr>
      <w:r>
        <w:rPr>
          <w:rFonts w:hint="eastAsia" w:ascii="仿宋_GB2312" w:hAnsi="仿宋" w:eastAsia="仿宋_GB2312" w:cs="仿宋"/>
          <w:color w:val="000000"/>
          <w:sz w:val="28"/>
          <w:szCs w:val="28"/>
        </w:rPr>
        <w:t>赋予了“两权”抵押融资功能，创新了“两权”抵押贷款产品和服务，有利于盘活农村存量资产、提高农村土地资源利用效率、促进农村经济和农村金融发展</w:t>
      </w:r>
      <w:r>
        <w:rPr>
          <w:rFonts w:hint="eastAsia" w:ascii="仿宋_GB2312" w:hAnsi="仿宋" w:eastAsia="仿宋_GB2312" w:cs="仿宋"/>
          <w:color w:val="000000"/>
          <w:sz w:val="28"/>
          <w:szCs w:val="28"/>
          <w:lang w:eastAsia="zh-CN"/>
        </w:rPr>
        <w:t>；</w:t>
      </w:r>
    </w:p>
    <w:p>
      <w:pPr>
        <w:pStyle w:val="7"/>
        <w:keepNext w:val="0"/>
        <w:keepLines w:val="0"/>
        <w:pageBreakBefore w:val="0"/>
        <w:widowControl w:val="0"/>
        <w:numPr>
          <w:ilvl w:val="0"/>
          <w:numId w:val="260"/>
        </w:numPr>
        <w:wordWrap/>
        <w:bidi w:val="0"/>
        <w:spacing w:beforeLines="0" w:after="0" w:afterLines="0" w:line="500" w:lineRule="exact"/>
        <w:ind w:left="0" w:firstLine="602"/>
        <w:jc w:val="both"/>
        <w:rPr>
          <w:rFonts w:hint="eastAsia" w:ascii="仿宋_GB2312" w:hAnsi="仿宋" w:eastAsia="仿宋_GB2312" w:cs="仿宋"/>
          <w:color w:val="000000"/>
          <w:sz w:val="28"/>
          <w:szCs w:val="28"/>
          <w:lang w:eastAsia="zh-CN"/>
        </w:rPr>
      </w:pPr>
      <w:r>
        <w:rPr>
          <w:rFonts w:hint="eastAsia" w:ascii="仿宋_GB2312" w:hAnsi="仿宋" w:eastAsia="仿宋_GB2312" w:cs="仿宋"/>
          <w:color w:val="000000"/>
          <w:sz w:val="28"/>
          <w:szCs w:val="28"/>
        </w:rPr>
        <w:t>试点地区政府承担主体责任，有效推进农村承包土地经营权的确权登记颁证、农村产权流转交易平台搭建、集体建设用地基准地价制定、抵押物价值评估、抵押物处置等工作</w:t>
      </w:r>
      <w:r>
        <w:rPr>
          <w:rFonts w:hint="eastAsia" w:ascii="仿宋_GB2312" w:hAnsi="仿宋" w:eastAsia="仿宋_GB2312" w:cs="仿宋"/>
          <w:color w:val="000000"/>
          <w:sz w:val="28"/>
          <w:szCs w:val="28"/>
          <w:lang w:eastAsia="zh-CN"/>
        </w:rPr>
        <w:t>；</w:t>
      </w:r>
    </w:p>
    <w:p>
      <w:pPr>
        <w:pStyle w:val="7"/>
        <w:keepNext w:val="0"/>
        <w:keepLines w:val="0"/>
        <w:pageBreakBefore w:val="0"/>
        <w:widowControl w:val="0"/>
        <w:numPr>
          <w:ilvl w:val="0"/>
          <w:numId w:val="260"/>
        </w:numPr>
        <w:wordWrap/>
        <w:bidi w:val="0"/>
        <w:spacing w:beforeLines="0" w:after="0" w:afterLines="0" w:line="500" w:lineRule="exact"/>
        <w:ind w:left="0"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注重保障农民合法权益，坚持不改变公有制性质、不突破耕地红线、不层层下达规模指标，用于抵押的承包土地没有权属争议，且不能超过农民承包土地的剩余年限。</w:t>
      </w:r>
    </w:p>
    <w:p>
      <w:pPr>
        <w:pStyle w:val="5"/>
        <w:keepNext w:val="0"/>
        <w:keepLines w:val="0"/>
        <w:pageBreakBefore w:val="0"/>
        <w:widowControl w:val="0"/>
        <w:tabs>
          <w:tab w:val="left" w:pos="1172"/>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bookmarkStart w:id="469" w:name="22.5“农村信用社小额信贷”模式"/>
      <w:bookmarkEnd w:id="469"/>
      <w:r>
        <w:rPr>
          <w:rFonts w:hint="eastAsia" w:ascii="仿宋_GB2312" w:hAnsi="仿宋" w:eastAsia="仿宋_GB2312" w:cs="仿宋"/>
          <w:color w:val="000000"/>
          <w:sz w:val="28"/>
          <w:szCs w:val="28"/>
        </w:rPr>
        <w:t>（五）“农村信用社小额信贷”模式</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农村信用社以农户的信誉为基础，在核定的额度和期限内向农户发放的无需抵押、担保的贷款。</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该模式的主要特点：</w:t>
      </w:r>
    </w:p>
    <w:p>
      <w:pPr>
        <w:pStyle w:val="7"/>
        <w:keepNext w:val="0"/>
        <w:keepLines w:val="0"/>
        <w:pageBreakBefore w:val="0"/>
        <w:widowControl w:val="0"/>
        <w:numPr>
          <w:ilvl w:val="0"/>
          <w:numId w:val="261"/>
        </w:numPr>
        <w:wordWrap/>
        <w:bidi w:val="0"/>
        <w:spacing w:beforeLines="0" w:after="0" w:afterLines="0" w:line="500" w:lineRule="exact"/>
        <w:ind w:left="0"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贷款受益者多为量大面广、贷款金额较小的普通农户</w:t>
      </w:r>
      <w:r>
        <w:rPr>
          <w:rFonts w:hint="eastAsia" w:ascii="仿宋_GB2312" w:hAnsi="仿宋" w:eastAsia="仿宋_GB2312" w:cs="仿宋"/>
          <w:color w:val="000000"/>
          <w:sz w:val="28"/>
          <w:szCs w:val="28"/>
          <w:lang w:eastAsia="zh-CN"/>
        </w:rPr>
        <w:t>；</w:t>
      </w:r>
    </w:p>
    <w:p>
      <w:pPr>
        <w:pStyle w:val="7"/>
        <w:keepNext w:val="0"/>
        <w:keepLines w:val="0"/>
        <w:pageBreakBefore w:val="0"/>
        <w:widowControl w:val="0"/>
        <w:numPr>
          <w:ilvl w:val="0"/>
          <w:numId w:val="261"/>
        </w:numPr>
        <w:wordWrap/>
        <w:bidi w:val="0"/>
        <w:spacing w:beforeLines="0" w:after="0" w:afterLines="0" w:line="500" w:lineRule="exact"/>
        <w:ind w:left="0" w:firstLine="602"/>
        <w:jc w:val="both"/>
        <w:rPr>
          <w:rFonts w:hint="eastAsia" w:ascii="仿宋_GB2312" w:hAnsi="仿宋" w:eastAsia="仿宋_GB2312" w:cs="仿宋"/>
          <w:color w:val="000000"/>
          <w:sz w:val="28"/>
          <w:szCs w:val="28"/>
          <w:lang w:eastAsia="zh-CN"/>
        </w:rPr>
      </w:pPr>
      <w:r>
        <w:rPr>
          <w:rFonts w:hint="eastAsia" w:ascii="仿宋_GB2312" w:hAnsi="仿宋" w:eastAsia="仿宋_GB2312" w:cs="仿宋"/>
          <w:color w:val="000000"/>
          <w:sz w:val="28"/>
          <w:szCs w:val="28"/>
        </w:rPr>
        <w:t>贷款主要靠信用，不需要抵押物</w:t>
      </w:r>
      <w:r>
        <w:rPr>
          <w:rFonts w:hint="eastAsia" w:ascii="仿宋_GB2312" w:hAnsi="仿宋" w:eastAsia="仿宋_GB2312" w:cs="仿宋"/>
          <w:color w:val="000000"/>
          <w:sz w:val="28"/>
          <w:szCs w:val="28"/>
          <w:lang w:eastAsia="zh-CN"/>
        </w:rPr>
        <w:t>；</w:t>
      </w:r>
    </w:p>
    <w:p>
      <w:pPr>
        <w:pStyle w:val="7"/>
        <w:keepNext w:val="0"/>
        <w:keepLines w:val="0"/>
        <w:pageBreakBefore w:val="0"/>
        <w:widowControl w:val="0"/>
        <w:numPr>
          <w:ilvl w:val="0"/>
          <w:numId w:val="261"/>
        </w:numPr>
        <w:wordWrap/>
        <w:bidi w:val="0"/>
        <w:spacing w:beforeLines="0" w:after="0" w:afterLines="0" w:line="500" w:lineRule="exact"/>
        <w:ind w:left="0"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实行一次核定、余额控制、随用随贷、周转使用，期限灵活，手续简便。</w:t>
      </w:r>
    </w:p>
    <w:p>
      <w:pPr>
        <w:pStyle w:val="5"/>
        <w:keepNext w:val="0"/>
        <w:keepLines w:val="0"/>
        <w:pageBreakBefore w:val="0"/>
        <w:widowControl w:val="0"/>
        <w:tabs>
          <w:tab w:val="left" w:pos="1172"/>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bookmarkStart w:id="470" w:name="22.6“农产品价格指数保险”模式"/>
      <w:bookmarkEnd w:id="470"/>
      <w:r>
        <w:rPr>
          <w:rFonts w:hint="eastAsia" w:ascii="仿宋_GB2312" w:hAnsi="仿宋" w:eastAsia="仿宋_GB2312" w:cs="仿宋"/>
          <w:color w:val="000000"/>
          <w:sz w:val="28"/>
          <w:szCs w:val="28"/>
        </w:rPr>
        <w:t>（六）“农产品价格指数保险”模式</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农业生产经营者因市场价格大幅波动、农产品价格低于目标价格造成的损失给予经济赔偿的一种产品模式创新。</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该模式的主要特点：</w:t>
      </w:r>
    </w:p>
    <w:p>
      <w:pPr>
        <w:pStyle w:val="7"/>
        <w:keepNext w:val="0"/>
        <w:keepLines w:val="0"/>
        <w:pageBreakBefore w:val="0"/>
        <w:widowControl w:val="0"/>
        <w:numPr>
          <w:ilvl w:val="0"/>
          <w:numId w:val="262"/>
        </w:numPr>
        <w:wordWrap/>
        <w:bidi w:val="0"/>
        <w:spacing w:beforeLines="0" w:after="0" w:afterLines="0" w:line="500" w:lineRule="exact"/>
        <w:ind w:firstLine="602"/>
        <w:jc w:val="both"/>
        <w:rPr>
          <w:rFonts w:hint="eastAsia" w:ascii="仿宋_GB2312" w:hAnsi="仿宋" w:eastAsia="仿宋_GB2312" w:cs="仿宋"/>
          <w:color w:val="000000"/>
          <w:sz w:val="28"/>
          <w:szCs w:val="28"/>
          <w:lang w:eastAsia="zh-CN"/>
        </w:rPr>
      </w:pPr>
      <w:r>
        <w:rPr>
          <w:rFonts w:hint="eastAsia" w:ascii="仿宋_GB2312" w:hAnsi="仿宋" w:eastAsia="仿宋_GB2312" w:cs="仿宋"/>
          <w:color w:val="000000"/>
          <w:sz w:val="28"/>
          <w:szCs w:val="28"/>
        </w:rPr>
        <w:t>将农产品生产的市场风险纳入农业保险保障范畴，拓宽了保险服务领域，促进了农业生产和农产品市场价格基本稳定，保障了农民利益，对当前农业生产自然风险保障形成了有益补充</w:t>
      </w:r>
      <w:r>
        <w:rPr>
          <w:rFonts w:hint="eastAsia" w:ascii="仿宋_GB2312" w:hAnsi="仿宋" w:eastAsia="仿宋_GB2312" w:cs="仿宋"/>
          <w:color w:val="000000"/>
          <w:sz w:val="28"/>
          <w:szCs w:val="28"/>
          <w:lang w:eastAsia="zh-CN"/>
        </w:rPr>
        <w:t>；</w:t>
      </w:r>
    </w:p>
    <w:p>
      <w:pPr>
        <w:pStyle w:val="7"/>
        <w:keepNext w:val="0"/>
        <w:keepLines w:val="0"/>
        <w:pageBreakBefore w:val="0"/>
        <w:widowControl w:val="0"/>
        <w:numPr>
          <w:ilvl w:val="0"/>
          <w:numId w:val="262"/>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通过探索推广农产品价格指数保险，可以逐步向收入保险过渡，有助于实现农业保险从保成本向保收入的转变。</w:t>
      </w:r>
    </w:p>
    <w:p>
      <w:pPr>
        <w:pStyle w:val="5"/>
        <w:keepNext w:val="0"/>
        <w:keepLines w:val="0"/>
        <w:pageBreakBefore w:val="0"/>
        <w:widowControl w:val="0"/>
        <w:tabs>
          <w:tab w:val="left" w:pos="1172"/>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bookmarkStart w:id="471" w:name="22.7“农机融资租赁”模式"/>
      <w:bookmarkEnd w:id="471"/>
      <w:r>
        <w:rPr>
          <w:rFonts w:hint="eastAsia" w:ascii="仿宋_GB2312" w:hAnsi="仿宋" w:eastAsia="仿宋_GB2312" w:cs="仿宋"/>
          <w:color w:val="000000"/>
          <w:sz w:val="28"/>
          <w:szCs w:val="28"/>
        </w:rPr>
        <w:t>（七）“农机融资租赁”模式</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融资(金融)租赁公司以租赁综合服务商的角色将承租人、银行、经销商以及政府的各种资源实施链接和整合，承租人(农机大户、农机合作社)交纳一定的首付金就可独立使用机械设备，剩余租金与利息分期偿付，全款付清后农机具所有权再转移到承租人。</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该模式的主要特点：让农民由“直接购买”变为“先租后买”，大幅度减轻一次性投入压力，缓解大型农机具购机难问题。</w:t>
      </w:r>
    </w:p>
    <w:p>
      <w:pPr>
        <w:pStyle w:val="5"/>
        <w:keepNext w:val="0"/>
        <w:keepLines w:val="0"/>
        <w:pageBreakBefore w:val="0"/>
        <w:widowControl w:val="0"/>
        <w:tabs>
          <w:tab w:val="left" w:pos="1172"/>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bookmarkStart w:id="472" w:name="22.8“双基联动合作贷款”模式"/>
      <w:bookmarkEnd w:id="472"/>
      <w:r>
        <w:rPr>
          <w:rFonts w:hint="eastAsia" w:ascii="仿宋_GB2312" w:hAnsi="仿宋" w:eastAsia="仿宋_GB2312" w:cs="仿宋"/>
          <w:color w:val="000000"/>
          <w:sz w:val="28"/>
          <w:szCs w:val="28"/>
        </w:rPr>
        <w:t>（八）“双基联动合作贷款”模式</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基层银行业机构与农牧社区基层党组织发挥各自优势，加强合作，共同完成对农牧户和城镇居民的信用评级、贷款发放及贷款管理。</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该模式的主要特点：</w:t>
      </w:r>
    </w:p>
    <w:p>
      <w:pPr>
        <w:pStyle w:val="7"/>
        <w:keepNext w:val="0"/>
        <w:keepLines w:val="0"/>
        <w:pageBreakBefore w:val="0"/>
        <w:widowControl w:val="0"/>
        <w:numPr>
          <w:ilvl w:val="0"/>
          <w:numId w:val="263"/>
        </w:numPr>
        <w:wordWrap/>
        <w:bidi w:val="0"/>
        <w:spacing w:beforeLines="0" w:after="0" w:afterLines="0" w:line="500" w:lineRule="exact"/>
        <w:ind w:firstLine="602"/>
        <w:jc w:val="both"/>
        <w:rPr>
          <w:rFonts w:hint="eastAsia" w:ascii="仿宋_GB2312" w:hAnsi="仿宋" w:eastAsia="仿宋_GB2312" w:cs="仿宋"/>
          <w:color w:val="000000"/>
          <w:sz w:val="28"/>
          <w:szCs w:val="28"/>
          <w:lang w:eastAsia="zh-CN"/>
        </w:rPr>
      </w:pPr>
      <w:r>
        <w:rPr>
          <w:rFonts w:hint="eastAsia" w:ascii="仿宋_GB2312" w:hAnsi="仿宋" w:eastAsia="仿宋_GB2312" w:cs="仿宋"/>
          <w:color w:val="000000"/>
          <w:sz w:val="28"/>
          <w:szCs w:val="28"/>
        </w:rPr>
        <w:t>搭建了一个平台，即通过依托基层党组织，搭建为农牧户提供基础金融服务的新平台</w:t>
      </w:r>
      <w:r>
        <w:rPr>
          <w:rFonts w:hint="eastAsia" w:ascii="仿宋_GB2312" w:hAnsi="仿宋" w:eastAsia="仿宋_GB2312" w:cs="仿宋"/>
          <w:color w:val="000000"/>
          <w:sz w:val="28"/>
          <w:szCs w:val="28"/>
          <w:lang w:eastAsia="zh-CN"/>
        </w:rPr>
        <w:t>；</w:t>
      </w:r>
    </w:p>
    <w:p>
      <w:pPr>
        <w:pStyle w:val="7"/>
        <w:keepNext w:val="0"/>
        <w:keepLines w:val="0"/>
        <w:pageBreakBefore w:val="0"/>
        <w:widowControl w:val="0"/>
        <w:numPr>
          <w:ilvl w:val="0"/>
          <w:numId w:val="263"/>
        </w:numPr>
        <w:wordWrap/>
        <w:bidi w:val="0"/>
        <w:spacing w:beforeLines="0" w:after="0" w:afterLines="0" w:line="500" w:lineRule="exact"/>
        <w:ind w:firstLine="602"/>
        <w:jc w:val="both"/>
        <w:rPr>
          <w:rFonts w:hint="eastAsia" w:ascii="仿宋_GB2312" w:hAnsi="仿宋" w:eastAsia="仿宋_GB2312" w:cs="仿宋"/>
          <w:color w:val="000000"/>
          <w:sz w:val="28"/>
          <w:szCs w:val="28"/>
          <w:lang w:eastAsia="zh-CN"/>
        </w:rPr>
      </w:pPr>
      <w:r>
        <w:rPr>
          <w:rFonts w:hint="eastAsia" w:ascii="仿宋_GB2312" w:hAnsi="仿宋" w:eastAsia="仿宋_GB2312" w:cs="仿宋"/>
          <w:color w:val="000000"/>
          <w:sz w:val="28"/>
          <w:szCs w:val="28"/>
        </w:rPr>
        <w:t>发挥了双重优势，即发挥基层党组织的信息、组织、行政资源优势与基层银行乡镇机构的资金、技术和风险管理优势，促进优势对接和整合</w:t>
      </w:r>
      <w:r>
        <w:rPr>
          <w:rFonts w:hint="eastAsia" w:ascii="仿宋_GB2312" w:hAnsi="仿宋" w:eastAsia="仿宋_GB2312" w:cs="仿宋"/>
          <w:color w:val="000000"/>
          <w:sz w:val="28"/>
          <w:szCs w:val="28"/>
          <w:lang w:eastAsia="zh-CN"/>
        </w:rPr>
        <w:t>；</w:t>
      </w:r>
    </w:p>
    <w:p>
      <w:pPr>
        <w:pStyle w:val="7"/>
        <w:keepNext w:val="0"/>
        <w:keepLines w:val="0"/>
        <w:pageBreakBefore w:val="0"/>
        <w:widowControl w:val="0"/>
        <w:numPr>
          <w:ilvl w:val="0"/>
          <w:numId w:val="263"/>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实现了多方共赢，即通过“双基联动”，使基层党组织服务农牧民有了新抓手，银行开展基层金融服务有了新平台，农村基础金融服务有了新突破，实现了加强基层党组织建设、发展普惠金融、振兴农村经济、增加农民收入多方共赢。</w:t>
      </w:r>
    </w:p>
    <w:p>
      <w:pPr>
        <w:pStyle w:val="5"/>
        <w:keepNext w:val="0"/>
        <w:keepLines w:val="0"/>
        <w:pageBreakBefore w:val="0"/>
        <w:widowControl w:val="0"/>
        <w:tabs>
          <w:tab w:val="left" w:pos="1172"/>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bookmarkStart w:id="473" w:name="22.9“互联网+农村金融”模式"/>
      <w:bookmarkEnd w:id="473"/>
      <w:r>
        <w:rPr>
          <w:rFonts w:hint="eastAsia" w:ascii="仿宋_GB2312" w:hAnsi="仿宋" w:eastAsia="仿宋_GB2312" w:cs="仿宋"/>
          <w:color w:val="000000"/>
          <w:sz w:val="28"/>
          <w:szCs w:val="28"/>
        </w:rPr>
        <w:t>（九）“互联网+农村金融”模式</w:t>
      </w:r>
    </w:p>
    <w:p>
      <w:pPr>
        <w:pStyle w:val="7"/>
        <w:keepNext w:val="0"/>
        <w:keepLines w:val="0"/>
        <w:pageBreakBefore w:val="0"/>
        <w:widowControl w:val="0"/>
        <w:kinsoku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金融机构、产业资本等以互联网为载体，利用大数据、云计算、物联网等新技术，打破传统金融模式的时间、空间与成本约束，提升农户信贷可得性。</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该模式的主要特点：</w:t>
      </w:r>
    </w:p>
    <w:p>
      <w:pPr>
        <w:pStyle w:val="7"/>
        <w:keepNext w:val="0"/>
        <w:keepLines w:val="0"/>
        <w:pageBreakBefore w:val="0"/>
        <w:widowControl w:val="0"/>
        <w:numPr>
          <w:ilvl w:val="0"/>
          <w:numId w:val="264"/>
        </w:numPr>
        <w:wordWrap/>
        <w:bidi w:val="0"/>
        <w:spacing w:beforeLines="0" w:after="0" w:afterLines="0" w:line="500" w:lineRule="exact"/>
        <w:ind w:firstLine="602"/>
        <w:jc w:val="both"/>
        <w:rPr>
          <w:rFonts w:hint="eastAsia" w:ascii="仿宋_GB2312" w:hAnsi="仿宋" w:eastAsia="仿宋_GB2312" w:cs="仿宋"/>
          <w:color w:val="000000"/>
          <w:sz w:val="28"/>
          <w:szCs w:val="28"/>
          <w:lang w:eastAsia="zh-CN"/>
        </w:rPr>
      </w:pPr>
      <w:r>
        <w:rPr>
          <w:rFonts w:hint="eastAsia" w:ascii="仿宋_GB2312" w:hAnsi="仿宋" w:eastAsia="仿宋_GB2312" w:cs="仿宋"/>
          <w:color w:val="000000"/>
          <w:sz w:val="28"/>
          <w:szCs w:val="28"/>
        </w:rPr>
        <w:t>覆盖面广。互联网金融克服了传统金融机构展业成本高昂的弊端，投入成本少</w:t>
      </w:r>
      <w:r>
        <w:rPr>
          <w:rFonts w:hint="eastAsia" w:ascii="仿宋_GB2312" w:hAnsi="仿宋" w:eastAsia="仿宋_GB2312" w:cs="仿宋"/>
          <w:color w:val="000000"/>
          <w:sz w:val="28"/>
          <w:szCs w:val="28"/>
          <w:lang w:eastAsia="zh-CN"/>
        </w:rPr>
        <w:t>；</w:t>
      </w:r>
    </w:p>
    <w:p>
      <w:pPr>
        <w:pStyle w:val="7"/>
        <w:keepNext w:val="0"/>
        <w:keepLines w:val="0"/>
        <w:pageBreakBefore w:val="0"/>
        <w:widowControl w:val="0"/>
        <w:numPr>
          <w:ilvl w:val="0"/>
          <w:numId w:val="264"/>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门槛较低。互联网金融不需要农民的抵押物，农民省去了繁琐的贷款程序。</w:t>
      </w:r>
    </w:p>
    <w:p>
      <w:pPr>
        <w:pStyle w:val="7"/>
        <w:keepNext w:val="0"/>
        <w:keepLines w:val="0"/>
        <w:pageBreakBefore w:val="0"/>
        <w:widowControl w:val="0"/>
        <w:numPr>
          <w:ilvl w:val="0"/>
          <w:numId w:val="264"/>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快捷灵活。互联网金融可以使农民足不出户，只需要智能手机就可以选择办理相关金融业务，节省了大量时间。</w:t>
      </w:r>
    </w:p>
    <w:p>
      <w:pPr>
        <w:pStyle w:val="5"/>
        <w:keepNext w:val="0"/>
        <w:keepLines w:val="0"/>
        <w:pageBreakBefore w:val="0"/>
        <w:widowControl w:val="0"/>
        <w:tabs>
          <w:tab w:val="left" w:pos="1313"/>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bookmarkStart w:id="474" w:name="22.10“农业领域PPP”模式"/>
      <w:bookmarkEnd w:id="474"/>
      <w:r>
        <w:rPr>
          <w:rFonts w:hint="eastAsia" w:ascii="仿宋_GB2312" w:hAnsi="仿宋" w:eastAsia="仿宋_GB2312" w:cs="仿宋"/>
          <w:color w:val="000000"/>
          <w:sz w:val="28"/>
          <w:szCs w:val="28"/>
        </w:rPr>
        <w:t>（十）“农业领域PPP”模式</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通过政府与社会资本合作，发挥财政杠杆作用，引导社会资本积极参与农业农村公共服务项目的投资、建设、运营。</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该模式的主要特点：</w:t>
      </w:r>
    </w:p>
    <w:p>
      <w:pPr>
        <w:pStyle w:val="7"/>
        <w:keepNext w:val="0"/>
        <w:keepLines w:val="0"/>
        <w:pageBreakBefore w:val="0"/>
        <w:widowControl w:val="0"/>
        <w:numPr>
          <w:ilvl w:val="0"/>
          <w:numId w:val="265"/>
        </w:numPr>
        <w:wordWrap/>
        <w:bidi w:val="0"/>
        <w:spacing w:beforeLines="0" w:after="0" w:afterLines="0" w:line="500" w:lineRule="exact"/>
        <w:ind w:firstLine="602"/>
        <w:jc w:val="both"/>
        <w:rPr>
          <w:rFonts w:hint="eastAsia" w:ascii="仿宋_GB2312" w:hAnsi="仿宋" w:eastAsia="仿宋_GB2312" w:cs="仿宋"/>
          <w:color w:val="000000"/>
          <w:sz w:val="28"/>
          <w:szCs w:val="28"/>
          <w:lang w:eastAsia="zh-CN"/>
        </w:rPr>
      </w:pPr>
      <w:r>
        <w:rPr>
          <w:rFonts w:hint="eastAsia" w:ascii="仿宋_GB2312" w:hAnsi="仿宋" w:eastAsia="仿宋_GB2312" w:cs="仿宋"/>
          <w:color w:val="000000"/>
          <w:sz w:val="28"/>
          <w:szCs w:val="28"/>
        </w:rPr>
        <w:t>开辟了农业投融资新渠道，政府通过投入小部分资金起到方向性、指导性作用，并提供制度、法律等配套政策保障，提升了社会资本投资农业的积极性和主动性</w:t>
      </w:r>
      <w:r>
        <w:rPr>
          <w:rFonts w:hint="eastAsia" w:ascii="仿宋_GB2312" w:hAnsi="仿宋" w:eastAsia="仿宋_GB2312" w:cs="仿宋"/>
          <w:color w:val="000000"/>
          <w:sz w:val="28"/>
          <w:szCs w:val="28"/>
          <w:lang w:eastAsia="zh-CN"/>
        </w:rPr>
        <w:t>；</w:t>
      </w:r>
    </w:p>
    <w:p>
      <w:pPr>
        <w:pStyle w:val="7"/>
        <w:keepNext w:val="0"/>
        <w:keepLines w:val="0"/>
        <w:pageBreakBefore w:val="0"/>
        <w:widowControl w:val="0"/>
        <w:numPr>
          <w:ilvl w:val="0"/>
          <w:numId w:val="265"/>
        </w:numPr>
        <w:wordWrap/>
        <w:bidi w:val="0"/>
        <w:spacing w:beforeLines="0" w:after="0" w:afterLines="0" w:line="500" w:lineRule="exact"/>
        <w:ind w:firstLine="602"/>
        <w:jc w:val="both"/>
        <w:rPr>
          <w:rFonts w:hint="eastAsia" w:ascii="仿宋_GB2312" w:hAnsi="仿宋" w:eastAsia="仿宋_GB2312" w:cs="仿宋"/>
          <w:color w:val="000000"/>
          <w:sz w:val="28"/>
          <w:szCs w:val="28"/>
          <w:lang w:eastAsia="zh-CN"/>
        </w:rPr>
      </w:pPr>
      <w:r>
        <w:rPr>
          <w:rFonts w:hint="eastAsia" w:ascii="仿宋_GB2312" w:hAnsi="仿宋" w:eastAsia="仿宋_GB2312" w:cs="仿宋"/>
          <w:color w:val="000000"/>
          <w:sz w:val="28"/>
          <w:szCs w:val="28"/>
        </w:rPr>
        <w:t>提升了政府投资效率，既发挥了财政资金“四两拨千斤”的作用，也发挥了市场机制的决定性作用，探索了农业领域投资项目长效利用的机制</w:t>
      </w:r>
      <w:r>
        <w:rPr>
          <w:rFonts w:hint="eastAsia" w:ascii="仿宋_GB2312" w:hAnsi="仿宋" w:eastAsia="仿宋_GB2312" w:cs="仿宋"/>
          <w:color w:val="000000"/>
          <w:sz w:val="28"/>
          <w:szCs w:val="28"/>
          <w:lang w:eastAsia="zh-CN"/>
        </w:rPr>
        <w:t>；</w:t>
      </w:r>
    </w:p>
    <w:p>
      <w:pPr>
        <w:pStyle w:val="7"/>
        <w:keepNext w:val="0"/>
        <w:keepLines w:val="0"/>
        <w:pageBreakBefore w:val="0"/>
        <w:widowControl w:val="0"/>
        <w:numPr>
          <w:ilvl w:val="0"/>
          <w:numId w:val="265"/>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实现了引资和引智相结合，将先进的管理理念、高效的市场机制引入农业领域，打破了农业传统思维限制，为我国农业产业发展注入新活力。</w:t>
      </w:r>
    </w:p>
    <w:p>
      <w:pPr>
        <w:pStyle w:val="4"/>
        <w:keepNext w:val="0"/>
        <w:keepLines w:val="0"/>
        <w:pageBreakBefore w:val="0"/>
        <w:widowControl w:val="0"/>
        <w:wordWrap/>
        <w:bidi w:val="0"/>
        <w:spacing w:before="0" w:after="0" w:line="500" w:lineRule="exact"/>
        <w:ind w:firstLine="562" w:firstLineChars="200"/>
        <w:jc w:val="both"/>
        <w:rPr>
          <w:rFonts w:hint="eastAsia" w:ascii="仿宋_GB2312" w:hAnsi="仿宋" w:eastAsia="仿宋_GB2312" w:cs="仿宋"/>
          <w:color w:val="000000"/>
          <w:sz w:val="28"/>
          <w:szCs w:val="28"/>
        </w:rPr>
      </w:pPr>
      <w:bookmarkStart w:id="475" w:name="_bookmark15"/>
      <w:bookmarkEnd w:id="475"/>
      <w:bookmarkStart w:id="476" w:name="（二）农业金融信贷操作提示"/>
      <w:bookmarkEnd w:id="476"/>
      <w:bookmarkStart w:id="477" w:name="第23条_操作提示"/>
      <w:bookmarkEnd w:id="477"/>
      <w:r>
        <w:rPr>
          <w:rFonts w:hint="eastAsia" w:ascii="仿宋_GB2312" w:hAnsi="仿宋" w:eastAsia="仿宋_GB2312" w:cs="仿宋"/>
          <w:color w:val="000000"/>
          <w:sz w:val="28"/>
          <w:szCs w:val="28"/>
        </w:rPr>
        <w:t>第二十三条  农业金融信贷操作提示</w:t>
      </w:r>
    </w:p>
    <w:p>
      <w:pPr>
        <w:pStyle w:val="25"/>
        <w:keepNext w:val="0"/>
        <w:keepLines w:val="0"/>
        <w:pageBreakBefore w:val="0"/>
        <w:widowControl w:val="0"/>
        <w:numPr>
          <w:ilvl w:val="0"/>
          <w:numId w:val="0"/>
        </w:numPr>
        <w:tabs>
          <w:tab w:val="left" w:pos="1311"/>
        </w:tabs>
        <w:wordWrap/>
        <w:autoSpaceDE w:val="0"/>
        <w:autoSpaceDN w:val="0"/>
        <w:bidi w:val="0"/>
        <w:spacing w:line="500" w:lineRule="exact"/>
        <w:ind w:firstLine="562" w:firstLineChars="200"/>
        <w:jc w:val="both"/>
        <w:rPr>
          <w:rFonts w:hint="eastAsia" w:ascii="仿宋_GB2312" w:hAnsi="仿宋" w:eastAsia="仿宋_GB2312" w:cs="仿宋"/>
          <w:b/>
          <w:color w:val="000000"/>
          <w:sz w:val="28"/>
          <w:szCs w:val="28"/>
        </w:rPr>
      </w:pPr>
      <w:bookmarkStart w:id="478" w:name="23.1_代理农业金融借贷案件的注意事项"/>
      <w:bookmarkEnd w:id="478"/>
      <w:r>
        <w:rPr>
          <w:rFonts w:hint="eastAsia" w:ascii="仿宋_GB2312" w:hAnsi="仿宋" w:eastAsia="仿宋_GB2312" w:cs="仿宋"/>
          <w:b/>
          <w:color w:val="000000"/>
          <w:sz w:val="28"/>
          <w:szCs w:val="28"/>
        </w:rPr>
        <w:t>（一）代理农业金融借贷案件的注意事项</w:t>
      </w:r>
    </w:p>
    <w:p>
      <w:pPr>
        <w:pStyle w:val="25"/>
        <w:keepNext w:val="0"/>
        <w:keepLines w:val="0"/>
        <w:pageBreakBefore w:val="0"/>
        <w:widowControl w:val="0"/>
        <w:numPr>
          <w:ilvl w:val="0"/>
          <w:numId w:val="266"/>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审查合同内容及性质，包括借款金额、担保的类型、担保物的状态、合同内容是否存在格式条款的情形，评判所代理的农业金融借贷具体的模式类型；</w:t>
      </w:r>
    </w:p>
    <w:p>
      <w:pPr>
        <w:pStyle w:val="25"/>
        <w:keepNext w:val="0"/>
        <w:keepLines w:val="0"/>
        <w:pageBreakBefore w:val="0"/>
        <w:widowControl w:val="0"/>
        <w:numPr>
          <w:ilvl w:val="0"/>
          <w:numId w:val="266"/>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审查合同的履行情况、背景及相关证据材料的保存情况；</w:t>
      </w:r>
    </w:p>
    <w:p>
      <w:pPr>
        <w:pStyle w:val="25"/>
        <w:keepNext w:val="0"/>
        <w:keepLines w:val="0"/>
        <w:pageBreakBefore w:val="0"/>
        <w:widowControl w:val="0"/>
        <w:numPr>
          <w:ilvl w:val="0"/>
          <w:numId w:val="266"/>
        </w:numPr>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结合合同履行的相关证据材料及合同的内容、农业金融信贷的模式综合评判案件情况，尽最大可能减免当事人的损失，不可以以一般借款的思路代理案件。</w:t>
      </w:r>
    </w:p>
    <w:p>
      <w:pPr>
        <w:pStyle w:val="5"/>
        <w:keepNext w:val="0"/>
        <w:keepLines w:val="0"/>
        <w:pageBreakBefore w:val="0"/>
        <w:widowControl w:val="0"/>
        <w:tabs>
          <w:tab w:val="left" w:pos="1311"/>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（二）审核农业金融信贷合同</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要注意审核是农业金融信贷合同的签订背景，根据各类农业金融信贷模式的特点把握合同的风险点。如“银行贷款+风险补偿金”模式，要注意审查：</w:t>
      </w:r>
    </w:p>
    <w:p>
      <w:pPr>
        <w:pStyle w:val="25"/>
        <w:keepNext w:val="0"/>
        <w:keepLines w:val="0"/>
        <w:pageBreakBefore w:val="0"/>
        <w:widowControl w:val="0"/>
        <w:numPr>
          <w:ilvl w:val="0"/>
          <w:numId w:val="267"/>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合作银行的资质及放贷能力；</w:t>
      </w:r>
    </w:p>
    <w:p>
      <w:pPr>
        <w:pStyle w:val="25"/>
        <w:keepNext w:val="0"/>
        <w:keepLines w:val="0"/>
        <w:pageBreakBefore w:val="0"/>
        <w:widowControl w:val="0"/>
        <w:numPr>
          <w:ilvl w:val="0"/>
          <w:numId w:val="267"/>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明确合作双方承担风险的比例及赔偿的范围；</w:t>
      </w:r>
    </w:p>
    <w:p>
      <w:pPr>
        <w:pStyle w:val="25"/>
        <w:keepNext w:val="0"/>
        <w:keepLines w:val="0"/>
        <w:pageBreakBefore w:val="0"/>
        <w:widowControl w:val="0"/>
        <w:numPr>
          <w:ilvl w:val="0"/>
          <w:numId w:val="267"/>
        </w:numPr>
        <w:tabs>
          <w:tab w:val="left" w:pos="0"/>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明确合作银行申报不良债权的时间、条件以及赔偿的范围；</w:t>
      </w:r>
    </w:p>
    <w:p>
      <w:pPr>
        <w:pStyle w:val="25"/>
        <w:keepNext w:val="0"/>
        <w:keepLines w:val="0"/>
        <w:pageBreakBefore w:val="0"/>
        <w:widowControl w:val="0"/>
        <w:numPr>
          <w:ilvl w:val="0"/>
          <w:numId w:val="267"/>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明确合作银行不得擅自将不良债权向第三方转让条款。</w:t>
      </w:r>
    </w:p>
    <w:p>
      <w:pPr>
        <w:pStyle w:val="5"/>
        <w:keepNext w:val="0"/>
        <w:keepLines w:val="0"/>
        <w:pageBreakBefore w:val="0"/>
        <w:widowControl w:val="0"/>
        <w:tabs>
          <w:tab w:val="left" w:pos="1311"/>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（三）要求当事人提交材料情况</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要向当事人充分了解签订农业金融借贷的背景，询问是否有相关政策或文件。根据了解的情况，向当事人出具证据清单，要求当事人按照清单准备材料，切忌当事人给什么证据用什么证据。对于当事人无法提供的证据，如可以依法调取，则可以通过依法调阅获取证据。</w:t>
      </w:r>
    </w:p>
    <w:p>
      <w:pPr>
        <w:pStyle w:val="2"/>
        <w:keepNext w:val="0"/>
        <w:keepLines w:val="0"/>
        <w:pageBreakBefore w:val="0"/>
        <w:widowControl w:val="0"/>
        <w:wordWrap/>
        <w:bidi w:val="0"/>
        <w:spacing w:before="0" w:after="0" w:line="500" w:lineRule="exact"/>
        <w:jc w:val="center"/>
        <w:rPr>
          <w:rFonts w:hint="eastAsia" w:ascii="楷体" w:hAnsi="楷体" w:eastAsia="楷体" w:cs="楷体"/>
          <w:color w:val="000000"/>
          <w:sz w:val="28"/>
          <w:szCs w:val="28"/>
        </w:rPr>
      </w:pPr>
      <w:bookmarkStart w:id="479" w:name="第三节_农民专业合作社业务操作指引"/>
      <w:bookmarkEnd w:id="479"/>
      <w:bookmarkStart w:id="480" w:name="_bookmark16"/>
      <w:bookmarkEnd w:id="480"/>
      <w:bookmarkStart w:id="481" w:name="_Toc15467"/>
      <w:r>
        <w:rPr>
          <w:rFonts w:hint="eastAsia" w:ascii="楷体" w:hAnsi="楷体" w:eastAsia="楷体" w:cs="楷体"/>
          <w:color w:val="000000"/>
          <w:sz w:val="28"/>
          <w:szCs w:val="28"/>
        </w:rPr>
        <w:t>第三节  农民专业合作社律师业务操作指引</w:t>
      </w:r>
      <w:bookmarkEnd w:id="481"/>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482" w:name="_bookmark17"/>
      <w:bookmarkEnd w:id="482"/>
      <w:bookmarkStart w:id="483" w:name="（一）概念的界定"/>
      <w:bookmarkEnd w:id="483"/>
      <w:r>
        <w:rPr>
          <w:rFonts w:hint="eastAsia" w:ascii="仿宋_GB2312" w:hAnsi="仿宋" w:eastAsia="仿宋_GB2312" w:cs="仿宋"/>
          <w:color w:val="000000"/>
          <w:sz w:val="28"/>
          <w:szCs w:val="28"/>
        </w:rPr>
        <w:t>第二十四条  农民专业合作社</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农民专业合作社是指在农村家庭承包经营基础上，农产品的生产经营者或者农业生产经营服务的提供者、利用者，自愿联合、民主管理的互助性经济组织。</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484" w:name="_bookmark18"/>
      <w:bookmarkEnd w:id="484"/>
      <w:bookmarkStart w:id="485" w:name="第25条_农民专业合作社的服务范围"/>
      <w:bookmarkEnd w:id="485"/>
      <w:r>
        <w:rPr>
          <w:rFonts w:hint="eastAsia" w:ascii="仿宋_GB2312" w:hAnsi="仿宋" w:eastAsia="仿宋_GB2312" w:cs="仿宋"/>
          <w:color w:val="000000"/>
          <w:sz w:val="28"/>
          <w:szCs w:val="28"/>
        </w:rPr>
        <w:t>第二十五条  农民专业合作社的服务范围</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农民专业合作社以其成员为主要服务对象，开展以下一种或者多种业务：</w:t>
      </w:r>
    </w:p>
    <w:p>
      <w:pPr>
        <w:pStyle w:val="25"/>
        <w:keepNext w:val="0"/>
        <w:keepLines w:val="0"/>
        <w:pageBreakBefore w:val="0"/>
        <w:widowControl w:val="0"/>
        <w:numPr>
          <w:ilvl w:val="0"/>
          <w:numId w:val="268"/>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农业生产资料的购买、使用；</w:t>
      </w:r>
    </w:p>
    <w:p>
      <w:pPr>
        <w:pStyle w:val="25"/>
        <w:keepNext w:val="0"/>
        <w:keepLines w:val="0"/>
        <w:pageBreakBefore w:val="0"/>
        <w:widowControl w:val="0"/>
        <w:numPr>
          <w:ilvl w:val="0"/>
          <w:numId w:val="268"/>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农产品的生产、销售、加工、运输、贮藏及其他相关服务；</w:t>
      </w:r>
    </w:p>
    <w:p>
      <w:pPr>
        <w:pStyle w:val="25"/>
        <w:keepNext w:val="0"/>
        <w:keepLines w:val="0"/>
        <w:pageBreakBefore w:val="0"/>
        <w:widowControl w:val="0"/>
        <w:numPr>
          <w:ilvl w:val="0"/>
          <w:numId w:val="268"/>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农村民间工艺及制品、休闲农业和乡村旅游资源的开发经营等；</w:t>
      </w:r>
    </w:p>
    <w:p>
      <w:pPr>
        <w:pStyle w:val="25"/>
        <w:keepNext w:val="0"/>
        <w:keepLines w:val="0"/>
        <w:pageBreakBefore w:val="0"/>
        <w:widowControl w:val="0"/>
        <w:numPr>
          <w:ilvl w:val="0"/>
          <w:numId w:val="268"/>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与农业生产经营有关的技术、信息、设施建设运营等服务。</w:t>
      </w:r>
    </w:p>
    <w:p>
      <w:pPr>
        <w:pStyle w:val="25"/>
        <w:keepNext w:val="0"/>
        <w:keepLines w:val="0"/>
        <w:pageBreakBefore w:val="0"/>
        <w:widowControl w:val="0"/>
        <w:numPr>
          <w:ilvl w:val="0"/>
          <w:numId w:val="0"/>
        </w:numPr>
        <w:tabs>
          <w:tab w:val="left" w:pos="1382"/>
        </w:tabs>
        <w:wordWrap/>
        <w:autoSpaceDE w:val="0"/>
        <w:autoSpaceDN w:val="0"/>
        <w:bidi w:val="0"/>
        <w:spacing w:line="500" w:lineRule="exact"/>
        <w:ind w:firstLine="562" w:firstLineChars="200"/>
        <w:jc w:val="both"/>
        <w:rPr>
          <w:rFonts w:hint="eastAsia" w:ascii="仿宋_GB2312" w:hAnsi="仿宋" w:eastAsia="仿宋_GB2312" w:cs="仿宋"/>
          <w:b/>
          <w:color w:val="000000"/>
          <w:sz w:val="28"/>
          <w:szCs w:val="28"/>
        </w:rPr>
      </w:pPr>
      <w:r>
        <w:rPr>
          <w:rFonts w:hint="eastAsia" w:ascii="仿宋_GB2312" w:hAnsi="仿宋" w:eastAsia="仿宋_GB2312" w:cs="仿宋"/>
          <w:b/>
          <w:bCs/>
          <w:color w:val="000000"/>
          <w:sz w:val="28"/>
          <w:szCs w:val="28"/>
        </w:rPr>
        <w:t>第二十六条</w:t>
      </w:r>
      <w:r>
        <w:rPr>
          <w:rFonts w:hint="eastAsia" w:ascii="仿宋_GB2312" w:hAnsi="仿宋" w:eastAsia="仿宋_GB2312" w:cs="仿宋"/>
          <w:b/>
          <w:color w:val="000000"/>
          <w:sz w:val="28"/>
          <w:szCs w:val="28"/>
        </w:rPr>
        <w:t xml:space="preserve">  农民专业合作社的设立、合并、分立、解散和清算</w:t>
      </w:r>
    </w:p>
    <w:p>
      <w:pPr>
        <w:pStyle w:val="5"/>
        <w:keepNext w:val="0"/>
        <w:keepLines w:val="0"/>
        <w:pageBreakBefore w:val="0"/>
        <w:widowControl w:val="0"/>
        <w:tabs>
          <w:tab w:val="left" w:pos="1311"/>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bookmarkStart w:id="486" w:name="26.1_农民专业合作社的设立"/>
      <w:bookmarkEnd w:id="486"/>
      <w:r>
        <w:rPr>
          <w:rFonts w:hint="eastAsia" w:ascii="仿宋_GB2312" w:hAnsi="仿宋" w:eastAsia="仿宋_GB2312" w:cs="仿宋"/>
          <w:color w:val="000000"/>
          <w:sz w:val="28"/>
          <w:szCs w:val="28"/>
        </w:rPr>
        <w:t>（一）农民专业合作社的设立</w:t>
      </w:r>
    </w:p>
    <w:p>
      <w:pPr>
        <w:pStyle w:val="5"/>
        <w:keepNext w:val="0"/>
        <w:keepLines w:val="0"/>
        <w:pageBreakBefore w:val="0"/>
        <w:widowControl w:val="0"/>
        <w:tabs>
          <w:tab w:val="left" w:pos="1311"/>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1.设立农民专业合作社的条件：</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（1）有五名以上</w:t>
      </w:r>
      <w:r>
        <w:rPr>
          <w:rFonts w:hint="eastAsia" w:ascii="仿宋_GB2312" w:hAnsi="仿宋" w:eastAsia="仿宋_GB2312" w:cs="仿宋"/>
          <w:color w:val="000000"/>
          <w:sz w:val="28"/>
          <w:szCs w:val="28"/>
          <w:lang w:eastAsia="zh-CN"/>
        </w:rPr>
        <w:t>《农民专业合作社法》</w:t>
      </w:r>
      <w:r>
        <w:rPr>
          <w:rFonts w:hint="eastAsia" w:ascii="仿宋_GB2312" w:hAnsi="仿宋" w:eastAsia="仿宋_GB2312" w:cs="仿宋"/>
          <w:color w:val="000000"/>
          <w:sz w:val="28"/>
          <w:szCs w:val="28"/>
        </w:rPr>
        <w:t>规定的成员；</w:t>
      </w:r>
    </w:p>
    <w:p>
      <w:pPr>
        <w:pStyle w:val="25"/>
        <w:keepNext w:val="0"/>
        <w:keepLines w:val="0"/>
        <w:pageBreakBefore w:val="0"/>
        <w:widowControl w:val="0"/>
        <w:numPr>
          <w:ilvl w:val="0"/>
          <w:numId w:val="269"/>
        </w:numPr>
        <w:tabs>
          <w:tab w:val="left" w:pos="1382"/>
        </w:tabs>
        <w:wordWrap/>
        <w:autoSpaceDE w:val="0"/>
        <w:autoSpaceDN w:val="0"/>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有合法的章程；</w:t>
      </w:r>
    </w:p>
    <w:p>
      <w:pPr>
        <w:pStyle w:val="25"/>
        <w:keepNext w:val="0"/>
        <w:keepLines w:val="0"/>
        <w:pageBreakBefore w:val="0"/>
        <w:widowControl w:val="0"/>
        <w:numPr>
          <w:ilvl w:val="0"/>
          <w:numId w:val="269"/>
        </w:numPr>
        <w:tabs>
          <w:tab w:val="left" w:pos="1382"/>
        </w:tabs>
        <w:wordWrap/>
        <w:autoSpaceDE w:val="0"/>
        <w:autoSpaceDN w:val="0"/>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有合法的组织机构；</w:t>
      </w:r>
    </w:p>
    <w:p>
      <w:pPr>
        <w:pStyle w:val="25"/>
        <w:keepNext w:val="0"/>
        <w:keepLines w:val="0"/>
        <w:pageBreakBefore w:val="0"/>
        <w:widowControl w:val="0"/>
        <w:numPr>
          <w:ilvl w:val="0"/>
          <w:numId w:val="269"/>
        </w:numPr>
        <w:tabs>
          <w:tab w:val="left" w:pos="1382"/>
        </w:tabs>
        <w:wordWrap/>
        <w:autoSpaceDE w:val="0"/>
        <w:autoSpaceDN w:val="0"/>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有合法的名称和章程、确定的住所；</w:t>
      </w:r>
    </w:p>
    <w:p>
      <w:pPr>
        <w:pStyle w:val="25"/>
        <w:keepNext w:val="0"/>
        <w:keepLines w:val="0"/>
        <w:pageBreakBefore w:val="0"/>
        <w:widowControl w:val="0"/>
        <w:numPr>
          <w:ilvl w:val="0"/>
          <w:numId w:val="269"/>
        </w:numPr>
        <w:tabs>
          <w:tab w:val="left" w:pos="1382"/>
        </w:tabs>
        <w:wordWrap/>
        <w:autoSpaceDE w:val="0"/>
        <w:autoSpaceDN w:val="0"/>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有符合章程规定的成员出资。</w:t>
      </w:r>
    </w:p>
    <w:p>
      <w:pPr>
        <w:pStyle w:val="5"/>
        <w:keepNext w:val="0"/>
        <w:keepLines w:val="0"/>
        <w:pageBreakBefore w:val="0"/>
        <w:widowControl w:val="0"/>
        <w:tabs>
          <w:tab w:val="left" w:pos="1520"/>
        </w:tabs>
        <w:wordWrap/>
        <w:autoSpaceDE w:val="0"/>
        <w:autoSpaceDN w:val="0"/>
        <w:bidi w:val="0"/>
        <w:spacing w:before="0" w:after="0" w:line="500" w:lineRule="exact"/>
        <w:ind w:firstLine="562" w:firstLineChars="200"/>
        <w:rPr>
          <w:rFonts w:hint="eastAsia" w:ascii="仿宋_GB2312" w:hAnsi="仿宋" w:eastAsia="仿宋_GB2312" w:cs="仿宋"/>
          <w:b w:val="0"/>
          <w:color w:val="000000"/>
          <w:sz w:val="28"/>
          <w:szCs w:val="28"/>
        </w:rPr>
      </w:pPr>
      <w:r>
        <w:rPr>
          <w:rFonts w:hint="eastAsia" w:ascii="仿宋_GB2312" w:hAnsi="仿宋" w:eastAsia="仿宋_GB2312" w:cs="仿宋"/>
          <w:color w:val="000000"/>
          <w:sz w:val="28"/>
          <w:szCs w:val="28"/>
        </w:rPr>
        <w:t>2.设立农民专业合作社应向登记机关提交的材料</w:t>
      </w:r>
      <w:r>
        <w:rPr>
          <w:rFonts w:hint="eastAsia" w:ascii="仿宋_GB2312" w:hAnsi="仿宋" w:eastAsia="仿宋_GB2312" w:cs="仿宋"/>
          <w:b w:val="0"/>
          <w:color w:val="000000"/>
          <w:sz w:val="28"/>
          <w:szCs w:val="28"/>
        </w:rPr>
        <w:t>：</w:t>
      </w:r>
    </w:p>
    <w:p>
      <w:pPr>
        <w:pStyle w:val="25"/>
        <w:keepNext w:val="0"/>
        <w:keepLines w:val="0"/>
        <w:pageBreakBefore w:val="0"/>
        <w:widowControl w:val="0"/>
        <w:numPr>
          <w:ilvl w:val="0"/>
          <w:numId w:val="270"/>
        </w:numPr>
        <w:tabs>
          <w:tab w:val="left" w:pos="1382"/>
        </w:tabs>
        <w:wordWrap/>
        <w:autoSpaceDE w:val="0"/>
        <w:autoSpaceDN w:val="0"/>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登记申请书；</w:t>
      </w:r>
    </w:p>
    <w:p>
      <w:pPr>
        <w:pStyle w:val="25"/>
        <w:keepNext w:val="0"/>
        <w:keepLines w:val="0"/>
        <w:pageBreakBefore w:val="0"/>
        <w:widowControl w:val="0"/>
        <w:numPr>
          <w:ilvl w:val="0"/>
          <w:numId w:val="270"/>
        </w:numPr>
        <w:tabs>
          <w:tab w:val="left" w:pos="1382"/>
        </w:tabs>
        <w:wordWrap/>
        <w:autoSpaceDE w:val="0"/>
        <w:autoSpaceDN w:val="0"/>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全体设立人签名、盖章的设立大会纪要；</w:t>
      </w:r>
    </w:p>
    <w:p>
      <w:pPr>
        <w:pStyle w:val="25"/>
        <w:keepNext w:val="0"/>
        <w:keepLines w:val="0"/>
        <w:pageBreakBefore w:val="0"/>
        <w:widowControl w:val="0"/>
        <w:numPr>
          <w:ilvl w:val="0"/>
          <w:numId w:val="270"/>
        </w:numPr>
        <w:tabs>
          <w:tab w:val="left" w:pos="1382"/>
        </w:tabs>
        <w:wordWrap/>
        <w:autoSpaceDE w:val="0"/>
        <w:autoSpaceDN w:val="0"/>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全体设立人签名、盖章的章程；</w:t>
      </w:r>
    </w:p>
    <w:p>
      <w:pPr>
        <w:pStyle w:val="25"/>
        <w:keepNext w:val="0"/>
        <w:keepLines w:val="0"/>
        <w:pageBreakBefore w:val="0"/>
        <w:widowControl w:val="0"/>
        <w:numPr>
          <w:ilvl w:val="0"/>
          <w:numId w:val="270"/>
        </w:numPr>
        <w:tabs>
          <w:tab w:val="left" w:pos="1382"/>
        </w:tabs>
        <w:wordWrap/>
        <w:autoSpaceDE w:val="0"/>
        <w:autoSpaceDN w:val="0"/>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法定代表人、理事的任职文件及身份证明；</w:t>
      </w:r>
    </w:p>
    <w:p>
      <w:pPr>
        <w:pStyle w:val="25"/>
        <w:keepNext w:val="0"/>
        <w:keepLines w:val="0"/>
        <w:pageBreakBefore w:val="0"/>
        <w:widowControl w:val="0"/>
        <w:numPr>
          <w:ilvl w:val="0"/>
          <w:numId w:val="270"/>
        </w:numPr>
        <w:tabs>
          <w:tab w:val="left" w:pos="1382"/>
        </w:tabs>
        <w:wordWrap/>
        <w:autoSpaceDE w:val="0"/>
        <w:autoSpaceDN w:val="0"/>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出资成员签名、盖章的出资清单；</w:t>
      </w:r>
    </w:p>
    <w:p>
      <w:pPr>
        <w:pStyle w:val="25"/>
        <w:keepNext w:val="0"/>
        <w:keepLines w:val="0"/>
        <w:pageBreakBefore w:val="0"/>
        <w:widowControl w:val="0"/>
        <w:numPr>
          <w:ilvl w:val="0"/>
          <w:numId w:val="270"/>
        </w:numPr>
        <w:tabs>
          <w:tab w:val="left" w:pos="1382"/>
        </w:tabs>
        <w:wordWrap/>
        <w:autoSpaceDE w:val="0"/>
        <w:autoSpaceDN w:val="0"/>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住所使用证明；</w:t>
      </w:r>
    </w:p>
    <w:p>
      <w:pPr>
        <w:pStyle w:val="25"/>
        <w:keepNext w:val="0"/>
        <w:keepLines w:val="0"/>
        <w:pageBreakBefore w:val="0"/>
        <w:widowControl w:val="0"/>
        <w:numPr>
          <w:ilvl w:val="0"/>
          <w:numId w:val="270"/>
        </w:numPr>
        <w:tabs>
          <w:tab w:val="left" w:pos="1382"/>
        </w:tabs>
        <w:wordWrap/>
        <w:autoSpaceDE w:val="0"/>
        <w:autoSpaceDN w:val="0"/>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法律、行政法规规定的其他文件。</w:t>
      </w:r>
    </w:p>
    <w:p>
      <w:pPr>
        <w:pStyle w:val="5"/>
        <w:keepNext w:val="0"/>
        <w:keepLines w:val="0"/>
        <w:pageBreakBefore w:val="0"/>
        <w:widowControl w:val="0"/>
        <w:tabs>
          <w:tab w:val="left" w:pos="1311"/>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bookmarkStart w:id="487" w:name="26.2_农民专业合作社的合并业务注意事项"/>
      <w:bookmarkEnd w:id="487"/>
      <w:r>
        <w:rPr>
          <w:rFonts w:hint="eastAsia" w:ascii="仿宋_GB2312" w:hAnsi="仿宋" w:eastAsia="仿宋_GB2312" w:cs="仿宋"/>
          <w:color w:val="000000"/>
          <w:sz w:val="28"/>
          <w:szCs w:val="28"/>
        </w:rPr>
        <w:t>（二）农民专业合作社的合并业务注意事项</w:t>
      </w:r>
    </w:p>
    <w:p>
      <w:pPr>
        <w:pStyle w:val="25"/>
        <w:keepNext w:val="0"/>
        <w:keepLines w:val="0"/>
        <w:pageBreakBefore w:val="0"/>
        <w:widowControl w:val="0"/>
        <w:numPr>
          <w:ilvl w:val="0"/>
          <w:numId w:val="271"/>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农民专业合作社合并，应当自合并决议作出之日起十日内通知债权人。</w:t>
      </w:r>
    </w:p>
    <w:p>
      <w:pPr>
        <w:pStyle w:val="25"/>
        <w:keepNext w:val="0"/>
        <w:keepLines w:val="0"/>
        <w:pageBreakBefore w:val="0"/>
        <w:widowControl w:val="0"/>
        <w:numPr>
          <w:ilvl w:val="0"/>
          <w:numId w:val="271"/>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合并各方应签订协议约定合并各方的债权、债务应当由合并后存续或者新设的组织承继，并且列明债权债务清单备查。</w:t>
      </w:r>
    </w:p>
    <w:p>
      <w:pPr>
        <w:pStyle w:val="25"/>
        <w:keepNext w:val="0"/>
        <w:keepLines w:val="0"/>
        <w:pageBreakBefore w:val="0"/>
        <w:widowControl w:val="0"/>
        <w:numPr>
          <w:ilvl w:val="0"/>
          <w:numId w:val="271"/>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合作社的合并只能依照法律规定和法定程序进行。</w:t>
      </w:r>
    </w:p>
    <w:p>
      <w:pPr>
        <w:pStyle w:val="25"/>
        <w:keepNext w:val="0"/>
        <w:keepLines w:val="0"/>
        <w:pageBreakBefore w:val="0"/>
        <w:widowControl w:val="0"/>
        <w:numPr>
          <w:ilvl w:val="0"/>
          <w:numId w:val="271"/>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合作社合并以后，除了退社的成员之外，原合作社的成员资格，自动转为合并后存续或者新设的合作社的成员。</w:t>
      </w:r>
    </w:p>
    <w:p>
      <w:pPr>
        <w:pStyle w:val="5"/>
        <w:keepNext w:val="0"/>
        <w:keepLines w:val="0"/>
        <w:pageBreakBefore w:val="0"/>
        <w:widowControl w:val="0"/>
        <w:tabs>
          <w:tab w:val="left" w:pos="1311"/>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bookmarkStart w:id="488" w:name="26.3_农民专业合作社的分立注意事项"/>
      <w:bookmarkEnd w:id="488"/>
      <w:r>
        <w:rPr>
          <w:rFonts w:hint="eastAsia" w:ascii="仿宋_GB2312" w:hAnsi="仿宋" w:eastAsia="仿宋_GB2312" w:cs="仿宋"/>
          <w:color w:val="000000"/>
          <w:sz w:val="28"/>
          <w:szCs w:val="28"/>
        </w:rPr>
        <w:t>（三）农民专业合作社的分立注意事项</w:t>
      </w:r>
    </w:p>
    <w:p>
      <w:pPr>
        <w:pStyle w:val="25"/>
        <w:keepNext w:val="0"/>
        <w:keepLines w:val="0"/>
        <w:pageBreakBefore w:val="0"/>
        <w:widowControl w:val="0"/>
        <w:numPr>
          <w:ilvl w:val="0"/>
          <w:numId w:val="272"/>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农民专业合作社分立，应当对其财产作相应的分割、列明清单，并应当自分立决议作出之日起十日内通知债权人。</w:t>
      </w:r>
    </w:p>
    <w:p>
      <w:pPr>
        <w:pStyle w:val="25"/>
        <w:keepNext w:val="0"/>
        <w:keepLines w:val="0"/>
        <w:pageBreakBefore w:val="0"/>
        <w:widowControl w:val="0"/>
        <w:numPr>
          <w:ilvl w:val="0"/>
          <w:numId w:val="272"/>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分立前的债务由分立后的组织承担连带责任。但是，在分立前与债权人就债务清偿达成的书面协议另有约定的除外。</w:t>
      </w:r>
    </w:p>
    <w:p>
      <w:pPr>
        <w:pStyle w:val="25"/>
        <w:keepNext w:val="0"/>
        <w:keepLines w:val="0"/>
        <w:pageBreakBefore w:val="0"/>
        <w:widowControl w:val="0"/>
        <w:numPr>
          <w:ilvl w:val="0"/>
          <w:numId w:val="272"/>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分立方应当签订协议对相关权利义务、责任承担及财产分割情况予以明确，并列明清单备查。</w:t>
      </w:r>
    </w:p>
    <w:p>
      <w:pPr>
        <w:pStyle w:val="5"/>
        <w:keepNext w:val="0"/>
        <w:keepLines w:val="0"/>
        <w:pageBreakBefore w:val="0"/>
        <w:widowControl w:val="0"/>
        <w:tabs>
          <w:tab w:val="left" w:pos="1311"/>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bookmarkStart w:id="489" w:name="26.4_农民专业合作社的解散"/>
      <w:bookmarkEnd w:id="489"/>
      <w:r>
        <w:rPr>
          <w:rFonts w:hint="eastAsia" w:ascii="仿宋_GB2312" w:hAnsi="仿宋" w:eastAsia="仿宋_GB2312" w:cs="仿宋"/>
          <w:color w:val="000000"/>
          <w:sz w:val="28"/>
          <w:szCs w:val="28"/>
        </w:rPr>
        <w:t>（四）农民专业合作社的解散</w:t>
      </w:r>
    </w:p>
    <w:p>
      <w:pPr>
        <w:pStyle w:val="7"/>
        <w:keepNext w:val="0"/>
        <w:keepLines w:val="0"/>
        <w:pageBreakBefore w:val="0"/>
        <w:widowControl w:val="0"/>
        <w:tabs>
          <w:tab w:val="left" w:pos="0"/>
          <w:tab w:val="left" w:pos="200"/>
        </w:tabs>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农民专业合作社解散的情形：</w:t>
      </w:r>
    </w:p>
    <w:p>
      <w:pPr>
        <w:pStyle w:val="7"/>
        <w:keepNext w:val="0"/>
        <w:keepLines w:val="0"/>
        <w:pageBreakBefore w:val="0"/>
        <w:widowControl w:val="0"/>
        <w:numPr>
          <w:ilvl w:val="0"/>
          <w:numId w:val="273"/>
        </w:numPr>
        <w:tabs>
          <w:tab w:val="left" w:pos="0"/>
          <w:tab w:val="left" w:pos="200"/>
        </w:tabs>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章程规定的解散事由出现；</w:t>
      </w:r>
    </w:p>
    <w:p>
      <w:pPr>
        <w:pStyle w:val="7"/>
        <w:keepNext w:val="0"/>
        <w:keepLines w:val="0"/>
        <w:pageBreakBefore w:val="0"/>
        <w:widowControl w:val="0"/>
        <w:numPr>
          <w:ilvl w:val="0"/>
          <w:numId w:val="273"/>
        </w:numPr>
        <w:tabs>
          <w:tab w:val="left" w:pos="0"/>
          <w:tab w:val="left" w:pos="200"/>
        </w:tabs>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成员大会决议解散；</w:t>
      </w:r>
    </w:p>
    <w:p>
      <w:pPr>
        <w:pStyle w:val="7"/>
        <w:keepNext w:val="0"/>
        <w:keepLines w:val="0"/>
        <w:pageBreakBefore w:val="0"/>
        <w:widowControl w:val="0"/>
        <w:numPr>
          <w:ilvl w:val="0"/>
          <w:numId w:val="273"/>
        </w:numPr>
        <w:tabs>
          <w:tab w:val="left" w:pos="0"/>
          <w:tab w:val="left" w:pos="200"/>
        </w:tabs>
        <w:wordWrap/>
        <w:bidi w:val="0"/>
        <w:spacing w:beforeLines="0" w:after="0" w:afterLines="0" w:line="500" w:lineRule="exact"/>
        <w:ind w:firstLine="602"/>
        <w:jc w:val="both"/>
        <w:rPr>
          <w:rFonts w:hint="eastAsia" w:ascii="仿宋_GB2312" w:hAnsi="仿宋" w:eastAsia="仿宋_GB2312" w:cs="仿宋"/>
          <w:color w:val="000000"/>
          <w:sz w:val="28"/>
          <w:szCs w:val="28"/>
          <w:lang w:eastAsia="zh-CN"/>
        </w:rPr>
      </w:pPr>
      <w:r>
        <w:rPr>
          <w:rFonts w:hint="eastAsia" w:ascii="仿宋_GB2312" w:hAnsi="仿宋" w:eastAsia="仿宋_GB2312" w:cs="仿宋"/>
          <w:color w:val="000000"/>
          <w:sz w:val="28"/>
          <w:szCs w:val="28"/>
        </w:rPr>
        <w:t>因合并或者分立需要解散</w:t>
      </w:r>
      <w:r>
        <w:rPr>
          <w:rFonts w:hint="eastAsia" w:ascii="仿宋_GB2312" w:hAnsi="仿宋" w:eastAsia="仿宋_GB2312" w:cs="仿宋"/>
          <w:color w:val="000000"/>
          <w:sz w:val="28"/>
          <w:szCs w:val="28"/>
          <w:lang w:eastAsia="zh-CN"/>
        </w:rPr>
        <w:t>；</w:t>
      </w:r>
    </w:p>
    <w:p>
      <w:pPr>
        <w:pStyle w:val="7"/>
        <w:keepNext w:val="0"/>
        <w:keepLines w:val="0"/>
        <w:pageBreakBefore w:val="0"/>
        <w:widowControl w:val="0"/>
        <w:numPr>
          <w:ilvl w:val="0"/>
          <w:numId w:val="273"/>
        </w:numPr>
        <w:tabs>
          <w:tab w:val="left" w:pos="0"/>
          <w:tab w:val="left" w:pos="200"/>
        </w:tabs>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依法被吊销营业执照或者被撤销。</w:t>
      </w:r>
    </w:p>
    <w:p>
      <w:pPr>
        <w:pStyle w:val="5"/>
        <w:keepNext w:val="0"/>
        <w:keepLines w:val="0"/>
        <w:pageBreakBefore w:val="0"/>
        <w:widowControl w:val="0"/>
        <w:tabs>
          <w:tab w:val="left" w:pos="1241"/>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bookmarkStart w:id="490" w:name="26.5农民专业合作社的清算"/>
      <w:bookmarkEnd w:id="490"/>
      <w:r>
        <w:rPr>
          <w:rFonts w:hint="eastAsia" w:ascii="仿宋_GB2312" w:hAnsi="仿宋" w:eastAsia="仿宋_GB2312" w:cs="仿宋"/>
          <w:color w:val="000000"/>
          <w:sz w:val="28"/>
          <w:szCs w:val="28"/>
        </w:rPr>
        <w:t>（五）农民专业合作社的清算</w:t>
      </w:r>
    </w:p>
    <w:p>
      <w:pPr>
        <w:pStyle w:val="25"/>
        <w:keepNext w:val="0"/>
        <w:keepLines w:val="0"/>
        <w:pageBreakBefore w:val="0"/>
        <w:widowControl w:val="0"/>
        <w:numPr>
          <w:ilvl w:val="0"/>
          <w:numId w:val="0"/>
        </w:numPr>
        <w:tabs>
          <w:tab w:val="left" w:pos="1450"/>
        </w:tabs>
        <w:wordWrap/>
        <w:autoSpaceDE w:val="0"/>
        <w:autoSpaceDN w:val="0"/>
        <w:bidi w:val="0"/>
        <w:spacing w:line="500" w:lineRule="exact"/>
        <w:ind w:firstLine="562" w:firstLineChars="200"/>
        <w:jc w:val="both"/>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1.清算组的成立时间</w:t>
      </w:r>
    </w:p>
    <w:p>
      <w:pPr>
        <w:pStyle w:val="25"/>
        <w:keepNext w:val="0"/>
        <w:keepLines w:val="0"/>
        <w:pageBreakBefore w:val="0"/>
        <w:widowControl w:val="0"/>
        <w:numPr>
          <w:ilvl w:val="0"/>
          <w:numId w:val="274"/>
        </w:numPr>
        <w:tabs>
          <w:tab w:val="left" w:pos="1382"/>
        </w:tabs>
        <w:wordWrap/>
        <w:autoSpaceDE w:val="0"/>
        <w:autoSpaceDN w:val="0"/>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章程规定的解散事由出现，成员大会决议解散、依法被吊销营业执照或被撤销原因解散的，应当在解散事由出现之日起十五日内由成员大会推举成员组成清算组，开始解散清算；</w:t>
      </w:r>
    </w:p>
    <w:p>
      <w:pPr>
        <w:pStyle w:val="25"/>
        <w:keepNext w:val="0"/>
        <w:keepLines w:val="0"/>
        <w:pageBreakBefore w:val="0"/>
        <w:widowControl w:val="0"/>
        <w:numPr>
          <w:ilvl w:val="0"/>
          <w:numId w:val="274"/>
        </w:numPr>
        <w:tabs>
          <w:tab w:val="left" w:pos="1382"/>
        </w:tabs>
        <w:wordWrap/>
        <w:autoSpaceDE w:val="0"/>
        <w:autoSpaceDN w:val="0"/>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逾期不能组成清算组的，成员、债权人可以向人民法院申请指定成员组成清算组进行清算。</w:t>
      </w:r>
    </w:p>
    <w:p>
      <w:pPr>
        <w:pStyle w:val="5"/>
        <w:keepNext w:val="0"/>
        <w:keepLines w:val="0"/>
        <w:pageBreakBefore w:val="0"/>
        <w:widowControl w:val="0"/>
        <w:tabs>
          <w:tab w:val="left" w:pos="1520"/>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2.清算组的职责</w:t>
      </w:r>
    </w:p>
    <w:p>
      <w:pPr>
        <w:pStyle w:val="25"/>
        <w:keepNext w:val="0"/>
        <w:keepLines w:val="0"/>
        <w:pageBreakBefore w:val="0"/>
        <w:widowControl w:val="0"/>
        <w:numPr>
          <w:ilvl w:val="0"/>
          <w:numId w:val="275"/>
        </w:numPr>
        <w:tabs>
          <w:tab w:val="left" w:pos="1386"/>
        </w:tabs>
        <w:wordWrap/>
        <w:autoSpaceDE w:val="0"/>
        <w:autoSpaceDN w:val="0"/>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自成立之日起接管农民专业合作社，负责处理与清算有关未了结业务，清理财产和债权、债务，分配清偿债务后的剩余财产， 代表农民专业合作社参与诉讼、仲裁或者其他法律程序，并在清算结束时办理注销登记。</w:t>
      </w:r>
    </w:p>
    <w:p>
      <w:pPr>
        <w:pStyle w:val="25"/>
        <w:keepNext w:val="0"/>
        <w:keepLines w:val="0"/>
        <w:pageBreakBefore w:val="0"/>
        <w:widowControl w:val="0"/>
        <w:numPr>
          <w:ilvl w:val="0"/>
          <w:numId w:val="275"/>
        </w:numPr>
        <w:tabs>
          <w:tab w:val="left" w:pos="1386"/>
        </w:tabs>
        <w:wordWrap/>
        <w:autoSpaceDE w:val="0"/>
        <w:autoSpaceDN w:val="0"/>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自成立之日起十日内通知农民专业合作社成员和债权人， 并于六十日内在报纸上公告。</w:t>
      </w:r>
    </w:p>
    <w:p>
      <w:pPr>
        <w:pStyle w:val="25"/>
        <w:keepNext w:val="0"/>
        <w:keepLines w:val="0"/>
        <w:pageBreakBefore w:val="0"/>
        <w:widowControl w:val="0"/>
        <w:numPr>
          <w:ilvl w:val="0"/>
          <w:numId w:val="275"/>
        </w:numPr>
        <w:tabs>
          <w:tab w:val="left" w:pos="1382"/>
        </w:tabs>
        <w:wordWrap/>
        <w:autoSpaceDE w:val="0"/>
        <w:autoSpaceDN w:val="0"/>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对债权人申报债权的相关材料进行审查、登记。</w:t>
      </w:r>
    </w:p>
    <w:p>
      <w:pPr>
        <w:pStyle w:val="25"/>
        <w:keepNext w:val="0"/>
        <w:keepLines w:val="0"/>
        <w:pageBreakBefore w:val="0"/>
        <w:widowControl w:val="0"/>
        <w:numPr>
          <w:ilvl w:val="0"/>
          <w:numId w:val="275"/>
        </w:numPr>
        <w:tabs>
          <w:tab w:val="left" w:pos="1386"/>
        </w:tabs>
        <w:wordWrap/>
        <w:autoSpaceDE w:val="0"/>
        <w:autoSpaceDN w:val="0"/>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负责制定包括清偿农民专业合作社员工的工资及社会保险费用，清偿所欠税款和其他各项债务，以及分配剩余财产在内的清算方案。</w:t>
      </w:r>
    </w:p>
    <w:p>
      <w:pPr>
        <w:pStyle w:val="25"/>
        <w:keepNext w:val="0"/>
        <w:keepLines w:val="0"/>
        <w:pageBreakBefore w:val="0"/>
        <w:widowControl w:val="0"/>
        <w:numPr>
          <w:ilvl w:val="0"/>
          <w:numId w:val="275"/>
        </w:numPr>
        <w:tabs>
          <w:tab w:val="left" w:pos="1382"/>
        </w:tabs>
        <w:wordWrap/>
        <w:autoSpaceDE w:val="0"/>
        <w:autoSpaceDN w:val="0"/>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应当忠于职守，依法履行清算义务。</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491" w:name="第27条_设立农民专业合作社的出资形式及农民专业合作社及成员责任承担"/>
      <w:bookmarkEnd w:id="491"/>
      <w:r>
        <w:rPr>
          <w:rFonts w:hint="eastAsia" w:ascii="仿宋_GB2312" w:hAnsi="仿宋" w:eastAsia="仿宋_GB2312" w:cs="仿宋"/>
          <w:color w:val="000000"/>
          <w:sz w:val="28"/>
          <w:szCs w:val="28"/>
        </w:rPr>
        <w:t>第二十七条  设立农民专业合作社的出资形式及农民专业合作社及成员责任承担</w:t>
      </w:r>
    </w:p>
    <w:p>
      <w:pPr>
        <w:pStyle w:val="25"/>
        <w:keepNext w:val="0"/>
        <w:keepLines w:val="0"/>
        <w:pageBreakBefore w:val="0"/>
        <w:widowControl w:val="0"/>
        <w:numPr>
          <w:ilvl w:val="0"/>
          <w:numId w:val="0"/>
        </w:numPr>
        <w:tabs>
          <w:tab w:val="left" w:pos="1241"/>
        </w:tabs>
        <w:wordWrap/>
        <w:autoSpaceDE w:val="0"/>
        <w:autoSpaceDN w:val="0"/>
        <w:bidi w:val="0"/>
        <w:spacing w:line="500" w:lineRule="exact"/>
        <w:ind w:firstLine="562" w:firstLineChars="200"/>
        <w:jc w:val="both"/>
        <w:rPr>
          <w:rFonts w:hint="eastAsia" w:ascii="仿宋_GB2312" w:hAnsi="仿宋" w:eastAsia="仿宋_GB2312" w:cs="仿宋"/>
          <w:b/>
          <w:color w:val="000000"/>
          <w:sz w:val="28"/>
          <w:szCs w:val="28"/>
        </w:rPr>
      </w:pPr>
      <w:bookmarkStart w:id="492" w:name="27.1设立农民专业合作社的出资形式"/>
      <w:bookmarkEnd w:id="492"/>
      <w:r>
        <w:rPr>
          <w:rFonts w:hint="eastAsia" w:ascii="仿宋_GB2312" w:hAnsi="仿宋" w:eastAsia="仿宋_GB2312" w:cs="仿宋"/>
          <w:b/>
          <w:color w:val="000000"/>
          <w:sz w:val="28"/>
          <w:szCs w:val="28"/>
        </w:rPr>
        <w:t>（一）设立农民专业合作社的出资形式</w:t>
      </w:r>
    </w:p>
    <w:p>
      <w:pPr>
        <w:pStyle w:val="25"/>
        <w:keepNext w:val="0"/>
        <w:keepLines w:val="0"/>
        <w:pageBreakBefore w:val="0"/>
        <w:widowControl w:val="0"/>
        <w:numPr>
          <w:ilvl w:val="0"/>
          <w:numId w:val="276"/>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货币出资；</w:t>
      </w:r>
    </w:p>
    <w:p>
      <w:pPr>
        <w:pStyle w:val="25"/>
        <w:keepNext w:val="0"/>
        <w:keepLines w:val="0"/>
        <w:pageBreakBefore w:val="0"/>
        <w:widowControl w:val="0"/>
        <w:numPr>
          <w:ilvl w:val="0"/>
          <w:numId w:val="276"/>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实物出资；</w:t>
      </w:r>
    </w:p>
    <w:p>
      <w:pPr>
        <w:pStyle w:val="25"/>
        <w:keepNext w:val="0"/>
        <w:keepLines w:val="0"/>
        <w:pageBreakBefore w:val="0"/>
        <w:widowControl w:val="0"/>
        <w:numPr>
          <w:ilvl w:val="0"/>
          <w:numId w:val="276"/>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知识产权、土地经营权、林权等可以用货币估价并可以依法转让的非货币财；</w:t>
      </w:r>
    </w:p>
    <w:p>
      <w:pPr>
        <w:pStyle w:val="25"/>
        <w:keepNext w:val="0"/>
        <w:keepLines w:val="0"/>
        <w:pageBreakBefore w:val="0"/>
        <w:widowControl w:val="0"/>
        <w:numPr>
          <w:ilvl w:val="0"/>
          <w:numId w:val="276"/>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章程规定非法律、行政法规规定的不得作为出资的财产的出资方式。</w:t>
      </w:r>
    </w:p>
    <w:p>
      <w:pPr>
        <w:pStyle w:val="5"/>
        <w:keepNext w:val="0"/>
        <w:keepLines w:val="0"/>
        <w:pageBreakBefore w:val="0"/>
        <w:widowControl w:val="0"/>
        <w:tabs>
          <w:tab w:val="left" w:pos="1241"/>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bookmarkStart w:id="493" w:name="27.2农民专业合作社及成员的责任承担"/>
      <w:bookmarkEnd w:id="493"/>
      <w:r>
        <w:rPr>
          <w:rFonts w:hint="eastAsia" w:ascii="仿宋_GB2312" w:hAnsi="仿宋" w:eastAsia="仿宋_GB2312" w:cs="仿宋"/>
          <w:color w:val="000000"/>
          <w:sz w:val="28"/>
          <w:szCs w:val="28"/>
        </w:rPr>
        <w:t>（二）农民专业合作社及成员的责任承担</w:t>
      </w:r>
    </w:p>
    <w:p>
      <w:pPr>
        <w:pStyle w:val="25"/>
        <w:keepNext w:val="0"/>
        <w:keepLines w:val="0"/>
        <w:pageBreakBefore w:val="0"/>
        <w:widowControl w:val="0"/>
        <w:numPr>
          <w:ilvl w:val="0"/>
          <w:numId w:val="277"/>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农民专业合作社对由成员出资、公积金、国家财政直接补助、他人捐赠以及合法取得的其他资产所形成的财产，享有占有、使用和处分的权利，并以上述财产对债务承担责任。</w:t>
      </w:r>
    </w:p>
    <w:p>
      <w:pPr>
        <w:pStyle w:val="25"/>
        <w:keepNext w:val="0"/>
        <w:keepLines w:val="0"/>
        <w:pageBreakBefore w:val="0"/>
        <w:widowControl w:val="0"/>
        <w:numPr>
          <w:ilvl w:val="0"/>
          <w:numId w:val="277"/>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农民专业合作社成员以其账户内记载的出资额和公积金份额为限对农民专业合作社承担责任。</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494" w:name="第28条_农民专业合作社章程内容"/>
      <w:bookmarkEnd w:id="494"/>
      <w:r>
        <w:rPr>
          <w:rFonts w:hint="eastAsia" w:ascii="仿宋_GB2312" w:hAnsi="仿宋" w:eastAsia="仿宋_GB2312" w:cs="仿宋"/>
          <w:color w:val="000000"/>
          <w:sz w:val="28"/>
          <w:szCs w:val="28"/>
        </w:rPr>
        <w:t>第二十八条  农民专业合作社章程内容</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农民专业合作社章程应载明的事项</w:t>
      </w:r>
    </w:p>
    <w:p>
      <w:pPr>
        <w:pStyle w:val="7"/>
        <w:keepNext w:val="0"/>
        <w:keepLines w:val="0"/>
        <w:pageBreakBefore w:val="0"/>
        <w:widowControl w:val="0"/>
        <w:numPr>
          <w:ilvl w:val="0"/>
          <w:numId w:val="278"/>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名称和住所；</w:t>
      </w:r>
    </w:p>
    <w:p>
      <w:pPr>
        <w:pStyle w:val="7"/>
        <w:keepNext w:val="0"/>
        <w:keepLines w:val="0"/>
        <w:pageBreakBefore w:val="0"/>
        <w:widowControl w:val="0"/>
        <w:numPr>
          <w:ilvl w:val="0"/>
          <w:numId w:val="278"/>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业务范围；</w:t>
      </w:r>
    </w:p>
    <w:p>
      <w:pPr>
        <w:pStyle w:val="7"/>
        <w:keepNext w:val="0"/>
        <w:keepLines w:val="0"/>
        <w:pageBreakBefore w:val="0"/>
        <w:widowControl w:val="0"/>
        <w:numPr>
          <w:ilvl w:val="0"/>
          <w:numId w:val="278"/>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成员资格及入社、退社和除名；</w:t>
      </w:r>
    </w:p>
    <w:p>
      <w:pPr>
        <w:pStyle w:val="7"/>
        <w:keepNext w:val="0"/>
        <w:keepLines w:val="0"/>
        <w:pageBreakBefore w:val="0"/>
        <w:widowControl w:val="0"/>
        <w:numPr>
          <w:ilvl w:val="0"/>
          <w:numId w:val="278"/>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成员的权利和义务；</w:t>
      </w:r>
    </w:p>
    <w:p>
      <w:pPr>
        <w:pStyle w:val="7"/>
        <w:keepNext w:val="0"/>
        <w:keepLines w:val="0"/>
        <w:pageBreakBefore w:val="0"/>
        <w:widowControl w:val="0"/>
        <w:numPr>
          <w:ilvl w:val="0"/>
          <w:numId w:val="278"/>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组织机构及其产生办法、职权、任期、议事规则；</w:t>
      </w:r>
    </w:p>
    <w:p>
      <w:pPr>
        <w:pStyle w:val="7"/>
        <w:keepNext w:val="0"/>
        <w:keepLines w:val="0"/>
        <w:pageBreakBefore w:val="0"/>
        <w:widowControl w:val="0"/>
        <w:numPr>
          <w:ilvl w:val="0"/>
          <w:numId w:val="278"/>
        </w:numPr>
        <w:tabs>
          <w:tab w:val="left" w:pos="0"/>
          <w:tab w:val="left" w:pos="200"/>
        </w:tabs>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成员的出资方式、出资额，成员出资的转让、继承、担保；</w:t>
      </w:r>
    </w:p>
    <w:p>
      <w:pPr>
        <w:pStyle w:val="7"/>
        <w:keepNext w:val="0"/>
        <w:keepLines w:val="0"/>
        <w:pageBreakBefore w:val="0"/>
        <w:widowControl w:val="0"/>
        <w:numPr>
          <w:ilvl w:val="0"/>
          <w:numId w:val="278"/>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财务管理和盈余分配、亏损处理；</w:t>
      </w:r>
    </w:p>
    <w:p>
      <w:pPr>
        <w:pStyle w:val="7"/>
        <w:keepNext w:val="0"/>
        <w:keepLines w:val="0"/>
        <w:pageBreakBefore w:val="0"/>
        <w:widowControl w:val="0"/>
        <w:numPr>
          <w:ilvl w:val="0"/>
          <w:numId w:val="278"/>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章程修改程序；</w:t>
      </w:r>
    </w:p>
    <w:p>
      <w:pPr>
        <w:pStyle w:val="7"/>
        <w:keepNext w:val="0"/>
        <w:keepLines w:val="0"/>
        <w:pageBreakBefore w:val="0"/>
        <w:widowControl w:val="0"/>
        <w:numPr>
          <w:ilvl w:val="0"/>
          <w:numId w:val="278"/>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解散事由和清算办法；</w:t>
      </w:r>
    </w:p>
    <w:p>
      <w:pPr>
        <w:pStyle w:val="7"/>
        <w:keepNext w:val="0"/>
        <w:keepLines w:val="0"/>
        <w:pageBreakBefore w:val="0"/>
        <w:widowControl w:val="0"/>
        <w:numPr>
          <w:ilvl w:val="0"/>
          <w:numId w:val="278"/>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公告事项及发布方式；</w:t>
      </w:r>
    </w:p>
    <w:p>
      <w:pPr>
        <w:pStyle w:val="7"/>
        <w:keepNext w:val="0"/>
        <w:keepLines w:val="0"/>
        <w:pageBreakBefore w:val="0"/>
        <w:widowControl w:val="0"/>
        <w:numPr>
          <w:ilvl w:val="0"/>
          <w:numId w:val="278"/>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附加表决权的设立、行使方式和行使范围；</w:t>
      </w:r>
    </w:p>
    <w:p>
      <w:pPr>
        <w:pStyle w:val="7"/>
        <w:keepNext w:val="0"/>
        <w:keepLines w:val="0"/>
        <w:pageBreakBefore w:val="0"/>
        <w:widowControl w:val="0"/>
        <w:numPr>
          <w:ilvl w:val="0"/>
          <w:numId w:val="278"/>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需要载明的其他事项。</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495" w:name="第29条_成为农民专业合作社成员的条件"/>
      <w:bookmarkEnd w:id="495"/>
      <w:r>
        <w:rPr>
          <w:rFonts w:hint="eastAsia" w:ascii="仿宋_GB2312" w:hAnsi="仿宋" w:eastAsia="仿宋_GB2312" w:cs="仿宋"/>
          <w:color w:val="000000"/>
          <w:sz w:val="28"/>
          <w:szCs w:val="28"/>
        </w:rPr>
        <w:t>第二十九条  成为农民专业合作社成员的条件</w:t>
      </w:r>
    </w:p>
    <w:p>
      <w:pPr>
        <w:pStyle w:val="25"/>
        <w:keepNext w:val="0"/>
        <w:keepLines w:val="0"/>
        <w:pageBreakBefore w:val="0"/>
        <w:widowControl w:val="0"/>
        <w:numPr>
          <w:ilvl w:val="0"/>
          <w:numId w:val="279"/>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具有民事行为能力的公民；</w:t>
      </w:r>
    </w:p>
    <w:p>
      <w:pPr>
        <w:pStyle w:val="25"/>
        <w:keepNext w:val="0"/>
        <w:keepLines w:val="0"/>
        <w:pageBreakBefore w:val="0"/>
        <w:widowControl w:val="0"/>
        <w:numPr>
          <w:ilvl w:val="0"/>
          <w:numId w:val="279"/>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从事与农民专业合作社业务直接有关的生产经营活动的企业、事业单位或者社会组织，能够利用农民专业合作社提供的服务，承认并遵守农民专业合作社章程，履行章程规定的入社手续的。</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496" w:name="第30条_农民专业合作社的组织机构"/>
      <w:bookmarkEnd w:id="496"/>
      <w:r>
        <w:rPr>
          <w:rFonts w:hint="eastAsia" w:ascii="仿宋_GB2312" w:hAnsi="仿宋" w:eastAsia="仿宋_GB2312" w:cs="仿宋"/>
          <w:color w:val="000000"/>
          <w:sz w:val="28"/>
          <w:szCs w:val="28"/>
        </w:rPr>
        <w:t>第三十条  农民专业合作社的组织机构</w:t>
      </w:r>
    </w:p>
    <w:p>
      <w:pPr>
        <w:pStyle w:val="7"/>
        <w:keepNext w:val="0"/>
        <w:keepLines w:val="0"/>
        <w:pageBreakBefore w:val="0"/>
        <w:widowControl w:val="0"/>
        <w:numPr>
          <w:ilvl w:val="0"/>
          <w:numId w:val="280"/>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农民专业合作社可以设立成员大会、成员代表大会、理事会、监事会。</w:t>
      </w:r>
    </w:p>
    <w:p>
      <w:pPr>
        <w:pStyle w:val="7"/>
        <w:keepNext w:val="0"/>
        <w:keepLines w:val="0"/>
        <w:pageBreakBefore w:val="0"/>
        <w:widowControl w:val="0"/>
        <w:numPr>
          <w:ilvl w:val="0"/>
          <w:numId w:val="280"/>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bCs/>
          <w:color w:val="000000"/>
          <w:sz w:val="28"/>
          <w:szCs w:val="28"/>
        </w:rPr>
        <w:t>成员大会</w:t>
      </w:r>
      <w:r>
        <w:rPr>
          <w:rFonts w:hint="eastAsia" w:ascii="仿宋_GB2312" w:hAnsi="仿宋" w:eastAsia="仿宋_GB2312" w:cs="仿宋"/>
          <w:color w:val="000000"/>
          <w:sz w:val="28"/>
          <w:szCs w:val="28"/>
        </w:rPr>
        <w:t>由全体成员组成，是本社的权利机构行使下列职权：</w:t>
      </w:r>
    </w:p>
    <w:p>
      <w:pPr>
        <w:pStyle w:val="25"/>
        <w:keepNext w:val="0"/>
        <w:keepLines w:val="0"/>
        <w:pageBreakBefore w:val="0"/>
        <w:widowControl w:val="0"/>
        <w:numPr>
          <w:ilvl w:val="0"/>
          <w:numId w:val="281"/>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修改章程；</w:t>
      </w:r>
    </w:p>
    <w:p>
      <w:pPr>
        <w:pStyle w:val="25"/>
        <w:keepNext w:val="0"/>
        <w:keepLines w:val="0"/>
        <w:pageBreakBefore w:val="0"/>
        <w:widowControl w:val="0"/>
        <w:numPr>
          <w:ilvl w:val="0"/>
          <w:numId w:val="281"/>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选举和罢免理事长、理事、执行监事或者监事会成员；</w:t>
      </w:r>
    </w:p>
    <w:p>
      <w:pPr>
        <w:pStyle w:val="25"/>
        <w:keepNext w:val="0"/>
        <w:keepLines w:val="0"/>
        <w:pageBreakBefore w:val="0"/>
        <w:widowControl w:val="0"/>
        <w:numPr>
          <w:ilvl w:val="0"/>
          <w:numId w:val="281"/>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决定重大财产处置、对外投资、对外担保和生产经营活动中的其他重大事项；</w:t>
      </w:r>
    </w:p>
    <w:p>
      <w:pPr>
        <w:pStyle w:val="25"/>
        <w:keepNext w:val="0"/>
        <w:keepLines w:val="0"/>
        <w:pageBreakBefore w:val="0"/>
        <w:widowControl w:val="0"/>
        <w:numPr>
          <w:ilvl w:val="0"/>
          <w:numId w:val="281"/>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批准年度业务报告、盈余分配方案、亏损处理方案；</w:t>
      </w:r>
    </w:p>
    <w:p>
      <w:pPr>
        <w:pStyle w:val="25"/>
        <w:keepNext w:val="0"/>
        <w:keepLines w:val="0"/>
        <w:pageBreakBefore w:val="0"/>
        <w:widowControl w:val="0"/>
        <w:numPr>
          <w:ilvl w:val="0"/>
          <w:numId w:val="281"/>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对合并、分立、解散、清算，以及设立、加入联合社等作出决议；</w:t>
      </w:r>
    </w:p>
    <w:p>
      <w:pPr>
        <w:pStyle w:val="25"/>
        <w:keepNext w:val="0"/>
        <w:keepLines w:val="0"/>
        <w:pageBreakBefore w:val="0"/>
        <w:widowControl w:val="0"/>
        <w:numPr>
          <w:ilvl w:val="0"/>
          <w:numId w:val="281"/>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决定聘用经营管理人员和专业技术人员的数量、资格和任期；</w:t>
      </w:r>
    </w:p>
    <w:p>
      <w:pPr>
        <w:pStyle w:val="25"/>
        <w:keepNext w:val="0"/>
        <w:keepLines w:val="0"/>
        <w:pageBreakBefore w:val="0"/>
        <w:widowControl w:val="0"/>
        <w:numPr>
          <w:ilvl w:val="0"/>
          <w:numId w:val="281"/>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听取理事长或者理事会关于成员变动情况的报告，对成员的入社、除名等作出决议；</w:t>
      </w:r>
    </w:p>
    <w:p>
      <w:pPr>
        <w:pStyle w:val="25"/>
        <w:keepNext w:val="0"/>
        <w:keepLines w:val="0"/>
        <w:pageBreakBefore w:val="0"/>
        <w:widowControl w:val="0"/>
        <w:numPr>
          <w:ilvl w:val="0"/>
          <w:numId w:val="281"/>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公积金的提取及使用；</w:t>
      </w:r>
    </w:p>
    <w:p>
      <w:pPr>
        <w:pStyle w:val="25"/>
        <w:keepNext w:val="0"/>
        <w:keepLines w:val="0"/>
        <w:pageBreakBefore w:val="0"/>
        <w:widowControl w:val="0"/>
        <w:numPr>
          <w:ilvl w:val="0"/>
          <w:numId w:val="281"/>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章程规定的其他职权。</w:t>
      </w:r>
    </w:p>
    <w:p>
      <w:pPr>
        <w:pStyle w:val="7"/>
        <w:keepNext w:val="0"/>
        <w:keepLines w:val="0"/>
        <w:pageBreakBefore w:val="0"/>
        <w:widowControl w:val="0"/>
        <w:wordWrap/>
        <w:bidi w:val="0"/>
        <w:spacing w:beforeLines="0" w:after="0" w:afterLines="0" w:line="500" w:lineRule="exact"/>
        <w:ind w:firstLine="604"/>
        <w:jc w:val="both"/>
        <w:rPr>
          <w:rFonts w:hint="eastAsia" w:ascii="仿宋_GB2312" w:hAnsi="仿宋" w:eastAsia="仿宋_GB2312" w:cs="仿宋"/>
          <w:bCs/>
          <w:color w:val="000000"/>
          <w:sz w:val="28"/>
          <w:szCs w:val="28"/>
        </w:rPr>
      </w:pPr>
      <w:r>
        <w:rPr>
          <w:rFonts w:hint="eastAsia" w:ascii="仿宋_GB2312" w:hAnsi="仿宋" w:eastAsia="仿宋_GB2312" w:cs="仿宋"/>
          <w:b/>
          <w:color w:val="000000"/>
          <w:sz w:val="28"/>
          <w:szCs w:val="28"/>
          <w:lang w:eastAsia="zh-CN"/>
        </w:rPr>
        <w:t>（三）</w:t>
      </w:r>
      <w:r>
        <w:rPr>
          <w:rFonts w:hint="eastAsia" w:ascii="仿宋_GB2312" w:hAnsi="仿宋" w:eastAsia="仿宋_GB2312" w:cs="仿宋"/>
          <w:b/>
          <w:color w:val="000000"/>
          <w:sz w:val="28"/>
          <w:szCs w:val="28"/>
        </w:rPr>
        <w:t>成员代表大会设立的条件：</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bCs/>
          <w:color w:val="000000"/>
          <w:sz w:val="28"/>
          <w:szCs w:val="28"/>
        </w:rPr>
      </w:pPr>
      <w:r>
        <w:rPr>
          <w:rFonts w:hint="eastAsia" w:ascii="仿宋_GB2312" w:hAnsi="仿宋" w:eastAsia="仿宋_GB2312" w:cs="仿宋"/>
          <w:bCs/>
          <w:color w:val="000000"/>
          <w:sz w:val="28"/>
          <w:szCs w:val="28"/>
        </w:rPr>
        <w:t>农民专业合作社成员超过一百五十人的，可以按照章程规定设立。成员代表大会按照章程规定可以行使成员大会的部分或者全部职权。</w:t>
      </w:r>
    </w:p>
    <w:p>
      <w:pPr>
        <w:pStyle w:val="7"/>
        <w:keepNext w:val="0"/>
        <w:keepLines w:val="0"/>
        <w:pageBreakBefore w:val="0"/>
        <w:widowControl w:val="0"/>
        <w:wordWrap/>
        <w:bidi w:val="0"/>
        <w:spacing w:beforeLines="0" w:after="0" w:afterLines="0" w:line="500" w:lineRule="exact"/>
        <w:ind w:firstLine="604"/>
        <w:jc w:val="both"/>
        <w:rPr>
          <w:rFonts w:hint="eastAsia" w:ascii="仿宋_GB2312" w:hAnsi="仿宋" w:eastAsia="仿宋_GB2312" w:cs="仿宋"/>
          <w:b/>
          <w:color w:val="000000"/>
          <w:sz w:val="28"/>
          <w:szCs w:val="28"/>
          <w:lang w:eastAsia="zh-CN"/>
        </w:rPr>
      </w:pPr>
      <w:r>
        <w:rPr>
          <w:rFonts w:hint="eastAsia" w:ascii="仿宋_GB2312" w:hAnsi="仿宋" w:eastAsia="仿宋_GB2312" w:cs="仿宋"/>
          <w:b/>
          <w:color w:val="000000"/>
          <w:sz w:val="28"/>
          <w:szCs w:val="28"/>
          <w:lang w:eastAsia="zh-CN"/>
        </w:rPr>
        <w:t>（四）农民专业合作社理事会、监事会</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bCs/>
          <w:color w:val="000000"/>
          <w:sz w:val="28"/>
          <w:szCs w:val="28"/>
        </w:rPr>
        <w:t>农民专业合作社</w:t>
      </w:r>
      <w:r>
        <w:rPr>
          <w:rFonts w:hint="eastAsia" w:ascii="仿宋_GB2312" w:hAnsi="仿宋" w:eastAsia="仿宋_GB2312" w:cs="仿宋"/>
          <w:color w:val="000000"/>
          <w:sz w:val="28"/>
          <w:szCs w:val="28"/>
        </w:rPr>
        <w:t>设理事长一名，可以设理事会。理事长为本社的法定代表人。农民专业合作社可以设执行监事或者监事会。理事长、理事、经理和财务会计人员不得兼任监事。理事长、理事、执行监事或者监事会成员，由成员大会从本社成员中选举产生，依照本法和章程的规定行使职权，对成员大会负责。</w:t>
      </w:r>
      <w:bookmarkStart w:id="497" w:name="_bookmark19"/>
      <w:bookmarkEnd w:id="497"/>
      <w:bookmarkStart w:id="498" w:name="（三）农民专业合作社业务操作提示"/>
      <w:bookmarkEnd w:id="498"/>
    </w:p>
    <w:p>
      <w:pPr>
        <w:pStyle w:val="4"/>
        <w:keepNext w:val="0"/>
        <w:keepLines w:val="0"/>
        <w:pageBreakBefore w:val="0"/>
        <w:widowControl w:val="0"/>
        <w:wordWrap/>
        <w:bidi w:val="0"/>
        <w:spacing w:before="0" w:after="0" w:line="500" w:lineRule="exact"/>
        <w:ind w:firstLine="562" w:firstLineChars="200"/>
        <w:jc w:val="both"/>
        <w:rPr>
          <w:rFonts w:hint="eastAsia" w:ascii="仿宋_GB2312" w:hAnsi="仿宋" w:eastAsia="仿宋_GB2312" w:cs="仿宋"/>
          <w:color w:val="000000"/>
          <w:sz w:val="28"/>
          <w:szCs w:val="28"/>
        </w:rPr>
      </w:pPr>
      <w:bookmarkStart w:id="499" w:name="第31条_操作提示"/>
      <w:bookmarkEnd w:id="499"/>
      <w:r>
        <w:rPr>
          <w:rFonts w:hint="eastAsia" w:ascii="仿宋_GB2312" w:hAnsi="仿宋" w:eastAsia="仿宋_GB2312" w:cs="仿宋"/>
          <w:color w:val="000000"/>
          <w:sz w:val="28"/>
          <w:szCs w:val="28"/>
        </w:rPr>
        <w:t>第三十一条  农民专业合作社业务操作提示</w:t>
      </w:r>
    </w:p>
    <w:p>
      <w:pPr>
        <w:pStyle w:val="25"/>
        <w:keepNext w:val="0"/>
        <w:keepLines w:val="0"/>
        <w:pageBreakBefore w:val="0"/>
        <w:widowControl w:val="0"/>
        <w:numPr>
          <w:ilvl w:val="0"/>
          <w:numId w:val="0"/>
        </w:numPr>
        <w:tabs>
          <w:tab w:val="left" w:pos="1241"/>
        </w:tabs>
        <w:wordWrap/>
        <w:autoSpaceDE w:val="0"/>
        <w:autoSpaceDN w:val="0"/>
        <w:bidi w:val="0"/>
        <w:spacing w:line="500" w:lineRule="exact"/>
        <w:ind w:firstLine="562" w:firstLineChars="200"/>
        <w:jc w:val="both"/>
        <w:rPr>
          <w:rFonts w:hint="eastAsia" w:ascii="仿宋_GB2312" w:hAnsi="仿宋" w:eastAsia="仿宋_GB2312" w:cs="仿宋"/>
          <w:b/>
          <w:color w:val="000000"/>
          <w:sz w:val="28"/>
          <w:szCs w:val="28"/>
        </w:rPr>
      </w:pPr>
      <w:bookmarkStart w:id="500" w:name="31.1律师在受委托办理农民专业合作社设立时注意事项"/>
      <w:bookmarkEnd w:id="500"/>
      <w:r>
        <w:rPr>
          <w:rFonts w:hint="eastAsia" w:ascii="仿宋_GB2312" w:hAnsi="仿宋" w:eastAsia="仿宋_GB2312" w:cs="仿宋"/>
          <w:b/>
          <w:color w:val="000000"/>
          <w:sz w:val="28"/>
          <w:szCs w:val="28"/>
        </w:rPr>
        <w:t>（一）律师在受委托办理农民专业合作社设立时注意事项</w:t>
      </w:r>
    </w:p>
    <w:p>
      <w:pPr>
        <w:pStyle w:val="25"/>
        <w:keepNext w:val="0"/>
        <w:keepLines w:val="0"/>
        <w:pageBreakBefore w:val="0"/>
        <w:widowControl w:val="0"/>
        <w:numPr>
          <w:ilvl w:val="0"/>
          <w:numId w:val="282"/>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审核设立人的有关情况，应保证设立人数符合法律关于最低人数的限制，即至少要有 5 名以上设立人。</w:t>
      </w:r>
    </w:p>
    <w:p>
      <w:pPr>
        <w:pStyle w:val="25"/>
        <w:keepNext w:val="0"/>
        <w:keepLines w:val="0"/>
        <w:pageBreakBefore w:val="0"/>
        <w:widowControl w:val="0"/>
        <w:numPr>
          <w:ilvl w:val="0"/>
          <w:numId w:val="282"/>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核资格：合作社的成员为农民的，成员身份证明为农业人口户口簿；无农业人口户口簿的，成员身份证明为居民身份证和土地承包经营权证或者村民委员会（居民委员会）出具的身份证明。合作社的成员不属于农民的，成员身份证明为居民身份证。合作社成员为企业、事业单位、社会团体成员的，应要求这些设立人提交企业法人营业执照或者其他登记证书、有权决定对外出资的部门的决议等证明文件，如需有关主管部门审批的还需提交审批文件。根据法律规定，具有管理公共事务职能的单位（如村民委员会）不得加入合作社。</w:t>
      </w:r>
    </w:p>
    <w:p>
      <w:pPr>
        <w:pStyle w:val="25"/>
        <w:keepNext w:val="0"/>
        <w:keepLines w:val="0"/>
        <w:pageBreakBefore w:val="0"/>
        <w:widowControl w:val="0"/>
        <w:numPr>
          <w:ilvl w:val="0"/>
          <w:numId w:val="282"/>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按照法律的规定，控制不同身份、性质成员的比例。合作社的成员中，农民至少应当占成员总数的80%；成员总数 20 人以下的，可以有一个企业、事业单位或者社会团体成员；成员总数超过20 人的，企业、事业单位和社会团体成员不得超过成员总数的 5%。</w:t>
      </w:r>
    </w:p>
    <w:p>
      <w:pPr>
        <w:pStyle w:val="25"/>
        <w:keepNext w:val="0"/>
        <w:keepLines w:val="0"/>
        <w:pageBreakBefore w:val="0"/>
        <w:widowControl w:val="0"/>
        <w:numPr>
          <w:ilvl w:val="0"/>
          <w:numId w:val="282"/>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上述审核工作中，律师应当根据合作社的特点和实际情况，要求设立人填写书面表格，提供与原件核实一致的真实、完整、齐备的证明材料等。</w:t>
      </w:r>
    </w:p>
    <w:p>
      <w:pPr>
        <w:pStyle w:val="25"/>
        <w:keepNext w:val="0"/>
        <w:keepLines w:val="0"/>
        <w:pageBreakBefore w:val="0"/>
        <w:widowControl w:val="0"/>
        <w:numPr>
          <w:ilvl w:val="0"/>
          <w:numId w:val="282"/>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确定出资事项：经设立人协商，应确定合作社出资总额的基本数额，明确成员可以出资的方式，一般而言成员出资的方式有现金、实物、知识产权或非专利技术等。明确成员出资是否需要转移占有。办理出资的评估、认价、资产转移等事项。注意农民专业合作社成员不得以对该社或者其他成员的债权，充抵出资；不得以缴纳的出资，抵销对该社或者其他成员的债务。</w:t>
      </w:r>
    </w:p>
    <w:p>
      <w:pPr>
        <w:pStyle w:val="5"/>
        <w:keepNext w:val="0"/>
        <w:keepLines w:val="0"/>
        <w:pageBreakBefore w:val="0"/>
        <w:widowControl w:val="0"/>
        <w:tabs>
          <w:tab w:val="left" w:pos="1311"/>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（二）律师受委托起草农民专业合作社章程注意事项</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首先应当区分强制性规范和任意性规范、绝对必要记载事项和相对必要记载事项；章程中必须记载的事项为《中华人民共和国农民专业合作社法》第十五条列明的的事项，其中</w:t>
      </w:r>
      <w:r>
        <w:rPr>
          <w:rFonts w:hint="eastAsia" w:ascii="仿宋_GB2312" w:hAnsi="仿宋" w:eastAsia="仿宋_GB2312" w:cs="仿宋"/>
          <w:color w:val="000000"/>
          <w:sz w:val="28"/>
          <w:szCs w:val="28"/>
          <w:lang w:eastAsia="zh-CN"/>
        </w:rPr>
        <w:t>：</w:t>
      </w:r>
    </w:p>
    <w:p>
      <w:pPr>
        <w:pStyle w:val="7"/>
        <w:keepNext w:val="0"/>
        <w:keepLines w:val="0"/>
        <w:pageBreakBefore w:val="0"/>
        <w:widowControl w:val="0"/>
        <w:numPr>
          <w:ilvl w:val="0"/>
          <w:numId w:val="283"/>
        </w:numPr>
        <w:wordWrap/>
        <w:autoSpaceDE w:val="0"/>
        <w:autoSpaceDN w:val="0"/>
        <w:bidi w:val="0"/>
        <w:snapToGrid/>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名称和住所：一般应采取以下格式确定合作社的名称，区域+字号+行业类别+“专业合作社”；住所应为合作社主要办事机构所在地并且应当在其登记机关辖区内，经登记机关登记的合作社住所只能有一个。</w:t>
      </w:r>
    </w:p>
    <w:p>
      <w:pPr>
        <w:pStyle w:val="7"/>
        <w:keepNext w:val="0"/>
        <w:keepLines w:val="0"/>
        <w:pageBreakBefore w:val="0"/>
        <w:widowControl w:val="0"/>
        <w:numPr>
          <w:ilvl w:val="0"/>
          <w:numId w:val="283"/>
        </w:numPr>
        <w:wordWrap/>
        <w:autoSpaceDE w:val="0"/>
        <w:autoSpaceDN w:val="0"/>
        <w:bidi w:val="0"/>
        <w:snapToGrid/>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章程修改程序：根据法律规定，修改章程的权力应属于成员（代表）大会，而且应当由本社成员表决权总数的三分之二以上通过。章程对表决权数有较高规定的，从其规定。</w:t>
      </w:r>
    </w:p>
    <w:p>
      <w:pPr>
        <w:pStyle w:val="5"/>
        <w:keepNext w:val="0"/>
        <w:keepLines w:val="0"/>
        <w:pageBreakBefore w:val="0"/>
        <w:widowControl w:val="0"/>
        <w:tabs>
          <w:tab w:val="left" w:pos="1311"/>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bookmarkStart w:id="501" w:name="31.3_律师办理农民专业合作社解散、清算案件注意事项"/>
      <w:bookmarkEnd w:id="501"/>
      <w:r>
        <w:rPr>
          <w:rFonts w:hint="eastAsia" w:ascii="仿宋_GB2312" w:hAnsi="仿宋" w:eastAsia="仿宋_GB2312" w:cs="仿宋"/>
          <w:color w:val="000000"/>
          <w:sz w:val="28"/>
          <w:szCs w:val="28"/>
        </w:rPr>
        <w:t>（三）律师办理农民专业合作社解散、清算案件注意事项</w:t>
      </w:r>
    </w:p>
    <w:p>
      <w:pPr>
        <w:pStyle w:val="25"/>
        <w:keepNext w:val="0"/>
        <w:keepLines w:val="0"/>
        <w:pageBreakBefore w:val="0"/>
        <w:widowControl w:val="0"/>
        <w:numPr>
          <w:ilvl w:val="0"/>
          <w:numId w:val="284"/>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需要公告的事项主要有成员（代表）大会、理事会、监事会的召开时间、地点、议题和决议，合作社的各项规章制度，盈余分配、亏损承担的方案，成员变动情况等。</w:t>
      </w:r>
    </w:p>
    <w:p>
      <w:pPr>
        <w:pStyle w:val="25"/>
        <w:keepNext w:val="0"/>
        <w:keepLines w:val="0"/>
        <w:pageBreakBefore w:val="0"/>
        <w:widowControl w:val="0"/>
        <w:numPr>
          <w:ilvl w:val="0"/>
          <w:numId w:val="284"/>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公告的方式：应该根据当地的实际情况，按照快捷、简便、易于为广大成员了解的原则，决定公告的方式，可选取的方式有张榜公布、社区广播、定期通信、网络传播等。</w:t>
      </w:r>
    </w:p>
    <w:p>
      <w:pPr>
        <w:pStyle w:val="25"/>
        <w:keepNext w:val="0"/>
        <w:keepLines w:val="0"/>
        <w:pageBreakBefore w:val="0"/>
        <w:widowControl w:val="0"/>
        <w:numPr>
          <w:ilvl w:val="0"/>
          <w:numId w:val="284"/>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在申报债权期间，清算组不得对债权人进行清偿。</w:t>
      </w:r>
    </w:p>
    <w:p>
      <w:pPr>
        <w:pStyle w:val="25"/>
        <w:keepNext w:val="0"/>
        <w:keepLines w:val="0"/>
        <w:pageBreakBefore w:val="0"/>
        <w:widowControl w:val="0"/>
        <w:numPr>
          <w:ilvl w:val="0"/>
          <w:numId w:val="284"/>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农民专业合作社因章程规定的解散事由出现而解散，或者人民法院受理破产申请时，不能办理成员退社手续。</w:t>
      </w:r>
    </w:p>
    <w:p>
      <w:pPr>
        <w:pStyle w:val="25"/>
        <w:keepNext w:val="0"/>
        <w:keepLines w:val="0"/>
        <w:pageBreakBefore w:val="0"/>
        <w:widowControl w:val="0"/>
        <w:numPr>
          <w:ilvl w:val="0"/>
          <w:numId w:val="284"/>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农民专业合作社接受国家财政直接补助形成的财产，在解散、破产清算时，不得作为可分配剩余资产分配给成员，具体按照国务院财政部门有关规定执行。</w:t>
      </w:r>
    </w:p>
    <w:p>
      <w:pPr>
        <w:pStyle w:val="2"/>
        <w:keepNext w:val="0"/>
        <w:keepLines w:val="0"/>
        <w:pageBreakBefore w:val="0"/>
        <w:widowControl w:val="0"/>
        <w:wordWrap/>
        <w:bidi w:val="0"/>
        <w:spacing w:before="0" w:after="0" w:line="500" w:lineRule="exact"/>
        <w:jc w:val="center"/>
        <w:rPr>
          <w:rFonts w:hint="eastAsia" w:ascii="楷体" w:hAnsi="楷体" w:eastAsia="楷体" w:cs="楷体"/>
          <w:color w:val="000000"/>
          <w:sz w:val="28"/>
          <w:szCs w:val="28"/>
        </w:rPr>
      </w:pPr>
      <w:bookmarkStart w:id="502" w:name="_bookmark20"/>
      <w:bookmarkEnd w:id="502"/>
      <w:bookmarkStart w:id="503" w:name="第四节_农业知识产权保护业务操作指引"/>
      <w:bookmarkEnd w:id="503"/>
      <w:bookmarkStart w:id="504" w:name="_Toc22781"/>
      <w:r>
        <w:rPr>
          <w:rFonts w:hint="eastAsia" w:ascii="楷体" w:hAnsi="楷体" w:eastAsia="楷体" w:cs="楷体"/>
          <w:color w:val="000000"/>
          <w:sz w:val="28"/>
          <w:szCs w:val="28"/>
        </w:rPr>
        <w:t>第四节  农业知识产权保护业务操作指引</w:t>
      </w:r>
      <w:bookmarkEnd w:id="504"/>
      <w:bookmarkStart w:id="505" w:name="_bookmark21"/>
      <w:bookmarkEnd w:id="505"/>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506" w:name="第32条_主要概念"/>
      <w:bookmarkEnd w:id="506"/>
      <w:r>
        <w:rPr>
          <w:rFonts w:hint="eastAsia" w:ascii="仿宋_GB2312" w:hAnsi="仿宋" w:eastAsia="仿宋_GB2312" w:cs="仿宋"/>
          <w:color w:val="000000"/>
          <w:sz w:val="28"/>
          <w:szCs w:val="28"/>
        </w:rPr>
        <w:t>第三十二条  主要概念</w:t>
      </w:r>
    </w:p>
    <w:p>
      <w:pPr>
        <w:pStyle w:val="25"/>
        <w:keepNext w:val="0"/>
        <w:keepLines w:val="0"/>
        <w:pageBreakBefore w:val="0"/>
        <w:widowControl w:val="0"/>
        <w:numPr>
          <w:ilvl w:val="0"/>
          <w:numId w:val="285"/>
        </w:numPr>
        <w:tabs>
          <w:tab w:val="left" w:pos="1241"/>
        </w:tabs>
        <w:wordWrap/>
        <w:autoSpaceDE w:val="0"/>
        <w:autoSpaceDN w:val="0"/>
        <w:bidi w:val="0"/>
        <w:spacing w:line="500" w:lineRule="exact"/>
        <w:ind w:firstLine="562" w:firstLineChars="200"/>
        <w:jc w:val="both"/>
        <w:rPr>
          <w:rFonts w:hint="eastAsia" w:ascii="仿宋_GB2312" w:hAnsi="仿宋" w:eastAsia="仿宋_GB2312" w:cs="仿宋"/>
          <w:b/>
          <w:color w:val="000000"/>
          <w:sz w:val="28"/>
          <w:szCs w:val="28"/>
        </w:rPr>
      </w:pPr>
      <w:bookmarkStart w:id="507" w:name="32.1农业知识产权"/>
      <w:bookmarkEnd w:id="507"/>
      <w:r>
        <w:rPr>
          <w:rFonts w:hint="eastAsia" w:ascii="仿宋_GB2312" w:hAnsi="仿宋" w:eastAsia="仿宋_GB2312" w:cs="仿宋"/>
          <w:b/>
          <w:color w:val="000000"/>
          <w:sz w:val="28"/>
          <w:szCs w:val="28"/>
        </w:rPr>
        <w:t>农业知识产权</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特指农业领域的知识产权保护。包括涉农专利、商标、版权，以及植物新品种、地理标志、农业生物遗传资源与传统知识、农业商业秘密等。</w:t>
      </w:r>
    </w:p>
    <w:p>
      <w:pPr>
        <w:pStyle w:val="5"/>
        <w:keepNext w:val="0"/>
        <w:keepLines w:val="0"/>
        <w:pageBreakBefore w:val="0"/>
        <w:widowControl w:val="0"/>
        <w:numPr>
          <w:ilvl w:val="0"/>
          <w:numId w:val="285"/>
        </w:numPr>
        <w:tabs>
          <w:tab w:val="left" w:pos="1241"/>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bookmarkStart w:id="508" w:name="32.2涉农专利"/>
      <w:bookmarkEnd w:id="508"/>
      <w:r>
        <w:rPr>
          <w:rFonts w:hint="eastAsia" w:ascii="仿宋_GB2312" w:hAnsi="仿宋" w:eastAsia="仿宋_GB2312" w:cs="仿宋"/>
          <w:color w:val="000000"/>
          <w:sz w:val="28"/>
          <w:szCs w:val="28"/>
        </w:rPr>
        <w:t>涉农专利</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特指产生于种植业、林业、畜牧业和渔业等产业，包括与其直接相关的产前、产中、产后服务的专利。</w:t>
      </w:r>
    </w:p>
    <w:p>
      <w:pPr>
        <w:pStyle w:val="5"/>
        <w:keepNext w:val="0"/>
        <w:keepLines w:val="0"/>
        <w:pageBreakBefore w:val="0"/>
        <w:widowControl w:val="0"/>
        <w:numPr>
          <w:ilvl w:val="0"/>
          <w:numId w:val="285"/>
        </w:numPr>
        <w:tabs>
          <w:tab w:val="left" w:pos="1241"/>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bookmarkStart w:id="509" w:name="32.3植物新品种权"/>
      <w:bookmarkEnd w:id="509"/>
      <w:r>
        <w:rPr>
          <w:rFonts w:hint="eastAsia" w:ascii="仿宋_GB2312" w:hAnsi="仿宋" w:eastAsia="仿宋_GB2312" w:cs="仿宋"/>
          <w:color w:val="000000"/>
          <w:sz w:val="28"/>
          <w:szCs w:val="28"/>
        </w:rPr>
        <w:t>植物新品种权</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特指依法授予经过人工培育的或者对发现的野生植物加以开发， 具有新颖性、特异性、一致性和稳定性并有适当命名的植物新品种的所有人以生产、销售和使用授权品种繁殖材料的专有权，“任何单位或者个人未经品种权人许可，不得为商业目的生产或者销售该授权品种的繁殖材料，不得为商业目的将该授权品种的繁殖材料重复使用于生产另一品种的繁殖材料；但是条例另有规定的除外”。</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植物新品种权属于知识产权的一种特殊形态，也具有知识产权所存在的相关特征，如客体的无形性和公开性（商业秘密和部分作品除外）、易于传播性、权利的地域性、期限性（商业秘密例外）等。</w:t>
      </w:r>
    </w:p>
    <w:p>
      <w:pPr>
        <w:pStyle w:val="5"/>
        <w:keepNext w:val="0"/>
        <w:keepLines w:val="0"/>
        <w:pageBreakBefore w:val="0"/>
        <w:widowControl w:val="0"/>
        <w:numPr>
          <w:ilvl w:val="0"/>
          <w:numId w:val="285"/>
        </w:numPr>
        <w:tabs>
          <w:tab w:val="left" w:pos="1311"/>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bookmarkStart w:id="510" w:name="32.4_地理标志产品"/>
      <w:bookmarkEnd w:id="510"/>
      <w:r>
        <w:rPr>
          <w:rFonts w:hint="eastAsia" w:ascii="仿宋_GB2312" w:hAnsi="仿宋" w:eastAsia="仿宋_GB2312" w:cs="仿宋"/>
          <w:color w:val="000000"/>
          <w:sz w:val="28"/>
          <w:szCs w:val="28"/>
        </w:rPr>
        <w:t>地理标志产品</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特指产自特定地域，所具有的质量、声誉或其他特性本质上取决于该产地的自然因素和人文因素，经审核批准以地理名称进行命名的产品。</w:t>
      </w:r>
    </w:p>
    <w:p>
      <w:pPr>
        <w:pStyle w:val="5"/>
        <w:keepNext w:val="0"/>
        <w:keepLines w:val="0"/>
        <w:pageBreakBefore w:val="0"/>
        <w:widowControl w:val="0"/>
        <w:numPr>
          <w:ilvl w:val="0"/>
          <w:numId w:val="285"/>
        </w:numPr>
        <w:tabs>
          <w:tab w:val="left" w:pos="1241"/>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bookmarkStart w:id="511" w:name="32.5农产品地理标志"/>
      <w:bookmarkEnd w:id="511"/>
      <w:r>
        <w:rPr>
          <w:rFonts w:hint="eastAsia" w:ascii="仿宋_GB2312" w:hAnsi="仿宋" w:eastAsia="仿宋_GB2312" w:cs="仿宋"/>
          <w:color w:val="000000"/>
          <w:sz w:val="28"/>
          <w:szCs w:val="28"/>
        </w:rPr>
        <w:t>农产品地理标志</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特指标志农产品来源于特定地域，产品品质和相关特征主要自然环境和人文历史因素，并以地域名称冠名的特有农产品标志。</w:t>
      </w:r>
    </w:p>
    <w:p>
      <w:pPr>
        <w:pStyle w:val="5"/>
        <w:keepNext w:val="0"/>
        <w:keepLines w:val="0"/>
        <w:pageBreakBefore w:val="0"/>
        <w:widowControl w:val="0"/>
        <w:numPr>
          <w:ilvl w:val="0"/>
          <w:numId w:val="285"/>
        </w:numPr>
        <w:tabs>
          <w:tab w:val="left" w:pos="1311"/>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bookmarkStart w:id="512" w:name="32.6_遗传资源"/>
      <w:bookmarkEnd w:id="512"/>
      <w:r>
        <w:rPr>
          <w:rFonts w:hint="eastAsia" w:ascii="仿宋_GB2312" w:hAnsi="仿宋" w:eastAsia="仿宋_GB2312" w:cs="仿宋"/>
          <w:color w:val="000000"/>
          <w:sz w:val="28"/>
          <w:szCs w:val="28"/>
        </w:rPr>
        <w:t>遗传资源</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特指具有实用或潜在使用价值的遗传材料。</w:t>
      </w:r>
    </w:p>
    <w:p>
      <w:pPr>
        <w:pStyle w:val="5"/>
        <w:keepNext w:val="0"/>
        <w:keepLines w:val="0"/>
        <w:pageBreakBefore w:val="0"/>
        <w:widowControl w:val="0"/>
        <w:numPr>
          <w:ilvl w:val="0"/>
          <w:numId w:val="285"/>
        </w:numPr>
        <w:tabs>
          <w:tab w:val="left" w:pos="1241"/>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bookmarkStart w:id="513" w:name="32.7遗传材料"/>
      <w:bookmarkEnd w:id="513"/>
      <w:r>
        <w:rPr>
          <w:rFonts w:hint="eastAsia" w:ascii="仿宋_GB2312" w:hAnsi="仿宋" w:eastAsia="仿宋_GB2312" w:cs="仿宋"/>
          <w:color w:val="000000"/>
          <w:sz w:val="28"/>
          <w:szCs w:val="28"/>
        </w:rPr>
        <w:t>遗传材料</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特指来自动物、植物、微生物或其他来源的任何含有遗传功能单位的材料。</w:t>
      </w:r>
    </w:p>
    <w:p>
      <w:pPr>
        <w:pStyle w:val="5"/>
        <w:keepNext w:val="0"/>
        <w:keepLines w:val="0"/>
        <w:pageBreakBefore w:val="0"/>
        <w:widowControl w:val="0"/>
        <w:numPr>
          <w:ilvl w:val="0"/>
          <w:numId w:val="285"/>
        </w:numPr>
        <w:tabs>
          <w:tab w:val="left" w:pos="1311"/>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bookmarkStart w:id="514" w:name="32.8_绿色食品"/>
      <w:bookmarkEnd w:id="514"/>
      <w:r>
        <w:rPr>
          <w:rFonts w:hint="eastAsia" w:ascii="仿宋_GB2312" w:hAnsi="仿宋" w:eastAsia="仿宋_GB2312" w:cs="仿宋"/>
          <w:color w:val="000000"/>
          <w:sz w:val="28"/>
          <w:szCs w:val="28"/>
        </w:rPr>
        <w:t>绿色食品</w:t>
      </w:r>
    </w:p>
    <w:p>
      <w:pPr>
        <w:pStyle w:val="7"/>
        <w:keepNext w:val="0"/>
        <w:keepLines w:val="0"/>
        <w:pageBreakBefore w:val="0"/>
        <w:widowControl w:val="0"/>
        <w:wordWrap/>
        <w:topLinePunct/>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特指产自优良生态环境、按照绿色食品标准生产、实行全程质量控制并获得绿色食品标志使用权的安全、优质食用农产品及相关产品</w:t>
      </w:r>
      <w:r>
        <w:rPr>
          <w:rFonts w:hint="eastAsia" w:ascii="仿宋_GB2312" w:hAnsi="仿宋" w:eastAsia="仿宋_GB2312" w:cs="仿宋"/>
          <w:color w:val="000000"/>
          <w:sz w:val="28"/>
          <w:szCs w:val="28"/>
          <w:lang w:eastAsia="zh-CN"/>
        </w:rPr>
        <w:t>。</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515" w:name="第33条_农业知识产权保护的范围"/>
      <w:bookmarkEnd w:id="515"/>
      <w:bookmarkStart w:id="516" w:name="_bookmark22"/>
      <w:bookmarkEnd w:id="516"/>
      <w:r>
        <w:rPr>
          <w:rFonts w:hint="eastAsia" w:ascii="仿宋_GB2312" w:hAnsi="仿宋" w:eastAsia="仿宋_GB2312" w:cs="仿宋"/>
          <w:color w:val="000000"/>
          <w:sz w:val="28"/>
          <w:szCs w:val="28"/>
        </w:rPr>
        <w:t>第三十三条  农业知识产权保护的范围</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我国农业领域的知识产权保护体系，是一个以植物新品种、农业技术发明创造专利权、农业新品种商标权、农产品地理标志以及农业商业秘密保护等为重点的知识产权保护体系。</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517" w:name="第34条_植物新品种的申请权的归属"/>
      <w:bookmarkEnd w:id="517"/>
      <w:r>
        <w:rPr>
          <w:rFonts w:hint="eastAsia" w:ascii="仿宋_GB2312" w:hAnsi="仿宋" w:eastAsia="仿宋_GB2312" w:cs="仿宋"/>
          <w:color w:val="000000"/>
          <w:sz w:val="28"/>
          <w:szCs w:val="28"/>
        </w:rPr>
        <w:t>第三十四条  植物新品种的申请权的归属</w:t>
      </w:r>
    </w:p>
    <w:p>
      <w:pPr>
        <w:pStyle w:val="25"/>
        <w:keepNext w:val="0"/>
        <w:keepLines w:val="0"/>
        <w:pageBreakBefore w:val="0"/>
        <w:widowControl w:val="0"/>
        <w:numPr>
          <w:ilvl w:val="0"/>
          <w:numId w:val="286"/>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执行本单位的任务或者主要是利用本单位的物质条件所完成的职务育种，植物新品种的申请权属于该单位；</w:t>
      </w:r>
    </w:p>
    <w:p>
      <w:pPr>
        <w:pStyle w:val="25"/>
        <w:keepNext w:val="0"/>
        <w:keepLines w:val="0"/>
        <w:pageBreakBefore w:val="0"/>
        <w:widowControl w:val="0"/>
        <w:numPr>
          <w:ilvl w:val="0"/>
          <w:numId w:val="286"/>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非职务育种，植物新品种的申请权属于完成育种的个人。申请被批准后，品种权属于申请人。</w:t>
      </w:r>
    </w:p>
    <w:p>
      <w:pPr>
        <w:pStyle w:val="25"/>
        <w:keepNext w:val="0"/>
        <w:keepLines w:val="0"/>
        <w:pageBreakBefore w:val="0"/>
        <w:widowControl w:val="0"/>
        <w:numPr>
          <w:ilvl w:val="0"/>
          <w:numId w:val="286"/>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委托育种或者合作育种，品种权的归属由当事人在合同中约定；没有合同约定的，品种权属于受委托完成或者共同完成育种的单位或者个人。</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518" w:name="第35条_植物新品种权的授予规则"/>
      <w:bookmarkEnd w:id="518"/>
      <w:r>
        <w:rPr>
          <w:rFonts w:hint="eastAsia" w:ascii="仿宋_GB2312" w:hAnsi="仿宋" w:eastAsia="仿宋_GB2312" w:cs="仿宋"/>
          <w:color w:val="000000"/>
          <w:sz w:val="28"/>
          <w:szCs w:val="28"/>
        </w:rPr>
        <w:t>第三十五条  植物新品种权的授予规则</w:t>
      </w:r>
    </w:p>
    <w:p>
      <w:pPr>
        <w:pStyle w:val="25"/>
        <w:keepNext w:val="0"/>
        <w:keepLines w:val="0"/>
        <w:pageBreakBefore w:val="0"/>
        <w:widowControl w:val="0"/>
        <w:numPr>
          <w:ilvl w:val="0"/>
          <w:numId w:val="287"/>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一个植物新品种只能授予一项品种权。</w:t>
      </w:r>
    </w:p>
    <w:p>
      <w:pPr>
        <w:pStyle w:val="25"/>
        <w:keepNext w:val="0"/>
        <w:keepLines w:val="0"/>
        <w:pageBreakBefore w:val="0"/>
        <w:widowControl w:val="0"/>
        <w:numPr>
          <w:ilvl w:val="0"/>
          <w:numId w:val="287"/>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两个以上的申请人分别就同一个植物新品种申请品种权的，品种权授予最先申请的人；</w:t>
      </w:r>
    </w:p>
    <w:p>
      <w:pPr>
        <w:pStyle w:val="25"/>
        <w:keepNext w:val="0"/>
        <w:keepLines w:val="0"/>
        <w:pageBreakBefore w:val="0"/>
        <w:widowControl w:val="0"/>
        <w:numPr>
          <w:ilvl w:val="0"/>
          <w:numId w:val="287"/>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同时申请的，品种权授予最先完成该植物新品种育种的人。</w:t>
      </w:r>
    </w:p>
    <w:p>
      <w:pPr>
        <w:pStyle w:val="25"/>
        <w:keepNext w:val="0"/>
        <w:keepLines w:val="0"/>
        <w:pageBreakBefore w:val="0"/>
        <w:widowControl w:val="0"/>
        <w:numPr>
          <w:ilvl w:val="0"/>
          <w:numId w:val="0"/>
        </w:numPr>
        <w:tabs>
          <w:tab w:val="left" w:pos="1382"/>
        </w:tabs>
        <w:wordWrap/>
        <w:autoSpaceDE w:val="0"/>
        <w:autoSpaceDN w:val="0"/>
        <w:bidi w:val="0"/>
        <w:spacing w:line="500" w:lineRule="exact"/>
        <w:ind w:firstLine="562" w:firstLineChars="200"/>
        <w:jc w:val="both"/>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第三十六条  可以不经品种权人许可，不向其支付使用费的情形</w:t>
      </w:r>
    </w:p>
    <w:p>
      <w:pPr>
        <w:pStyle w:val="25"/>
        <w:keepNext w:val="0"/>
        <w:keepLines w:val="0"/>
        <w:pageBreakBefore w:val="0"/>
        <w:widowControl w:val="0"/>
        <w:numPr>
          <w:ilvl w:val="0"/>
          <w:numId w:val="288"/>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利用授权品种进行育种及其他科研活动；</w:t>
      </w:r>
    </w:p>
    <w:p>
      <w:pPr>
        <w:pStyle w:val="25"/>
        <w:keepNext w:val="0"/>
        <w:keepLines w:val="0"/>
        <w:pageBreakBefore w:val="0"/>
        <w:widowControl w:val="0"/>
        <w:numPr>
          <w:ilvl w:val="0"/>
          <w:numId w:val="288"/>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农民自繁自用授权品种的繁殖材料。</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519" w:name="第37条_授予品种权的条件"/>
      <w:bookmarkEnd w:id="519"/>
      <w:r>
        <w:rPr>
          <w:rFonts w:hint="eastAsia" w:ascii="仿宋_GB2312" w:hAnsi="仿宋" w:eastAsia="仿宋_GB2312" w:cs="仿宋"/>
          <w:color w:val="000000"/>
          <w:sz w:val="28"/>
          <w:szCs w:val="28"/>
        </w:rPr>
        <w:t>第三十七条  授予品种权的条件</w:t>
      </w:r>
    </w:p>
    <w:p>
      <w:pPr>
        <w:pStyle w:val="25"/>
        <w:keepNext w:val="0"/>
        <w:keepLines w:val="0"/>
        <w:pageBreakBefore w:val="0"/>
        <w:widowControl w:val="0"/>
        <w:numPr>
          <w:ilvl w:val="0"/>
          <w:numId w:val="289"/>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属于国家植物品种保护名录中列举的植物的属或者种。</w:t>
      </w:r>
    </w:p>
    <w:p>
      <w:pPr>
        <w:pStyle w:val="25"/>
        <w:keepNext w:val="0"/>
        <w:keepLines w:val="0"/>
        <w:pageBreakBefore w:val="0"/>
        <w:widowControl w:val="0"/>
        <w:numPr>
          <w:ilvl w:val="0"/>
          <w:numId w:val="289"/>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具备新颖性。新颖性，是指申请品种权的植物新品种在申请日前该品种繁殖材料未被销售，或者经育种者许可，在中国境内销售该品种繁殖材料未超过 1 年；在中国境外销售藤本植物、林木、果树和观赏树木品种繁殖材料未超过 6 年，销售其他植物品种繁殖材料未超过 4 年。</w:t>
      </w:r>
    </w:p>
    <w:p>
      <w:pPr>
        <w:pStyle w:val="25"/>
        <w:keepNext w:val="0"/>
        <w:keepLines w:val="0"/>
        <w:pageBreakBefore w:val="0"/>
        <w:widowControl w:val="0"/>
        <w:numPr>
          <w:ilvl w:val="0"/>
          <w:numId w:val="289"/>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具备特异性。特异性，是指申请品种权的植物新品种应当明显区别于在递交申请以前已知的植物品种。</w:t>
      </w:r>
    </w:p>
    <w:p>
      <w:pPr>
        <w:pStyle w:val="25"/>
        <w:keepNext w:val="0"/>
        <w:keepLines w:val="0"/>
        <w:pageBreakBefore w:val="0"/>
        <w:widowControl w:val="0"/>
        <w:numPr>
          <w:ilvl w:val="0"/>
          <w:numId w:val="289"/>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具备一致性。一致性，是指申请品种权的植物新品种经过繁殖，除可以预见的变异外，其相关的特征或者特性一致。</w:t>
      </w:r>
    </w:p>
    <w:p>
      <w:pPr>
        <w:pStyle w:val="25"/>
        <w:keepNext w:val="0"/>
        <w:keepLines w:val="0"/>
        <w:pageBreakBefore w:val="0"/>
        <w:widowControl w:val="0"/>
        <w:numPr>
          <w:ilvl w:val="0"/>
          <w:numId w:val="290"/>
        </w:numPr>
        <w:tabs>
          <w:tab w:val="left" w:pos="1386"/>
        </w:tabs>
        <w:wordWrap/>
        <w:autoSpaceDE w:val="0"/>
        <w:autoSpaceDN w:val="0"/>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具备稳定性。稳定性，是指申请品种权的植物新品种经过反复繁殖后或者在特定繁殖周期结束时，其相关的特征或者特性保持不变。</w:t>
      </w:r>
    </w:p>
    <w:p>
      <w:pPr>
        <w:pStyle w:val="25"/>
        <w:keepNext w:val="0"/>
        <w:keepLines w:val="0"/>
        <w:pageBreakBefore w:val="0"/>
        <w:widowControl w:val="0"/>
        <w:numPr>
          <w:ilvl w:val="0"/>
          <w:numId w:val="290"/>
        </w:numPr>
        <w:tabs>
          <w:tab w:val="left" w:pos="1386"/>
        </w:tabs>
        <w:wordWrap/>
        <w:autoSpaceDE w:val="0"/>
        <w:autoSpaceDN w:val="0"/>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具备适当的名称，并与相同或者相近的植物属或者种中已知品种的名称相区别。该名称经注册登记后即为该植物新品种的通用名称。</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520" w:name="第38条_申请人品种权的优先权"/>
      <w:bookmarkEnd w:id="520"/>
      <w:r>
        <w:rPr>
          <w:rFonts w:hint="eastAsia" w:ascii="仿宋_GB2312" w:hAnsi="仿宋" w:eastAsia="仿宋_GB2312" w:cs="仿宋"/>
          <w:color w:val="000000"/>
          <w:sz w:val="28"/>
          <w:szCs w:val="28"/>
        </w:rPr>
        <w:t>第三十八条  申请人品种权的优先权</w:t>
      </w:r>
    </w:p>
    <w:p>
      <w:pPr>
        <w:pStyle w:val="25"/>
        <w:keepNext w:val="0"/>
        <w:keepLines w:val="0"/>
        <w:pageBreakBefore w:val="0"/>
        <w:widowControl w:val="0"/>
        <w:numPr>
          <w:ilvl w:val="0"/>
          <w:numId w:val="0"/>
        </w:numPr>
        <w:tabs>
          <w:tab w:val="left" w:pos="1311"/>
        </w:tabs>
        <w:wordWrap/>
        <w:autoSpaceDE w:val="0"/>
        <w:autoSpaceDN w:val="0"/>
        <w:bidi w:val="0"/>
        <w:spacing w:line="500" w:lineRule="exact"/>
        <w:ind w:firstLine="562" w:firstLineChars="200"/>
        <w:jc w:val="both"/>
        <w:rPr>
          <w:rFonts w:hint="eastAsia" w:ascii="仿宋_GB2312" w:hAnsi="仿宋" w:eastAsia="仿宋_GB2312" w:cs="仿宋"/>
          <w:b/>
          <w:color w:val="000000"/>
          <w:sz w:val="28"/>
          <w:szCs w:val="28"/>
        </w:rPr>
      </w:pPr>
      <w:bookmarkStart w:id="521" w:name="38.1_申请人可以获得优先权的条件"/>
      <w:bookmarkEnd w:id="521"/>
      <w:r>
        <w:rPr>
          <w:rFonts w:hint="eastAsia" w:ascii="仿宋_GB2312" w:hAnsi="仿宋" w:eastAsia="仿宋_GB2312" w:cs="仿宋"/>
          <w:b/>
          <w:color w:val="000000"/>
          <w:sz w:val="28"/>
          <w:szCs w:val="28"/>
        </w:rPr>
        <w:t>（一）申请人可以获得优先权的条件</w:t>
      </w:r>
    </w:p>
    <w:p>
      <w:pPr>
        <w:pStyle w:val="25"/>
        <w:keepNext w:val="0"/>
        <w:keepLines w:val="0"/>
        <w:pageBreakBefore w:val="0"/>
        <w:widowControl w:val="0"/>
        <w:numPr>
          <w:ilvl w:val="0"/>
          <w:numId w:val="291"/>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申请人自在外国第一次提出品种权申请之日起 12 个月内，又在中国就该植物新品种提出品种权申请的；</w:t>
      </w:r>
    </w:p>
    <w:p>
      <w:pPr>
        <w:pStyle w:val="25"/>
        <w:keepNext w:val="0"/>
        <w:keepLines w:val="0"/>
        <w:pageBreakBefore w:val="0"/>
        <w:widowControl w:val="0"/>
        <w:numPr>
          <w:ilvl w:val="0"/>
          <w:numId w:val="291"/>
        </w:numPr>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依照该外国同中华人民共和国签订的协议或者共同参加的国际条约，或者根据相互承认优先权的原则，可以享有优先权的。</w:t>
      </w:r>
    </w:p>
    <w:p>
      <w:pPr>
        <w:pStyle w:val="5"/>
        <w:keepNext w:val="0"/>
        <w:keepLines w:val="0"/>
        <w:pageBreakBefore w:val="0"/>
        <w:widowControl w:val="0"/>
        <w:tabs>
          <w:tab w:val="left" w:pos="1311"/>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bookmarkStart w:id="522" w:name="38.2_申请优先权的程序"/>
      <w:bookmarkEnd w:id="522"/>
      <w:r>
        <w:rPr>
          <w:rFonts w:hint="eastAsia" w:ascii="仿宋_GB2312" w:hAnsi="仿宋" w:eastAsia="仿宋_GB2312" w:cs="仿宋"/>
          <w:color w:val="000000"/>
          <w:sz w:val="28"/>
          <w:szCs w:val="28"/>
        </w:rPr>
        <w:t>（二）申请优先权的程序</w:t>
      </w:r>
    </w:p>
    <w:p>
      <w:pPr>
        <w:pStyle w:val="25"/>
        <w:keepNext w:val="0"/>
        <w:keepLines w:val="0"/>
        <w:pageBreakBefore w:val="0"/>
        <w:widowControl w:val="0"/>
        <w:numPr>
          <w:ilvl w:val="0"/>
          <w:numId w:val="292"/>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在申请时提出书面说明</w:t>
      </w:r>
    </w:p>
    <w:p>
      <w:pPr>
        <w:pStyle w:val="25"/>
        <w:keepNext w:val="0"/>
        <w:keepLines w:val="0"/>
        <w:pageBreakBefore w:val="0"/>
        <w:widowControl w:val="0"/>
        <w:numPr>
          <w:ilvl w:val="0"/>
          <w:numId w:val="292"/>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并在 3 个月内提交经原受理机关确认的第一次提出的品种权申请文件的副本。</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523" w:name="第39_条品种权的保护期限、终止和无效"/>
      <w:bookmarkEnd w:id="523"/>
      <w:r>
        <w:rPr>
          <w:rFonts w:hint="eastAsia" w:ascii="仿宋_GB2312" w:hAnsi="仿宋" w:eastAsia="仿宋_GB2312" w:cs="仿宋"/>
          <w:color w:val="000000"/>
          <w:sz w:val="28"/>
          <w:szCs w:val="28"/>
        </w:rPr>
        <w:t>第三十九条  品种权的保护期限、终止和无效</w:t>
      </w:r>
    </w:p>
    <w:p>
      <w:pPr>
        <w:pStyle w:val="25"/>
        <w:keepNext w:val="0"/>
        <w:keepLines w:val="0"/>
        <w:pageBreakBefore w:val="0"/>
        <w:widowControl w:val="0"/>
        <w:numPr>
          <w:ilvl w:val="0"/>
          <w:numId w:val="0"/>
        </w:numPr>
        <w:tabs>
          <w:tab w:val="left" w:pos="1241"/>
        </w:tabs>
        <w:wordWrap/>
        <w:autoSpaceDE w:val="0"/>
        <w:autoSpaceDN w:val="0"/>
        <w:bidi w:val="0"/>
        <w:spacing w:line="500" w:lineRule="exact"/>
        <w:ind w:firstLine="562" w:firstLineChars="200"/>
        <w:jc w:val="both"/>
        <w:rPr>
          <w:rFonts w:hint="eastAsia" w:ascii="仿宋_GB2312" w:hAnsi="仿宋" w:eastAsia="仿宋_GB2312" w:cs="仿宋"/>
          <w:b/>
          <w:color w:val="000000"/>
          <w:sz w:val="28"/>
          <w:szCs w:val="28"/>
        </w:rPr>
      </w:pPr>
      <w:bookmarkStart w:id="524" w:name="39.1品种权的保护期限"/>
      <w:bookmarkEnd w:id="524"/>
      <w:r>
        <w:rPr>
          <w:rFonts w:hint="eastAsia" w:ascii="仿宋_GB2312" w:hAnsi="仿宋" w:eastAsia="仿宋_GB2312" w:cs="仿宋"/>
          <w:b/>
          <w:color w:val="000000"/>
          <w:sz w:val="28"/>
          <w:szCs w:val="28"/>
        </w:rPr>
        <w:t>（一）品种权的保护期限</w:t>
      </w:r>
    </w:p>
    <w:p>
      <w:pPr>
        <w:pStyle w:val="25"/>
        <w:keepNext w:val="0"/>
        <w:keepLines w:val="0"/>
        <w:pageBreakBefore w:val="0"/>
        <w:widowControl w:val="0"/>
        <w:numPr>
          <w:ilvl w:val="0"/>
          <w:numId w:val="293"/>
        </w:numPr>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藤本植物、林木、果树和观赏树木的保护期限为，自授权之日20 年；</w:t>
      </w:r>
    </w:p>
    <w:p>
      <w:pPr>
        <w:pStyle w:val="25"/>
        <w:keepNext w:val="0"/>
        <w:keepLines w:val="0"/>
        <w:pageBreakBefore w:val="0"/>
        <w:widowControl w:val="0"/>
        <w:numPr>
          <w:ilvl w:val="0"/>
          <w:numId w:val="293"/>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其他植物的保护期限为，自授权之日15年。</w:t>
      </w:r>
    </w:p>
    <w:p>
      <w:pPr>
        <w:pStyle w:val="5"/>
        <w:keepNext w:val="0"/>
        <w:keepLines w:val="0"/>
        <w:pageBreakBefore w:val="0"/>
        <w:widowControl w:val="0"/>
        <w:tabs>
          <w:tab w:val="left" w:pos="1311"/>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bookmarkStart w:id="525" w:name="39.2_品种权终止的情形"/>
      <w:bookmarkEnd w:id="525"/>
      <w:r>
        <w:rPr>
          <w:rFonts w:hint="eastAsia" w:ascii="仿宋_GB2312" w:hAnsi="仿宋" w:eastAsia="仿宋_GB2312" w:cs="仿宋"/>
          <w:color w:val="000000"/>
          <w:sz w:val="28"/>
          <w:szCs w:val="28"/>
        </w:rPr>
        <w:t>（二）品种权终止的情形</w:t>
      </w:r>
    </w:p>
    <w:p>
      <w:pPr>
        <w:pStyle w:val="25"/>
        <w:keepNext w:val="0"/>
        <w:keepLines w:val="0"/>
        <w:pageBreakBefore w:val="0"/>
        <w:widowControl w:val="0"/>
        <w:numPr>
          <w:ilvl w:val="0"/>
          <w:numId w:val="294"/>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品种权人以书面声明放弃品种权的；</w:t>
      </w:r>
    </w:p>
    <w:p>
      <w:pPr>
        <w:pStyle w:val="25"/>
        <w:keepNext w:val="0"/>
        <w:keepLines w:val="0"/>
        <w:pageBreakBefore w:val="0"/>
        <w:widowControl w:val="0"/>
        <w:numPr>
          <w:ilvl w:val="0"/>
          <w:numId w:val="294"/>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品种权人未按照规定缴纳年费的；</w:t>
      </w:r>
    </w:p>
    <w:p>
      <w:pPr>
        <w:pStyle w:val="25"/>
        <w:keepNext w:val="0"/>
        <w:keepLines w:val="0"/>
        <w:pageBreakBefore w:val="0"/>
        <w:widowControl w:val="0"/>
        <w:numPr>
          <w:ilvl w:val="0"/>
          <w:numId w:val="294"/>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品种权人未按照审批机关的要求提供检测所需的该授权品种的繁殖材料的；</w:t>
      </w:r>
    </w:p>
    <w:p>
      <w:pPr>
        <w:pStyle w:val="25"/>
        <w:keepNext w:val="0"/>
        <w:keepLines w:val="0"/>
        <w:pageBreakBefore w:val="0"/>
        <w:widowControl w:val="0"/>
        <w:numPr>
          <w:ilvl w:val="0"/>
          <w:numId w:val="294"/>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经检测该授权品种不再符合被授予品种权时的特征和特性的。</w:t>
      </w:r>
    </w:p>
    <w:p>
      <w:pPr>
        <w:pStyle w:val="25"/>
        <w:keepNext w:val="0"/>
        <w:keepLines w:val="0"/>
        <w:pageBreakBefore w:val="0"/>
        <w:widowControl w:val="0"/>
        <w:numPr>
          <w:ilvl w:val="0"/>
          <w:numId w:val="294"/>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品种权期限届满的。</w:t>
      </w:r>
    </w:p>
    <w:p>
      <w:pPr>
        <w:pStyle w:val="5"/>
        <w:keepNext w:val="0"/>
        <w:keepLines w:val="0"/>
        <w:pageBreakBefore w:val="0"/>
        <w:widowControl w:val="0"/>
        <w:tabs>
          <w:tab w:val="left" w:pos="1311"/>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bookmarkStart w:id="526" w:name="39.3_品种权的无效"/>
      <w:bookmarkEnd w:id="526"/>
      <w:r>
        <w:rPr>
          <w:rFonts w:hint="eastAsia" w:ascii="仿宋_GB2312" w:hAnsi="仿宋" w:eastAsia="仿宋_GB2312" w:cs="仿宋"/>
          <w:color w:val="000000"/>
          <w:sz w:val="28"/>
          <w:szCs w:val="28"/>
        </w:rPr>
        <w:t>（三）品种权的无效</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不符合</w:t>
      </w:r>
      <w:r>
        <w:rPr>
          <w:rFonts w:hint="eastAsia" w:ascii="仿宋_GB2312" w:hAnsi="仿宋" w:eastAsia="仿宋_GB2312" w:cs="仿宋"/>
          <w:color w:val="000000"/>
          <w:sz w:val="28"/>
          <w:szCs w:val="28"/>
          <w:lang w:eastAsia="zh-CN"/>
        </w:rPr>
        <w:t>《植物新品种保护条例》</w:t>
      </w:r>
      <w:r>
        <w:rPr>
          <w:rFonts w:hint="eastAsia" w:ascii="仿宋_GB2312" w:hAnsi="仿宋" w:eastAsia="仿宋_GB2312" w:cs="仿宋"/>
          <w:color w:val="000000"/>
          <w:sz w:val="28"/>
          <w:szCs w:val="28"/>
        </w:rPr>
        <w:t>第十四条、第十五条、第十六条和第十七条规定的， 宣告品种权无效。</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527" w:name="第40条_品种权侵权的解决方式"/>
      <w:bookmarkEnd w:id="527"/>
      <w:r>
        <w:rPr>
          <w:rFonts w:hint="eastAsia" w:ascii="仿宋_GB2312" w:hAnsi="仿宋" w:eastAsia="仿宋_GB2312" w:cs="仿宋"/>
          <w:color w:val="000000"/>
          <w:sz w:val="28"/>
          <w:szCs w:val="28"/>
        </w:rPr>
        <w:t>第四十条  品种权侵权的解决方式</w:t>
      </w:r>
    </w:p>
    <w:p>
      <w:pPr>
        <w:pStyle w:val="25"/>
        <w:keepNext w:val="0"/>
        <w:keepLines w:val="0"/>
        <w:pageBreakBefore w:val="0"/>
        <w:widowControl w:val="0"/>
        <w:numPr>
          <w:ilvl w:val="0"/>
          <w:numId w:val="295"/>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县级以上人民政府农业、林业行政部门调解；</w:t>
      </w:r>
    </w:p>
    <w:p>
      <w:pPr>
        <w:pStyle w:val="25"/>
        <w:keepNext w:val="0"/>
        <w:keepLines w:val="0"/>
        <w:pageBreakBefore w:val="0"/>
        <w:widowControl w:val="0"/>
        <w:numPr>
          <w:ilvl w:val="0"/>
          <w:numId w:val="295"/>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向人民法院诉讼。</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528" w:name="第41条_申请地理标志登记的农产品的条件"/>
      <w:bookmarkEnd w:id="528"/>
      <w:r>
        <w:rPr>
          <w:rFonts w:hint="eastAsia" w:ascii="仿宋_GB2312" w:hAnsi="仿宋" w:eastAsia="仿宋_GB2312" w:cs="仿宋"/>
          <w:color w:val="000000"/>
          <w:sz w:val="28"/>
          <w:szCs w:val="28"/>
        </w:rPr>
        <w:t>第四十一条  申请地理标志登记的农产品的条件</w:t>
      </w:r>
    </w:p>
    <w:p>
      <w:pPr>
        <w:pStyle w:val="25"/>
        <w:keepNext w:val="0"/>
        <w:keepLines w:val="0"/>
        <w:pageBreakBefore w:val="0"/>
        <w:widowControl w:val="0"/>
        <w:numPr>
          <w:ilvl w:val="0"/>
          <w:numId w:val="296"/>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称谓由地理区域名称和农产品通用名称构成；</w:t>
      </w:r>
    </w:p>
    <w:p>
      <w:pPr>
        <w:pStyle w:val="25"/>
        <w:keepNext w:val="0"/>
        <w:keepLines w:val="0"/>
        <w:pageBreakBefore w:val="0"/>
        <w:widowControl w:val="0"/>
        <w:numPr>
          <w:ilvl w:val="0"/>
          <w:numId w:val="296"/>
        </w:numPr>
        <w:tabs>
          <w:tab w:val="left" w:pos="0"/>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产品有独特的品质特性或者特定的生产方式；</w:t>
      </w:r>
    </w:p>
    <w:p>
      <w:pPr>
        <w:pStyle w:val="25"/>
        <w:keepNext w:val="0"/>
        <w:keepLines w:val="0"/>
        <w:pageBreakBefore w:val="0"/>
        <w:widowControl w:val="0"/>
        <w:numPr>
          <w:ilvl w:val="0"/>
          <w:numId w:val="296"/>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产品品质和特色主要取决于独特的自然生态环境和人文历史因素；</w:t>
      </w:r>
    </w:p>
    <w:p>
      <w:pPr>
        <w:pStyle w:val="25"/>
        <w:keepNext w:val="0"/>
        <w:keepLines w:val="0"/>
        <w:pageBreakBefore w:val="0"/>
        <w:widowControl w:val="0"/>
        <w:numPr>
          <w:ilvl w:val="0"/>
          <w:numId w:val="296"/>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产品有限定的生产区域范围；</w:t>
      </w:r>
    </w:p>
    <w:p>
      <w:pPr>
        <w:pStyle w:val="25"/>
        <w:keepNext w:val="0"/>
        <w:keepLines w:val="0"/>
        <w:pageBreakBefore w:val="0"/>
        <w:widowControl w:val="0"/>
        <w:numPr>
          <w:ilvl w:val="0"/>
          <w:numId w:val="296"/>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bookmarkStart w:id="529" w:name="第42条_农产品地理标识登记申请人的条件"/>
      <w:bookmarkEnd w:id="529"/>
      <w:r>
        <w:rPr>
          <w:rFonts w:hint="eastAsia" w:ascii="仿宋_GB2312" w:hAnsi="仿宋" w:eastAsia="仿宋_GB2312" w:cs="仿宋"/>
          <w:color w:val="000000"/>
          <w:sz w:val="28"/>
          <w:szCs w:val="28"/>
        </w:rPr>
        <w:t>产地环境、产品质量符合国家强制性技术规范要求。</w:t>
      </w:r>
    </w:p>
    <w:p>
      <w:pPr>
        <w:pStyle w:val="25"/>
        <w:keepNext w:val="0"/>
        <w:keepLines w:val="0"/>
        <w:pageBreakBefore w:val="0"/>
        <w:widowControl w:val="0"/>
        <w:numPr>
          <w:ilvl w:val="0"/>
          <w:numId w:val="0"/>
        </w:numPr>
        <w:tabs>
          <w:tab w:val="left" w:pos="1382"/>
        </w:tabs>
        <w:wordWrap/>
        <w:autoSpaceDE w:val="0"/>
        <w:autoSpaceDN w:val="0"/>
        <w:bidi w:val="0"/>
        <w:spacing w:line="500" w:lineRule="exact"/>
        <w:ind w:firstLine="562" w:firstLineChars="200"/>
        <w:jc w:val="both"/>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第四十二条  农产品地理标识登记申请人的条件</w:t>
      </w:r>
    </w:p>
    <w:p>
      <w:pPr>
        <w:pStyle w:val="25"/>
        <w:keepNext w:val="0"/>
        <w:keepLines w:val="0"/>
        <w:pageBreakBefore w:val="0"/>
        <w:widowControl w:val="0"/>
        <w:numPr>
          <w:ilvl w:val="0"/>
          <w:numId w:val="297"/>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县级以上人民政府择优选的；农民专业合作经济组织、行业协会等组织；</w:t>
      </w:r>
    </w:p>
    <w:p>
      <w:pPr>
        <w:pStyle w:val="25"/>
        <w:keepNext w:val="0"/>
        <w:keepLines w:val="0"/>
        <w:pageBreakBefore w:val="0"/>
        <w:widowControl w:val="0"/>
        <w:numPr>
          <w:ilvl w:val="0"/>
          <w:numId w:val="297"/>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具有监督和管理农产品地理标志及其产品的能力；</w:t>
      </w:r>
    </w:p>
    <w:p>
      <w:pPr>
        <w:pStyle w:val="25"/>
        <w:keepNext w:val="0"/>
        <w:keepLines w:val="0"/>
        <w:pageBreakBefore w:val="0"/>
        <w:widowControl w:val="0"/>
        <w:numPr>
          <w:ilvl w:val="0"/>
          <w:numId w:val="297"/>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具有为地理标志农产品生产、加工、营销提供指导服务的能力；</w:t>
      </w:r>
    </w:p>
    <w:p>
      <w:pPr>
        <w:pStyle w:val="25"/>
        <w:keepNext w:val="0"/>
        <w:keepLines w:val="0"/>
        <w:pageBreakBefore w:val="0"/>
        <w:widowControl w:val="0"/>
        <w:numPr>
          <w:ilvl w:val="0"/>
          <w:numId w:val="297"/>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具有独立承担民事责任的能力农民专业合作经济组织、行业协会等组织。</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530" w:name="第43条_申请使用绿色食品标志的产品的条件"/>
      <w:bookmarkEnd w:id="530"/>
      <w:r>
        <w:rPr>
          <w:rFonts w:hint="eastAsia" w:ascii="仿宋_GB2312" w:hAnsi="仿宋" w:eastAsia="仿宋_GB2312" w:cs="仿宋"/>
          <w:color w:val="000000"/>
          <w:sz w:val="28"/>
          <w:szCs w:val="28"/>
        </w:rPr>
        <w:t>第四十三条  申请使用绿色食品标志的产品的条件</w:t>
      </w:r>
    </w:p>
    <w:p>
      <w:pPr>
        <w:pStyle w:val="25"/>
        <w:keepNext w:val="0"/>
        <w:keepLines w:val="0"/>
        <w:pageBreakBefore w:val="0"/>
        <w:widowControl w:val="0"/>
        <w:numPr>
          <w:ilvl w:val="0"/>
          <w:numId w:val="298"/>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符合《中华人民共和国食品安全法》和《中华人民共和国农产品质量安全法》等法律法规规定；</w:t>
      </w:r>
    </w:p>
    <w:p>
      <w:pPr>
        <w:pStyle w:val="25"/>
        <w:keepNext w:val="0"/>
        <w:keepLines w:val="0"/>
        <w:pageBreakBefore w:val="0"/>
        <w:widowControl w:val="0"/>
        <w:numPr>
          <w:ilvl w:val="0"/>
          <w:numId w:val="298"/>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在国家工商总局商标局核定的范围内；</w:t>
      </w:r>
    </w:p>
    <w:p>
      <w:pPr>
        <w:pStyle w:val="25"/>
        <w:keepNext w:val="0"/>
        <w:keepLines w:val="0"/>
        <w:pageBreakBefore w:val="0"/>
        <w:widowControl w:val="0"/>
        <w:numPr>
          <w:ilvl w:val="0"/>
          <w:numId w:val="298"/>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产品或产品原料产地环境符合绿色食品产地环境质量标准；</w:t>
      </w:r>
    </w:p>
    <w:p>
      <w:pPr>
        <w:pStyle w:val="25"/>
        <w:keepNext w:val="0"/>
        <w:keepLines w:val="0"/>
        <w:pageBreakBefore w:val="0"/>
        <w:widowControl w:val="0"/>
        <w:numPr>
          <w:ilvl w:val="0"/>
          <w:numId w:val="298"/>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农药、肥料、饲料、兽药等投入品使用符合绿色食品投入品使用准则；</w:t>
      </w:r>
    </w:p>
    <w:p>
      <w:pPr>
        <w:pStyle w:val="25"/>
        <w:keepNext w:val="0"/>
        <w:keepLines w:val="0"/>
        <w:pageBreakBefore w:val="0"/>
        <w:widowControl w:val="0"/>
        <w:numPr>
          <w:ilvl w:val="0"/>
          <w:numId w:val="298"/>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产品质量符合绿色食品产品质量标准；</w:t>
      </w:r>
    </w:p>
    <w:p>
      <w:pPr>
        <w:pStyle w:val="25"/>
        <w:keepNext w:val="0"/>
        <w:keepLines w:val="0"/>
        <w:pageBreakBefore w:val="0"/>
        <w:widowControl w:val="0"/>
        <w:numPr>
          <w:ilvl w:val="0"/>
          <w:numId w:val="298"/>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包装贮运符合绿色食品包装贮运标准。</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531" w:name="第44条_申请使用绿色食品标志的生产单位的条件及需提供的材料"/>
      <w:bookmarkEnd w:id="531"/>
      <w:r>
        <w:rPr>
          <w:rFonts w:hint="eastAsia" w:ascii="仿宋_GB2312" w:hAnsi="仿宋" w:eastAsia="仿宋_GB2312" w:cs="仿宋"/>
          <w:color w:val="000000"/>
          <w:sz w:val="28"/>
          <w:szCs w:val="28"/>
        </w:rPr>
        <w:t>第四十四条  申请使用绿色食品标志的生产单位的条件及需提供的材料</w:t>
      </w:r>
    </w:p>
    <w:p>
      <w:pPr>
        <w:pStyle w:val="25"/>
        <w:keepNext w:val="0"/>
        <w:keepLines w:val="0"/>
        <w:pageBreakBefore w:val="0"/>
        <w:widowControl w:val="0"/>
        <w:numPr>
          <w:ilvl w:val="0"/>
          <w:numId w:val="0"/>
        </w:numPr>
        <w:tabs>
          <w:tab w:val="left" w:pos="1241"/>
        </w:tabs>
        <w:wordWrap/>
        <w:autoSpaceDE w:val="0"/>
        <w:autoSpaceDN w:val="0"/>
        <w:bidi w:val="0"/>
        <w:spacing w:line="500" w:lineRule="exact"/>
        <w:ind w:firstLine="562" w:firstLineChars="200"/>
        <w:jc w:val="both"/>
        <w:rPr>
          <w:rFonts w:hint="eastAsia" w:ascii="仿宋_GB2312" w:hAnsi="仿宋" w:eastAsia="仿宋_GB2312" w:cs="仿宋"/>
          <w:b/>
          <w:color w:val="000000"/>
          <w:sz w:val="28"/>
          <w:szCs w:val="28"/>
        </w:rPr>
      </w:pPr>
      <w:bookmarkStart w:id="532" w:name="44.1申请使用绿色食品标志的生产单位的条件"/>
      <w:bookmarkEnd w:id="532"/>
      <w:r>
        <w:rPr>
          <w:rFonts w:hint="eastAsia" w:ascii="仿宋_GB2312" w:hAnsi="仿宋" w:eastAsia="仿宋_GB2312" w:cs="仿宋"/>
          <w:b/>
          <w:color w:val="000000"/>
          <w:sz w:val="28"/>
          <w:szCs w:val="28"/>
        </w:rPr>
        <w:t>（一）申请使用绿色食品标志的生产单位的条件</w:t>
      </w:r>
    </w:p>
    <w:p>
      <w:pPr>
        <w:pStyle w:val="25"/>
        <w:keepNext w:val="0"/>
        <w:keepLines w:val="0"/>
        <w:pageBreakBefore w:val="0"/>
        <w:widowControl w:val="0"/>
        <w:numPr>
          <w:ilvl w:val="0"/>
          <w:numId w:val="299"/>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能够独立承担民事责任；</w:t>
      </w:r>
    </w:p>
    <w:p>
      <w:pPr>
        <w:pStyle w:val="25"/>
        <w:keepNext w:val="0"/>
        <w:keepLines w:val="0"/>
        <w:pageBreakBefore w:val="0"/>
        <w:widowControl w:val="0"/>
        <w:numPr>
          <w:ilvl w:val="0"/>
          <w:numId w:val="299"/>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具有绿色食品生产的环境条件和生产技术；</w:t>
      </w:r>
    </w:p>
    <w:p>
      <w:pPr>
        <w:pStyle w:val="25"/>
        <w:keepNext w:val="0"/>
        <w:keepLines w:val="0"/>
        <w:pageBreakBefore w:val="0"/>
        <w:widowControl w:val="0"/>
        <w:numPr>
          <w:ilvl w:val="0"/>
          <w:numId w:val="299"/>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有完善的质量管理和质量保证体系；</w:t>
      </w:r>
    </w:p>
    <w:p>
      <w:pPr>
        <w:pStyle w:val="25"/>
        <w:keepNext w:val="0"/>
        <w:keepLines w:val="0"/>
        <w:pageBreakBefore w:val="0"/>
        <w:widowControl w:val="0"/>
        <w:numPr>
          <w:ilvl w:val="0"/>
          <w:numId w:val="299"/>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具有与生产规模相适应的生产技术人员和质量控制人员；</w:t>
      </w:r>
    </w:p>
    <w:p>
      <w:pPr>
        <w:pStyle w:val="25"/>
        <w:keepNext w:val="0"/>
        <w:keepLines w:val="0"/>
        <w:pageBreakBefore w:val="0"/>
        <w:widowControl w:val="0"/>
        <w:numPr>
          <w:ilvl w:val="0"/>
          <w:numId w:val="299"/>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具有稳定的生产基地；</w:t>
      </w:r>
    </w:p>
    <w:p>
      <w:pPr>
        <w:pStyle w:val="25"/>
        <w:keepNext w:val="0"/>
        <w:keepLines w:val="0"/>
        <w:pageBreakBefore w:val="0"/>
        <w:widowControl w:val="0"/>
        <w:numPr>
          <w:ilvl w:val="0"/>
          <w:numId w:val="299"/>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申请前三年内无质量安全事故和不良诚信记录。</w:t>
      </w:r>
    </w:p>
    <w:p>
      <w:pPr>
        <w:pStyle w:val="5"/>
        <w:keepNext w:val="0"/>
        <w:keepLines w:val="0"/>
        <w:pageBreakBefore w:val="0"/>
        <w:widowControl w:val="0"/>
        <w:tabs>
          <w:tab w:val="left" w:pos="1311"/>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bookmarkStart w:id="533" w:name="44.2_申请人应向省级工作机构提交的材料"/>
      <w:bookmarkEnd w:id="533"/>
      <w:r>
        <w:rPr>
          <w:rFonts w:hint="eastAsia" w:ascii="仿宋_GB2312" w:hAnsi="仿宋" w:eastAsia="仿宋_GB2312" w:cs="仿宋"/>
          <w:color w:val="000000"/>
          <w:sz w:val="28"/>
          <w:szCs w:val="28"/>
        </w:rPr>
        <w:t>（二）申请人应向省级工作机构提交的材料</w:t>
      </w:r>
    </w:p>
    <w:p>
      <w:pPr>
        <w:pStyle w:val="25"/>
        <w:keepNext w:val="0"/>
        <w:keepLines w:val="0"/>
        <w:pageBreakBefore w:val="0"/>
        <w:widowControl w:val="0"/>
        <w:numPr>
          <w:ilvl w:val="0"/>
          <w:numId w:val="300"/>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标志使用申请书；</w:t>
      </w:r>
    </w:p>
    <w:p>
      <w:pPr>
        <w:pStyle w:val="25"/>
        <w:keepNext w:val="0"/>
        <w:keepLines w:val="0"/>
        <w:pageBreakBefore w:val="0"/>
        <w:widowControl w:val="0"/>
        <w:numPr>
          <w:ilvl w:val="0"/>
          <w:numId w:val="300"/>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产品生产技术规程和质量控制规范；</w:t>
      </w:r>
    </w:p>
    <w:p>
      <w:pPr>
        <w:pStyle w:val="25"/>
        <w:keepNext w:val="0"/>
        <w:keepLines w:val="0"/>
        <w:pageBreakBefore w:val="0"/>
        <w:widowControl w:val="0"/>
        <w:numPr>
          <w:ilvl w:val="0"/>
          <w:numId w:val="300"/>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预包装产品包装标签或其设计样张；</w:t>
      </w:r>
    </w:p>
    <w:p>
      <w:pPr>
        <w:pStyle w:val="25"/>
        <w:keepNext w:val="0"/>
        <w:keepLines w:val="0"/>
        <w:pageBreakBefore w:val="0"/>
        <w:widowControl w:val="0"/>
        <w:numPr>
          <w:ilvl w:val="0"/>
          <w:numId w:val="300"/>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中国绿色食品发展中心规定提交的其他证明材料。</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534" w:name="_bookmark23"/>
      <w:bookmarkEnd w:id="534"/>
      <w:bookmarkStart w:id="535" w:name="第45条_操作提示"/>
      <w:bookmarkEnd w:id="535"/>
      <w:r>
        <w:rPr>
          <w:rFonts w:hint="eastAsia" w:ascii="仿宋_GB2312" w:hAnsi="仿宋" w:eastAsia="仿宋_GB2312" w:cs="仿宋"/>
          <w:color w:val="000000"/>
          <w:sz w:val="28"/>
          <w:szCs w:val="28"/>
        </w:rPr>
        <w:t>第四十五条  操作提示</w:t>
      </w:r>
    </w:p>
    <w:p>
      <w:pPr>
        <w:pStyle w:val="25"/>
        <w:keepNext w:val="0"/>
        <w:keepLines w:val="0"/>
        <w:pageBreakBefore w:val="0"/>
        <w:widowControl w:val="0"/>
        <w:numPr>
          <w:ilvl w:val="0"/>
          <w:numId w:val="301"/>
        </w:numPr>
        <w:tabs>
          <w:tab w:val="left" w:pos="1241"/>
        </w:tabs>
        <w:wordWrap/>
        <w:autoSpaceDE w:val="0"/>
        <w:autoSpaceDN w:val="0"/>
        <w:bidi w:val="0"/>
        <w:spacing w:line="500" w:lineRule="exact"/>
        <w:ind w:firstLine="562" w:firstLineChars="200"/>
        <w:jc w:val="both"/>
        <w:rPr>
          <w:rFonts w:hint="eastAsia" w:ascii="仿宋_GB2312" w:hAnsi="仿宋" w:eastAsia="仿宋_GB2312" w:cs="仿宋"/>
          <w:b/>
          <w:color w:val="000000"/>
          <w:sz w:val="28"/>
          <w:szCs w:val="28"/>
        </w:rPr>
      </w:pPr>
      <w:bookmarkStart w:id="536" w:name="45.1律师在在办理品种权无效案件注意事项"/>
      <w:bookmarkEnd w:id="536"/>
      <w:r>
        <w:rPr>
          <w:rFonts w:hint="eastAsia" w:ascii="仿宋_GB2312" w:hAnsi="仿宋" w:eastAsia="仿宋_GB2312" w:cs="仿宋"/>
          <w:b/>
          <w:color w:val="000000"/>
          <w:sz w:val="28"/>
          <w:szCs w:val="28"/>
        </w:rPr>
        <w:t>律师在在办理品种权无效案件注意事项</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律师应注意宣告品种权无效的决定，对在宣告前人民法院作出并已执行的植物新品种侵权的判决、裁定，省级以上人民政府农业、林业行政部门作出并已执行的植物新品种侵权处理决定，以及已经履行的植物新品种实施许可合同和植物新品种权转让合同，不具有追溯力；如果，代理的一方因品种权人的恶意造成损失的，可以依法主张合理赔偿。</w:t>
      </w:r>
    </w:p>
    <w:p>
      <w:pPr>
        <w:pStyle w:val="5"/>
        <w:keepNext w:val="0"/>
        <w:keepLines w:val="0"/>
        <w:pageBreakBefore w:val="0"/>
        <w:widowControl w:val="0"/>
        <w:numPr>
          <w:ilvl w:val="0"/>
          <w:numId w:val="301"/>
        </w:numPr>
        <w:tabs>
          <w:tab w:val="left" w:pos="1313"/>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bookmarkStart w:id="537" w:name="45.2_律师在代理品种适宜种植区域较广、侵权现象较为普遍、侵权行为较为分散、单"/>
      <w:bookmarkEnd w:id="537"/>
      <w:r>
        <w:rPr>
          <w:rFonts w:hint="eastAsia" w:ascii="仿宋_GB2312" w:hAnsi="仿宋" w:eastAsia="仿宋_GB2312" w:cs="仿宋"/>
          <w:color w:val="000000"/>
          <w:sz w:val="28"/>
          <w:szCs w:val="28"/>
        </w:rPr>
        <w:t>律师在代理品种适宜种植区域较广、侵权现象较为普遍、侵权行为较为分散、单个案件侵权数量又不太多的植物新品种权侵权案件注意事项</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律师应采取普遍打击的方式，并做好证据保全，集中提起诉讼，有利于起到威慑作用。</w:t>
      </w:r>
    </w:p>
    <w:p>
      <w:pPr>
        <w:pStyle w:val="5"/>
        <w:keepNext w:val="0"/>
        <w:keepLines w:val="0"/>
        <w:pageBreakBefore w:val="0"/>
        <w:widowControl w:val="0"/>
        <w:numPr>
          <w:ilvl w:val="0"/>
          <w:numId w:val="301"/>
        </w:numPr>
        <w:tabs>
          <w:tab w:val="left" w:pos="1311"/>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bookmarkStart w:id="538" w:name="45.3_律师在办理品种权侵权案件时注意事项"/>
      <w:bookmarkEnd w:id="538"/>
      <w:r>
        <w:rPr>
          <w:rFonts w:hint="eastAsia" w:ascii="仿宋_GB2312" w:hAnsi="仿宋" w:eastAsia="仿宋_GB2312" w:cs="仿宋"/>
          <w:color w:val="000000"/>
          <w:sz w:val="28"/>
          <w:szCs w:val="28"/>
        </w:rPr>
        <w:t>律师在办理品种权侵权案件时注意事项</w:t>
      </w:r>
    </w:p>
    <w:p>
      <w:pPr>
        <w:pStyle w:val="25"/>
        <w:keepNext w:val="0"/>
        <w:keepLines w:val="0"/>
        <w:pageBreakBefore w:val="0"/>
        <w:widowControl w:val="0"/>
        <w:numPr>
          <w:ilvl w:val="0"/>
          <w:numId w:val="302"/>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国家审定品种或外省审定后本省引种备案的品种往往是按省分别授权、许可实施的，严格意义上都属于普通实施许可，被许可方并不当然拥有诉权，在品种权人或许可方不单独授予诉权的情况下，只能由品种权人或许可方提起侵权民事诉讼。</w:t>
      </w:r>
    </w:p>
    <w:p>
      <w:pPr>
        <w:pStyle w:val="25"/>
        <w:keepNext w:val="0"/>
        <w:keepLines w:val="0"/>
        <w:pageBreakBefore w:val="0"/>
        <w:widowControl w:val="0"/>
        <w:numPr>
          <w:ilvl w:val="0"/>
          <w:numId w:val="302"/>
        </w:numPr>
        <w:tabs>
          <w:tab w:val="left" w:pos="1397"/>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根据《种子法》及配套法规的规定，采用 DNA 分析方法进行品种真实性鉴定的结果可以作为行政执法的依据，检测机构应当拥有检测资质。在品种权侵权民事诉讼案件中，对某一类植物进行品种真实性鉴定时，只要这类植物拥有有资质的鉴定机构对其进行鉴定，就应当选择拥有资质的鉴定机构进行品种真实性鉴定。对非主要农作物或其他植物的鉴定，没有相关有资质的机构进行鉴定的，可以选择具备有鉴定条件和鉴定能力的大专院校、科研院所、社会机构进行鉴定。</w:t>
      </w:r>
    </w:p>
    <w:p>
      <w:pPr>
        <w:pStyle w:val="7"/>
        <w:keepNext w:val="0"/>
        <w:keepLines w:val="0"/>
        <w:pageBreakBefore w:val="0"/>
        <w:widowControl w:val="0"/>
        <w:numPr>
          <w:ilvl w:val="0"/>
          <w:numId w:val="302"/>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植物新品种侵权案件品种真实性鉴定的对照样品只能从农业部植物新品种保护办公室保藏中心调取，而不应当以该品种审定留存的标准样作为对照样品。理由是同一品种名称审定品种留存的标准样与申请保护提交的标准样可能不一致，主要因为 2010 年对此前审定的品种有重新征集标准样的情况以及存在参试过程中更换品种的现象。法律授权保护的是自愿申请保护时申请人自己提交的标准样，而不是该品种审定留存的标准。</w:t>
      </w:r>
    </w:p>
    <w:p>
      <w:pPr>
        <w:pStyle w:val="25"/>
        <w:keepNext w:val="0"/>
        <w:keepLines w:val="0"/>
        <w:pageBreakBefore w:val="0"/>
        <w:widowControl w:val="0"/>
        <w:numPr>
          <w:ilvl w:val="0"/>
          <w:numId w:val="302"/>
        </w:numPr>
        <w:tabs>
          <w:tab w:val="left" w:pos="1390"/>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对鉴定报告的分析上要注意“混杂”与“杂合”的区别。检测机构采取简单多数取样再测试后发现是品种“混杂”、不是染色体“杂合”，则检测样本的主体品种与对照样品没有差异，是被控侵权产品种子混杂，可能存在纯度问题，不影响对侵权事实的认定。</w:t>
      </w:r>
    </w:p>
    <w:p>
      <w:pPr>
        <w:pStyle w:val="25"/>
        <w:keepNext w:val="0"/>
        <w:keepLines w:val="0"/>
        <w:pageBreakBefore w:val="0"/>
        <w:widowControl w:val="0"/>
        <w:numPr>
          <w:ilvl w:val="0"/>
          <w:numId w:val="302"/>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不能以普通消费者身份购买被控侵权产品实物及对方出具的票据作为证据提交给法庭，由于实物和票据之间缺乏对应关系，往往起不到证明效果。原则上要采取证据保全公证收集证据。还可以采用就侵权产品的侵权及种子违法行为向行政机关申请查处，行政机关查处的行政案件的行政处罚决定书、卷宗材料、查扣的实物等经当事人依法调取或申请法院依法调取，均可以作为侵权诉讼证据使用，但一定要注意证据的有效性，最好有生效的行政处罚决定书，并尽早提起诉讼。</w:t>
      </w:r>
    </w:p>
    <w:p>
      <w:pPr>
        <w:pStyle w:val="25"/>
        <w:keepNext w:val="0"/>
        <w:keepLines w:val="0"/>
        <w:pageBreakBefore w:val="0"/>
        <w:widowControl w:val="0"/>
        <w:numPr>
          <w:ilvl w:val="0"/>
          <w:numId w:val="302"/>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未经品种权人、品种权实施人许可，擅自生产保护品种的种子、进行所谓的内部供种也是侵权行为。</w:t>
      </w:r>
    </w:p>
    <w:p>
      <w:pPr>
        <w:pStyle w:val="25"/>
        <w:keepNext w:val="0"/>
        <w:keepLines w:val="0"/>
        <w:pageBreakBefore w:val="0"/>
        <w:widowControl w:val="0"/>
        <w:numPr>
          <w:ilvl w:val="0"/>
          <w:numId w:val="302"/>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法院在审理知识产权侵权案件确定赔偿额时，一般首先是考虑侵权给原告造成的损失，因此，在民行交叉案件中要在行政机关调查取证时尽早介入，固定证据，确定原告的损失。</w:t>
      </w:r>
    </w:p>
    <w:p>
      <w:pPr>
        <w:pStyle w:val="5"/>
        <w:keepNext w:val="0"/>
        <w:keepLines w:val="0"/>
        <w:pageBreakBefore w:val="0"/>
        <w:widowControl w:val="0"/>
        <w:tabs>
          <w:tab w:val="left" w:pos="1241"/>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bookmarkStart w:id="539" w:name="45.4律师在办理套用种子包装时注意事项"/>
      <w:bookmarkEnd w:id="539"/>
      <w:r>
        <w:rPr>
          <w:rFonts w:hint="eastAsia" w:ascii="仿宋_GB2312" w:hAnsi="仿宋" w:eastAsia="仿宋_GB2312" w:cs="仿宋"/>
          <w:color w:val="000000"/>
          <w:sz w:val="28"/>
          <w:szCs w:val="28"/>
        </w:rPr>
        <w:t>（四）律师在办理套用种子包装时注意事项</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律师要注意《种子法》及配套法规的规定，每一商品种子最小包装（销售）单元都必须印有一个独立的二维码、对应一个单元识别码，侵权产品即使另行设置一套二维码系统，也很难进入正宗产品的二维码管理系统。</w:t>
      </w:r>
    </w:p>
    <w:p>
      <w:pPr>
        <w:pStyle w:val="5"/>
        <w:keepNext w:val="0"/>
        <w:keepLines w:val="0"/>
        <w:pageBreakBefore w:val="0"/>
        <w:widowControl w:val="0"/>
        <w:tabs>
          <w:tab w:val="left" w:pos="1311"/>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bookmarkStart w:id="540" w:name="45.5_律师在代理品种权侵权案件时注意事项"/>
      <w:bookmarkEnd w:id="540"/>
      <w:r>
        <w:rPr>
          <w:rFonts w:hint="eastAsia" w:ascii="仿宋_GB2312" w:hAnsi="仿宋" w:eastAsia="仿宋_GB2312" w:cs="仿宋"/>
          <w:color w:val="000000"/>
          <w:sz w:val="28"/>
          <w:szCs w:val="28"/>
        </w:rPr>
        <w:t>（五）律师在代理品种权侵权案件时注意事项</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律师不仅要充分掌握种子法及相关配套文件的内容并熟练运用， 还应当对种子在市场上销售的流程、习惯做法等有所了解。同时，实践中，有证据证明经营者明知销售侵权产品的，也要承担赔偿责任，赔偿数额一般为总赔偿额的 10%-20%。</w:t>
      </w:r>
    </w:p>
    <w:p>
      <w:pPr>
        <w:pStyle w:val="2"/>
        <w:keepNext w:val="0"/>
        <w:keepLines w:val="0"/>
        <w:pageBreakBefore w:val="0"/>
        <w:widowControl w:val="0"/>
        <w:wordWrap/>
        <w:bidi w:val="0"/>
        <w:spacing w:before="0" w:after="0" w:line="500" w:lineRule="exact"/>
        <w:jc w:val="center"/>
        <w:rPr>
          <w:rFonts w:hint="eastAsia" w:ascii="楷体" w:hAnsi="楷体" w:eastAsia="楷体" w:cs="楷体"/>
          <w:color w:val="000000"/>
          <w:sz w:val="28"/>
          <w:szCs w:val="28"/>
        </w:rPr>
      </w:pPr>
      <w:bookmarkStart w:id="541" w:name="_bookmark24"/>
      <w:bookmarkEnd w:id="541"/>
      <w:bookmarkStart w:id="542" w:name="第五节_农村宅基地业务操作指引"/>
      <w:bookmarkEnd w:id="542"/>
      <w:bookmarkStart w:id="543" w:name="_Toc24823"/>
      <w:r>
        <w:rPr>
          <w:rFonts w:hint="eastAsia" w:ascii="楷体" w:hAnsi="楷体" w:eastAsia="楷体" w:cs="楷体"/>
          <w:color w:val="000000"/>
          <w:sz w:val="28"/>
          <w:szCs w:val="28"/>
        </w:rPr>
        <w:t>第五节 农村宅基地业务操作指引</w:t>
      </w:r>
      <w:bookmarkEnd w:id="543"/>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544" w:name="_bookmark25"/>
      <w:bookmarkEnd w:id="544"/>
      <w:bookmarkStart w:id="545" w:name="第46条_主要概念"/>
      <w:bookmarkEnd w:id="545"/>
      <w:r>
        <w:rPr>
          <w:rFonts w:hint="eastAsia" w:ascii="仿宋_GB2312" w:hAnsi="仿宋" w:eastAsia="仿宋_GB2312" w:cs="仿宋"/>
          <w:color w:val="000000"/>
          <w:sz w:val="28"/>
          <w:szCs w:val="28"/>
        </w:rPr>
        <w:t>第四十六条  主要概念</w:t>
      </w:r>
    </w:p>
    <w:p>
      <w:pPr>
        <w:pStyle w:val="25"/>
        <w:keepNext w:val="0"/>
        <w:keepLines w:val="0"/>
        <w:pageBreakBefore w:val="0"/>
        <w:widowControl w:val="0"/>
        <w:numPr>
          <w:ilvl w:val="0"/>
          <w:numId w:val="303"/>
        </w:numPr>
        <w:tabs>
          <w:tab w:val="left" w:pos="1241"/>
        </w:tabs>
        <w:wordWrap/>
        <w:autoSpaceDE w:val="0"/>
        <w:autoSpaceDN w:val="0"/>
        <w:bidi w:val="0"/>
        <w:spacing w:line="500" w:lineRule="exact"/>
        <w:ind w:firstLine="562" w:firstLineChars="200"/>
        <w:jc w:val="both"/>
        <w:rPr>
          <w:rFonts w:hint="eastAsia" w:ascii="仿宋_GB2312" w:hAnsi="仿宋" w:eastAsia="仿宋_GB2312" w:cs="仿宋"/>
          <w:b/>
          <w:color w:val="000000"/>
          <w:sz w:val="28"/>
          <w:szCs w:val="28"/>
        </w:rPr>
      </w:pPr>
      <w:bookmarkStart w:id="546" w:name="46.1农村宅基地"/>
      <w:bookmarkEnd w:id="546"/>
      <w:r>
        <w:rPr>
          <w:rFonts w:hint="eastAsia" w:ascii="仿宋_GB2312" w:hAnsi="仿宋" w:eastAsia="仿宋_GB2312" w:cs="仿宋"/>
          <w:b/>
          <w:color w:val="000000"/>
          <w:sz w:val="28"/>
          <w:szCs w:val="28"/>
        </w:rPr>
        <w:t>农村宅基地</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指农村村民用于建造住宅及其附属设施的集体建设用地，包括住房、附属用房和庭院等用地，不包括与宅基地相连的农业生产性用地、农户超出宅基地范围占用的空闲地等土地。</w:t>
      </w:r>
    </w:p>
    <w:p>
      <w:pPr>
        <w:pStyle w:val="5"/>
        <w:keepNext w:val="0"/>
        <w:keepLines w:val="0"/>
        <w:pageBreakBefore w:val="0"/>
        <w:widowControl w:val="0"/>
        <w:numPr>
          <w:ilvl w:val="0"/>
          <w:numId w:val="303"/>
        </w:numPr>
        <w:tabs>
          <w:tab w:val="left" w:pos="1241"/>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bookmarkStart w:id="547" w:name="46.2农村宅基地使用权"/>
      <w:bookmarkEnd w:id="547"/>
      <w:r>
        <w:rPr>
          <w:rFonts w:hint="eastAsia" w:ascii="仿宋_GB2312" w:hAnsi="仿宋" w:eastAsia="仿宋_GB2312" w:cs="仿宋"/>
          <w:color w:val="000000"/>
          <w:sz w:val="28"/>
          <w:szCs w:val="28"/>
        </w:rPr>
        <w:t>农村宅基地使用权</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指农村村民建造房屋时依法提出申请，经批准后取得的宅基地使用权。</w:t>
      </w:r>
    </w:p>
    <w:p>
      <w:pPr>
        <w:pStyle w:val="5"/>
        <w:keepNext w:val="0"/>
        <w:keepLines w:val="0"/>
        <w:pageBreakBefore w:val="0"/>
        <w:widowControl w:val="0"/>
        <w:numPr>
          <w:ilvl w:val="0"/>
          <w:numId w:val="303"/>
        </w:numPr>
        <w:tabs>
          <w:tab w:val="left" w:pos="1311"/>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bookmarkStart w:id="548" w:name="46.3_宅基地使用权纠纷"/>
      <w:bookmarkEnd w:id="548"/>
      <w:r>
        <w:rPr>
          <w:rFonts w:hint="eastAsia" w:ascii="仿宋_GB2312" w:hAnsi="仿宋" w:eastAsia="仿宋_GB2312" w:cs="仿宋"/>
          <w:color w:val="000000"/>
          <w:sz w:val="28"/>
          <w:szCs w:val="28"/>
        </w:rPr>
        <w:t>宅基地使用权纠纷</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指民事主体之间就宅基地使用权产生的确权纠纷或侵权纠纷。</w:t>
      </w:r>
      <w:bookmarkStart w:id="549" w:name="_bookmark26"/>
      <w:bookmarkEnd w:id="549"/>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550" w:name="第47条_农村宅基地的审批主体及审批程序"/>
      <w:bookmarkEnd w:id="550"/>
      <w:r>
        <w:rPr>
          <w:rFonts w:hint="eastAsia" w:ascii="仿宋_GB2312" w:hAnsi="仿宋" w:eastAsia="仿宋_GB2312" w:cs="仿宋"/>
          <w:color w:val="000000"/>
          <w:sz w:val="28"/>
          <w:szCs w:val="28"/>
        </w:rPr>
        <w:t>第四十七条  农村宅基地的审批主体及审批程序</w:t>
      </w:r>
    </w:p>
    <w:p>
      <w:pPr>
        <w:pStyle w:val="25"/>
        <w:keepNext w:val="0"/>
        <w:keepLines w:val="0"/>
        <w:pageBreakBefore w:val="0"/>
        <w:widowControl w:val="0"/>
        <w:numPr>
          <w:ilvl w:val="0"/>
          <w:numId w:val="304"/>
        </w:numPr>
        <w:tabs>
          <w:tab w:val="left" w:pos="1241"/>
        </w:tabs>
        <w:wordWrap/>
        <w:autoSpaceDE w:val="0"/>
        <w:autoSpaceDN w:val="0"/>
        <w:bidi w:val="0"/>
        <w:spacing w:line="500" w:lineRule="exact"/>
        <w:ind w:firstLine="562" w:firstLineChars="200"/>
        <w:jc w:val="both"/>
        <w:rPr>
          <w:rFonts w:hint="eastAsia" w:ascii="仿宋_GB2312" w:hAnsi="仿宋" w:eastAsia="仿宋_GB2312" w:cs="仿宋"/>
          <w:b/>
          <w:color w:val="000000"/>
          <w:sz w:val="28"/>
          <w:szCs w:val="28"/>
        </w:rPr>
      </w:pPr>
      <w:bookmarkStart w:id="551" w:name="47.1农村宅基地审批主体"/>
      <w:bookmarkEnd w:id="551"/>
      <w:r>
        <w:rPr>
          <w:rFonts w:hint="eastAsia" w:ascii="仿宋_GB2312" w:hAnsi="仿宋" w:eastAsia="仿宋_GB2312" w:cs="仿宋"/>
          <w:b/>
          <w:color w:val="000000"/>
          <w:sz w:val="28"/>
          <w:szCs w:val="28"/>
        </w:rPr>
        <w:t>农村宅基地审批主体</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农村村民住宅用地，由乡（镇）人民政府审核批准；其中，涉及占用农用地的，依照《中华人民共和国土地管理法》第四十四条的规定办理审批手续。第四十四条规定，建设占用土地，涉及农用地转为建设用地的，应当办理农用地转用审批手续。</w:t>
      </w:r>
    </w:p>
    <w:p>
      <w:pPr>
        <w:pStyle w:val="5"/>
        <w:keepNext w:val="0"/>
        <w:keepLines w:val="0"/>
        <w:pageBreakBefore w:val="0"/>
        <w:widowControl w:val="0"/>
        <w:numPr>
          <w:ilvl w:val="0"/>
          <w:numId w:val="304"/>
        </w:numPr>
        <w:tabs>
          <w:tab w:val="left" w:pos="1241"/>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bookmarkStart w:id="552" w:name="47.2农村宅基地申请审批程序"/>
      <w:bookmarkEnd w:id="552"/>
      <w:r>
        <w:rPr>
          <w:rFonts w:hint="eastAsia" w:ascii="仿宋_GB2312" w:hAnsi="仿宋" w:eastAsia="仿宋_GB2312" w:cs="仿宋"/>
          <w:color w:val="000000"/>
          <w:sz w:val="28"/>
          <w:szCs w:val="28"/>
        </w:rPr>
        <w:t>农村宅基地申请审批程序</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按照《农业农村部 自然资源部关于规范农村宅基地审批管理的通知》（农经发〔2019〕6 号），农村宅基地分配实行农户申请、村组审核、乡镇审批三个程序。具体流程为：</w:t>
      </w:r>
    </w:p>
    <w:p>
      <w:pPr>
        <w:pStyle w:val="25"/>
        <w:keepNext w:val="0"/>
        <w:keepLines w:val="0"/>
        <w:pageBreakBefore w:val="0"/>
        <w:widowControl w:val="0"/>
        <w:numPr>
          <w:ilvl w:val="0"/>
          <w:numId w:val="305"/>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符合宅基地申请条件的农户，以户为单位向所在村民小组提出宅基地和建房（规划许可）书面申请；</w:t>
      </w:r>
    </w:p>
    <w:p>
      <w:pPr>
        <w:pStyle w:val="25"/>
        <w:keepNext w:val="0"/>
        <w:keepLines w:val="0"/>
        <w:pageBreakBefore w:val="0"/>
        <w:widowControl w:val="0"/>
        <w:numPr>
          <w:ilvl w:val="0"/>
          <w:numId w:val="305"/>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村民小组收到申请后，应提交村民小组会议讨论，并将申请理由、拟用地位置和面积、拟建房层高和面积等情况在本小组范围内公示。公示无异议或异议不成立的，村民小组将农户申请、村民小组会议记录等材料交村集体经济组织或村民委员会（以下简称村级组织）审查。村级组织重点审查提交的材料是否真实有效、拟用地建房是否符合村庄规划、是否征求了用地建房相邻权利人意见等。审查通过的，由村级组织签署意见，报送乡镇政府。没有分设村民小组或宅基地和建房申请等事项已统一由村级组织办理的，农户直接向村级组织提出申请，经村民代表会议讨论通过并在本集体经济组织范围内公示后，由村级组织签署意见，报送乡镇政府；</w:t>
      </w:r>
    </w:p>
    <w:p>
      <w:pPr>
        <w:pStyle w:val="25"/>
        <w:keepNext w:val="0"/>
        <w:keepLines w:val="0"/>
        <w:pageBreakBefore w:val="0"/>
        <w:widowControl w:val="0"/>
        <w:numPr>
          <w:ilvl w:val="0"/>
          <w:numId w:val="305"/>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批工作中，农业农村部门负责审查申请人是否符合申请条件、拟用地是否符合宅基地合理布局要求和面积标准、宅基地和建房（规划许可）申请是否经过村组审核公示等，并综合各有关部门意见提出审批建议。自然资源部门负责审查用地建房是否符合国土空间规划、用途管制要求，其中涉及占用农用地的，应在办理农用地转用审批手续后，核发乡村建设规划许可证；在乡、村庄规划区内使用原有宅基地进行农村村民住宅建设的，可按照本省（区、市）有关规定办理规划许可。涉及林业、水利、电力等部门的要及时征求意见；</w:t>
      </w:r>
    </w:p>
    <w:p>
      <w:pPr>
        <w:pStyle w:val="25"/>
        <w:keepNext w:val="0"/>
        <w:keepLines w:val="0"/>
        <w:pageBreakBefore w:val="0"/>
        <w:widowControl w:val="0"/>
        <w:numPr>
          <w:ilvl w:val="0"/>
          <w:numId w:val="305"/>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根据各部门联审结果，由乡镇政府对农民宅基地申请进行审批，出具《农村宅基地批准书》。</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553" w:name="第48条_农村村民以户为单位申请宅基地的条件"/>
      <w:bookmarkEnd w:id="553"/>
      <w:r>
        <w:rPr>
          <w:rFonts w:hint="eastAsia" w:ascii="仿宋_GB2312" w:hAnsi="仿宋" w:eastAsia="仿宋_GB2312" w:cs="仿宋"/>
          <w:color w:val="000000"/>
          <w:sz w:val="28"/>
          <w:szCs w:val="28"/>
        </w:rPr>
        <w:t>第四十八条 农村村民以户为单位申请宅基地的条件</w:t>
      </w:r>
    </w:p>
    <w:p>
      <w:pPr>
        <w:pStyle w:val="25"/>
        <w:keepNext w:val="0"/>
        <w:keepLines w:val="0"/>
        <w:pageBreakBefore w:val="0"/>
        <w:widowControl w:val="0"/>
        <w:numPr>
          <w:ilvl w:val="0"/>
          <w:numId w:val="306"/>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无宅基地的；</w:t>
      </w:r>
    </w:p>
    <w:p>
      <w:pPr>
        <w:pStyle w:val="25"/>
        <w:keepNext w:val="0"/>
        <w:keepLines w:val="0"/>
        <w:pageBreakBefore w:val="0"/>
        <w:widowControl w:val="0"/>
        <w:numPr>
          <w:ilvl w:val="0"/>
          <w:numId w:val="306"/>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因子女结婚等原因确需分户而现有的宅基地低于分户标准的；</w:t>
      </w:r>
    </w:p>
    <w:p>
      <w:pPr>
        <w:pStyle w:val="25"/>
        <w:keepNext w:val="0"/>
        <w:keepLines w:val="0"/>
        <w:pageBreakBefore w:val="0"/>
        <w:widowControl w:val="0"/>
        <w:numPr>
          <w:ilvl w:val="0"/>
          <w:numId w:val="306"/>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现住房影响乡（镇）村建设规划，需要搬迁重建的；</w:t>
      </w:r>
    </w:p>
    <w:p>
      <w:pPr>
        <w:pStyle w:val="25"/>
        <w:keepNext w:val="0"/>
        <w:keepLines w:val="0"/>
        <w:pageBreakBefore w:val="0"/>
        <w:widowControl w:val="0"/>
        <w:numPr>
          <w:ilvl w:val="0"/>
          <w:numId w:val="306"/>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符合政策规定迁入村集体组织落户为正式成员且在原籍没有宅基地的；</w:t>
      </w:r>
    </w:p>
    <w:p>
      <w:pPr>
        <w:pStyle w:val="25"/>
        <w:keepNext w:val="0"/>
        <w:keepLines w:val="0"/>
        <w:pageBreakBefore w:val="0"/>
        <w:widowControl w:val="0"/>
        <w:numPr>
          <w:ilvl w:val="0"/>
          <w:numId w:val="306"/>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bookmarkStart w:id="554" w:name="第49条_“一户一宅”问题"/>
      <w:bookmarkEnd w:id="554"/>
      <w:r>
        <w:rPr>
          <w:rFonts w:hint="eastAsia" w:ascii="仿宋_GB2312" w:hAnsi="仿宋" w:eastAsia="仿宋_GB2312" w:cs="仿宋"/>
          <w:color w:val="000000"/>
          <w:sz w:val="28"/>
          <w:szCs w:val="28"/>
        </w:rPr>
        <w:t>因自然灾害损毁或避让地质灾害搬迁的。</w:t>
      </w:r>
    </w:p>
    <w:p>
      <w:pPr>
        <w:pStyle w:val="25"/>
        <w:keepNext w:val="0"/>
        <w:keepLines w:val="0"/>
        <w:pageBreakBefore w:val="0"/>
        <w:widowControl w:val="0"/>
        <w:numPr>
          <w:ilvl w:val="0"/>
          <w:numId w:val="0"/>
        </w:numPr>
        <w:tabs>
          <w:tab w:val="left" w:pos="1382"/>
        </w:tabs>
        <w:wordWrap/>
        <w:autoSpaceDE w:val="0"/>
        <w:autoSpaceDN w:val="0"/>
        <w:bidi w:val="0"/>
        <w:spacing w:line="500" w:lineRule="exact"/>
        <w:ind w:firstLine="562" w:firstLineChars="200"/>
        <w:jc w:val="both"/>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第四十九条  “一户一宅”问题</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户一宅是指农村村民一户只能拥有一处宅基地，其宅基地的面积不得超过省、自治区、直辖市规定的标准。人均土地少、不能保障一户拥有一处宅基地的地区，县级人民政府在充分尊重农村村民意愿的基础上，可以采取措施，按照省、自治区、直辖市规定的标准保障农村村民实现户有所居。</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555" w:name="第50条_进城落户的农民宅基地使用权继承问题"/>
      <w:bookmarkEnd w:id="555"/>
      <w:r>
        <w:rPr>
          <w:rFonts w:hint="eastAsia" w:ascii="仿宋_GB2312" w:hAnsi="仿宋" w:eastAsia="仿宋_GB2312" w:cs="仿宋"/>
          <w:color w:val="000000"/>
          <w:sz w:val="28"/>
          <w:szCs w:val="28"/>
        </w:rPr>
        <w:t>第五十条  进城落户的农民宅基地使用权继承问题</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进城落户的农民可以依法保留其原来合法取得的宅基地使用权。按照《中共中央国务院关于坚持农业农村优先发展做好“三农”工作的若干意见》（中发〔2019〕1 号）“坚持保障农民土地权益、不得以退出承包地和宅基地作为农民进城落户条件”规定精神，不能强迫进城落户农民放弃其合法取得的宅基地使用权。在此之前，《国土资源部关于进一步加快宅基地和集体建设用地确权登记发证有关问题的通知》（国土资发〔2016〕191 号）规定，“农民进城落户后，其原合法取得的宅基地使用权应予以确权记。”</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556" w:name="第51条_农村宅基地抵押问题"/>
      <w:bookmarkEnd w:id="556"/>
      <w:r>
        <w:rPr>
          <w:rFonts w:hint="eastAsia" w:ascii="仿宋_GB2312" w:hAnsi="仿宋" w:eastAsia="仿宋_GB2312" w:cs="仿宋"/>
          <w:color w:val="000000"/>
          <w:sz w:val="28"/>
          <w:szCs w:val="28"/>
        </w:rPr>
        <w:t>第五十一条  农村宅基地抵押问题</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宅基地的土地使用权不能抵押，但是宅基地上的附着物可以抵押。</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557" w:name="第52条_查处农村宅基地违法行为的执法程序"/>
      <w:bookmarkEnd w:id="557"/>
      <w:r>
        <w:rPr>
          <w:rFonts w:hint="eastAsia" w:ascii="仿宋_GB2312" w:hAnsi="仿宋" w:eastAsia="仿宋_GB2312" w:cs="仿宋"/>
          <w:color w:val="000000"/>
          <w:sz w:val="28"/>
          <w:szCs w:val="28"/>
        </w:rPr>
        <w:t>第五十二条  查处农村宅基地违法行为的执法程序</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宅基地违法用地行为行政执法中，县级以上农业农村主管部门依据</w:t>
      </w:r>
      <w:r>
        <w:rPr>
          <w:rFonts w:hint="eastAsia" w:ascii="仿宋_GB2312" w:hAnsi="仿宋" w:eastAsia="仿宋_GB2312" w:cs="仿宋"/>
          <w:color w:val="000000"/>
          <w:sz w:val="28"/>
          <w:szCs w:val="28"/>
          <w:lang w:eastAsia="zh-CN"/>
        </w:rPr>
        <w:t>《</w:t>
      </w:r>
      <w:r>
        <w:rPr>
          <w:rFonts w:hint="eastAsia" w:ascii="仿宋_GB2312" w:hAnsi="仿宋" w:eastAsia="仿宋_GB2312" w:cs="仿宋"/>
          <w:color w:val="000000"/>
          <w:sz w:val="28"/>
          <w:szCs w:val="28"/>
        </w:rPr>
        <w:t>土地管理法</w:t>
      </w:r>
      <w:r>
        <w:rPr>
          <w:rFonts w:hint="eastAsia" w:ascii="仿宋_GB2312" w:hAnsi="仿宋" w:eastAsia="仿宋_GB2312" w:cs="仿宋"/>
          <w:color w:val="000000"/>
          <w:sz w:val="28"/>
          <w:szCs w:val="28"/>
          <w:lang w:eastAsia="zh-CN"/>
        </w:rPr>
        <w:t>》</w:t>
      </w:r>
      <w:r>
        <w:rPr>
          <w:rFonts w:hint="eastAsia" w:ascii="仿宋_GB2312" w:hAnsi="仿宋" w:eastAsia="仿宋_GB2312" w:cs="仿宋"/>
          <w:color w:val="000000"/>
          <w:sz w:val="28"/>
          <w:szCs w:val="28"/>
        </w:rPr>
        <w:t>第六十七、六十八条，依法履职：</w:t>
      </w:r>
    </w:p>
    <w:p>
      <w:pPr>
        <w:pStyle w:val="25"/>
        <w:keepNext w:val="0"/>
        <w:keepLines w:val="0"/>
        <w:pageBreakBefore w:val="0"/>
        <w:widowControl w:val="0"/>
        <w:numPr>
          <w:ilvl w:val="0"/>
          <w:numId w:val="307"/>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责令停止违法行为，履行监督检查权；</w:t>
      </w:r>
    </w:p>
    <w:p>
      <w:pPr>
        <w:pStyle w:val="25"/>
        <w:keepNext w:val="0"/>
        <w:keepLines w:val="0"/>
        <w:pageBreakBefore w:val="0"/>
        <w:widowControl w:val="0"/>
        <w:numPr>
          <w:ilvl w:val="0"/>
          <w:numId w:val="307"/>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责令限期拆除，作出责令限期拆除的行政处罚决定。如果违法行为继续，按第八十三条处理。</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558" w:name="第53条_农村宅基地上的房屋流转问题"/>
      <w:bookmarkEnd w:id="558"/>
      <w:r>
        <w:rPr>
          <w:rFonts w:hint="eastAsia" w:ascii="仿宋_GB2312" w:hAnsi="仿宋" w:eastAsia="仿宋_GB2312" w:cs="仿宋"/>
          <w:color w:val="000000"/>
          <w:sz w:val="28"/>
          <w:szCs w:val="28"/>
        </w:rPr>
        <w:t>第五十三条  农村宅基地上的房屋流转问题</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城镇居民不能购买农村宅基地上的房屋，但是可以承租，承租的期限不得超过二十年，超过二十年的无效。农村宅基地上的房屋只能在同一个农村集体经济组织或村民委员会内转让。</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559" w:name="第54条_律师办理宅基地业务的方式"/>
      <w:bookmarkEnd w:id="559"/>
      <w:r>
        <w:rPr>
          <w:rFonts w:hint="eastAsia" w:ascii="仿宋_GB2312" w:hAnsi="仿宋" w:eastAsia="仿宋_GB2312" w:cs="仿宋"/>
          <w:color w:val="000000"/>
          <w:sz w:val="28"/>
          <w:szCs w:val="28"/>
        </w:rPr>
        <w:t>第五十四条   律师办理宅基地确权纠纷的方式</w:t>
      </w:r>
    </w:p>
    <w:p>
      <w:pPr>
        <w:pStyle w:val="7"/>
        <w:keepNext w:val="0"/>
        <w:keepLines w:val="0"/>
        <w:pageBreakBefore w:val="0"/>
        <w:widowControl w:val="0"/>
        <w:numPr>
          <w:ilvl w:val="0"/>
          <w:numId w:val="308"/>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协商解决</w:t>
      </w:r>
      <w:r>
        <w:rPr>
          <w:rFonts w:hint="eastAsia" w:ascii="仿宋_GB2312" w:hAnsi="仿宋" w:eastAsia="仿宋_GB2312" w:cs="仿宋"/>
          <w:color w:val="000000"/>
          <w:sz w:val="28"/>
          <w:szCs w:val="28"/>
          <w:lang w:eastAsia="zh-CN"/>
        </w:rPr>
        <w:t>。</w:t>
      </w:r>
      <w:r>
        <w:rPr>
          <w:rFonts w:hint="eastAsia" w:ascii="仿宋_GB2312" w:hAnsi="仿宋" w:eastAsia="仿宋_GB2312" w:cs="仿宋"/>
          <w:color w:val="000000"/>
          <w:sz w:val="28"/>
          <w:szCs w:val="28"/>
        </w:rPr>
        <w:t>只要当事人同意协商，既可以在诉讼之前协商解决，也可在诉讼期间或诉讼后协商解决。</w:t>
      </w:r>
    </w:p>
    <w:p>
      <w:pPr>
        <w:pStyle w:val="25"/>
        <w:keepNext w:val="0"/>
        <w:keepLines w:val="0"/>
        <w:pageBreakBefore w:val="0"/>
        <w:widowControl w:val="0"/>
        <w:numPr>
          <w:ilvl w:val="0"/>
          <w:numId w:val="308"/>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行政解决。即根据《土地管理法》第 14 条第 2 款的规定 请求有关政府机关予以解决。这是一个法定的前置程序。享有宅基地使用权的一方当事人，如果未经有关政府确权，不能以对方当事人侵权为由向人民法院提起民事诉讼，人民法院也不能受理。</w:t>
      </w:r>
    </w:p>
    <w:p>
      <w:pPr>
        <w:pStyle w:val="25"/>
        <w:keepNext w:val="0"/>
        <w:keepLines w:val="0"/>
        <w:pageBreakBefore w:val="0"/>
        <w:widowControl w:val="0"/>
        <w:numPr>
          <w:ilvl w:val="0"/>
          <w:numId w:val="308"/>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司法解决。根据《行政复议法》和《土地管理法》的规定，当事人之间就宅基地使用权确权纠纷，如果一方或者双方对政府的处理决定不服，可以申请行政复议，或者在收到政府的处理决定通知之日起 30 日内，直接向人民法院提起行政诉讼。申请行政复议的，当事人对行政复议决定不服，还可以依法向人民法院提起行政诉讼。</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560" w:name="_bookmark27"/>
      <w:bookmarkEnd w:id="560"/>
      <w:bookmarkStart w:id="561" w:name="第55条_操作提示"/>
      <w:bookmarkEnd w:id="561"/>
      <w:r>
        <w:rPr>
          <w:rFonts w:hint="eastAsia" w:ascii="仿宋_GB2312" w:hAnsi="仿宋" w:eastAsia="仿宋_GB2312" w:cs="仿宋"/>
          <w:color w:val="000000"/>
          <w:sz w:val="28"/>
          <w:szCs w:val="28"/>
        </w:rPr>
        <w:t>第五十五条  农村宅基地业务操作提示</w:t>
      </w:r>
    </w:p>
    <w:p>
      <w:pPr>
        <w:pStyle w:val="25"/>
        <w:keepNext w:val="0"/>
        <w:keepLines w:val="0"/>
        <w:pageBreakBefore w:val="0"/>
        <w:widowControl w:val="0"/>
        <w:numPr>
          <w:ilvl w:val="0"/>
          <w:numId w:val="309"/>
        </w:numPr>
        <w:tabs>
          <w:tab w:val="left" w:pos="1241"/>
        </w:tabs>
        <w:wordWrap/>
        <w:autoSpaceDE w:val="0"/>
        <w:autoSpaceDN w:val="0"/>
        <w:bidi w:val="0"/>
        <w:spacing w:line="500" w:lineRule="exact"/>
        <w:ind w:firstLine="562" w:firstLineChars="200"/>
        <w:jc w:val="both"/>
        <w:rPr>
          <w:rFonts w:hint="eastAsia" w:ascii="仿宋_GB2312" w:hAnsi="仿宋" w:eastAsia="仿宋_GB2312" w:cs="仿宋"/>
          <w:b/>
          <w:color w:val="000000"/>
          <w:sz w:val="28"/>
          <w:szCs w:val="28"/>
        </w:rPr>
      </w:pPr>
      <w:bookmarkStart w:id="562" w:name="55.1处理农村宅基地确权纠纷"/>
      <w:bookmarkEnd w:id="562"/>
      <w:r>
        <w:rPr>
          <w:rFonts w:hint="eastAsia" w:ascii="仿宋_GB2312" w:hAnsi="仿宋" w:eastAsia="仿宋_GB2312" w:cs="仿宋"/>
          <w:b/>
          <w:color w:val="000000"/>
          <w:sz w:val="28"/>
          <w:szCs w:val="28"/>
        </w:rPr>
        <w:t>处理农村宅基地确权纠纷</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律师应参考宅基地历史状况、现实使用状况、原有的地基、界石等证据来综合分析判断，并依据法定程序办理确权手续。如 1982 年《村镇建房用地管理条例》实施前，农村村民建房占用的宅基地，在《村镇建房用地管理条例》实施后至今未扩大用地面积的，可以按现有实际使用面积进行确权登记；1982 年《村镇建房用地管理条例》实施起至 1987 年《土地管理法》实施时止，农村村民建房占用的宅基地，超过当地规定的面积标准的，超过部分按当时国家和地方有关规定处理后，可以按实际使用面积进行确权登记；1987 年《土地管理法》实施后，农村村民建房占用的宅基地，超过当地规定的面积标准的，按照实际批准面积进行确权登记。其面积超过各地规定标准的，可在土地登记簿和土地权利证书记事栏内注明超过标准的面积，待以后分户建房或现有房屋拆迁、改建、翻建、政府依法实施规划重新建设时，按有关规定作出处理，并按照各地规定的面积标准重新进行确权登记。</w:t>
      </w:r>
    </w:p>
    <w:p>
      <w:pPr>
        <w:pStyle w:val="5"/>
        <w:keepNext w:val="0"/>
        <w:keepLines w:val="0"/>
        <w:pageBreakBefore w:val="0"/>
        <w:widowControl w:val="0"/>
        <w:numPr>
          <w:ilvl w:val="0"/>
          <w:numId w:val="309"/>
        </w:numPr>
        <w:tabs>
          <w:tab w:val="left" w:pos="1241"/>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bookmarkStart w:id="563" w:name="55.2处理农村宅基地侵权纠纷"/>
      <w:bookmarkEnd w:id="563"/>
      <w:r>
        <w:rPr>
          <w:rFonts w:hint="eastAsia" w:ascii="仿宋_GB2312" w:hAnsi="仿宋" w:eastAsia="仿宋_GB2312" w:cs="仿宋"/>
          <w:color w:val="000000"/>
          <w:sz w:val="28"/>
          <w:szCs w:val="28"/>
        </w:rPr>
        <w:t>处理农村宅基地侵权纠纷</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律师应以宅基地权属证明（宅基地使用证）作为侵权判断主要依据，如无权属证明的，应先解决权属问题。</w:t>
      </w:r>
    </w:p>
    <w:p>
      <w:pPr>
        <w:pStyle w:val="5"/>
        <w:keepNext w:val="0"/>
        <w:keepLines w:val="0"/>
        <w:pageBreakBefore w:val="0"/>
        <w:widowControl w:val="0"/>
        <w:numPr>
          <w:ilvl w:val="0"/>
          <w:numId w:val="309"/>
        </w:numPr>
        <w:tabs>
          <w:tab w:val="left" w:pos="1311"/>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bookmarkStart w:id="564" w:name="55.3_律师办理城镇户籍子女继承农村宅基地使用权案件"/>
      <w:bookmarkEnd w:id="564"/>
      <w:r>
        <w:rPr>
          <w:rFonts w:hint="eastAsia" w:ascii="仿宋_GB2312" w:hAnsi="仿宋" w:eastAsia="仿宋_GB2312" w:cs="仿宋"/>
          <w:color w:val="000000"/>
          <w:sz w:val="28"/>
          <w:szCs w:val="28"/>
        </w:rPr>
        <w:t>律师办理城镇户籍子女继承农村宅基地使用权案件</w:t>
      </w:r>
    </w:p>
    <w:p>
      <w:pPr>
        <w:pStyle w:val="25"/>
        <w:keepNext w:val="0"/>
        <w:keepLines w:val="0"/>
        <w:pageBreakBefore w:val="0"/>
        <w:widowControl w:val="0"/>
        <w:numPr>
          <w:ilvl w:val="0"/>
          <w:numId w:val="310"/>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城镇户籍子女继承宅基地使用权的前提是“地上有房”；</w:t>
      </w:r>
    </w:p>
    <w:p>
      <w:pPr>
        <w:pStyle w:val="25"/>
        <w:keepNext w:val="0"/>
        <w:keepLines w:val="0"/>
        <w:pageBreakBefore w:val="0"/>
        <w:widowControl w:val="0"/>
        <w:numPr>
          <w:ilvl w:val="0"/>
          <w:numId w:val="310"/>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农村宅基地上的房屋不适用遗赠；</w:t>
      </w:r>
    </w:p>
    <w:p>
      <w:pPr>
        <w:pStyle w:val="25"/>
        <w:keepNext w:val="0"/>
        <w:keepLines w:val="0"/>
        <w:pageBreakBefore w:val="0"/>
        <w:widowControl w:val="0"/>
        <w:numPr>
          <w:ilvl w:val="0"/>
          <w:numId w:val="310"/>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多子女中，部分子女仍与父母同一农户家庭，且未另行分的新宅基地，城镇户籍子女不得主张继承宅基地使用权。</w:t>
      </w:r>
    </w:p>
    <w:p>
      <w:pPr>
        <w:pStyle w:val="2"/>
        <w:keepNext w:val="0"/>
        <w:keepLines w:val="0"/>
        <w:pageBreakBefore w:val="0"/>
        <w:widowControl w:val="0"/>
        <w:wordWrap/>
        <w:bidi w:val="0"/>
        <w:spacing w:before="0" w:after="0" w:line="500" w:lineRule="exact"/>
        <w:jc w:val="center"/>
        <w:rPr>
          <w:rFonts w:hint="eastAsia" w:ascii="仿宋" w:hAnsi="仿宋" w:eastAsia="仿宋" w:cs="仿宋"/>
          <w:color w:val="000000"/>
          <w:sz w:val="28"/>
          <w:szCs w:val="28"/>
        </w:rPr>
      </w:pPr>
      <w:bookmarkStart w:id="565" w:name="第六节_农产品质量安全业务操作指引"/>
      <w:bookmarkEnd w:id="565"/>
      <w:bookmarkStart w:id="566" w:name="_bookmark28"/>
      <w:bookmarkEnd w:id="566"/>
      <w:bookmarkStart w:id="567" w:name="_Toc15273"/>
      <w:r>
        <w:rPr>
          <w:rFonts w:hint="eastAsia" w:ascii="楷体" w:hAnsi="楷体" w:eastAsia="楷体" w:cs="楷体"/>
          <w:color w:val="000000"/>
          <w:sz w:val="28"/>
          <w:szCs w:val="28"/>
        </w:rPr>
        <w:t>第六节  农产品质量安全业务操作指引</w:t>
      </w:r>
      <w:bookmarkEnd w:id="567"/>
      <w:bookmarkStart w:id="568" w:name="_bookmark29"/>
      <w:bookmarkEnd w:id="568"/>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569" w:name="第56条_主要概念"/>
      <w:bookmarkEnd w:id="569"/>
      <w:r>
        <w:rPr>
          <w:rFonts w:hint="eastAsia" w:ascii="仿宋_GB2312" w:hAnsi="仿宋" w:eastAsia="仿宋_GB2312" w:cs="仿宋"/>
          <w:color w:val="000000"/>
          <w:sz w:val="28"/>
          <w:szCs w:val="28"/>
        </w:rPr>
        <w:t>第五十六条  主要概念</w:t>
      </w:r>
    </w:p>
    <w:p>
      <w:pPr>
        <w:pStyle w:val="25"/>
        <w:keepNext w:val="0"/>
        <w:keepLines w:val="0"/>
        <w:pageBreakBefore w:val="0"/>
        <w:widowControl w:val="0"/>
        <w:numPr>
          <w:ilvl w:val="0"/>
          <w:numId w:val="311"/>
        </w:numPr>
        <w:tabs>
          <w:tab w:val="left" w:pos="1241"/>
        </w:tabs>
        <w:wordWrap/>
        <w:autoSpaceDE w:val="0"/>
        <w:autoSpaceDN w:val="0"/>
        <w:bidi w:val="0"/>
        <w:spacing w:line="500" w:lineRule="exact"/>
        <w:ind w:firstLine="562" w:firstLineChars="200"/>
        <w:jc w:val="both"/>
        <w:rPr>
          <w:rFonts w:hint="eastAsia" w:ascii="仿宋_GB2312" w:hAnsi="仿宋" w:eastAsia="仿宋_GB2312" w:cs="仿宋"/>
          <w:b/>
          <w:color w:val="000000"/>
          <w:sz w:val="28"/>
          <w:szCs w:val="28"/>
        </w:rPr>
      </w:pPr>
      <w:bookmarkStart w:id="570" w:name="56.1农产品"/>
      <w:bookmarkEnd w:id="570"/>
      <w:r>
        <w:rPr>
          <w:rFonts w:hint="eastAsia" w:ascii="仿宋_GB2312" w:hAnsi="仿宋" w:eastAsia="仿宋_GB2312" w:cs="仿宋"/>
          <w:b/>
          <w:color w:val="000000"/>
          <w:sz w:val="28"/>
          <w:szCs w:val="28"/>
        </w:rPr>
        <w:t>农产品</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指来源于农业的初级产品，即在农业活动中获得的植物、动物、微生物及其产品。</w:t>
      </w:r>
    </w:p>
    <w:p>
      <w:pPr>
        <w:pStyle w:val="5"/>
        <w:keepNext w:val="0"/>
        <w:keepLines w:val="0"/>
        <w:pageBreakBefore w:val="0"/>
        <w:widowControl w:val="0"/>
        <w:numPr>
          <w:ilvl w:val="0"/>
          <w:numId w:val="311"/>
        </w:numPr>
        <w:tabs>
          <w:tab w:val="left" w:pos="1241"/>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bookmarkStart w:id="571" w:name="56.2农产品质量安全"/>
      <w:bookmarkEnd w:id="571"/>
      <w:r>
        <w:rPr>
          <w:rFonts w:hint="eastAsia" w:ascii="仿宋_GB2312" w:hAnsi="仿宋" w:eastAsia="仿宋_GB2312" w:cs="仿宋"/>
          <w:color w:val="000000"/>
          <w:sz w:val="28"/>
          <w:szCs w:val="28"/>
        </w:rPr>
        <w:t>农产品质量安全</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指农产品质量符合保障人的健康、安全的要求。</w:t>
      </w:r>
      <w:bookmarkStart w:id="572" w:name="_bookmark30"/>
      <w:bookmarkEnd w:id="572"/>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573" w:name="第57条_农产品产地禁止性规定"/>
      <w:bookmarkEnd w:id="573"/>
      <w:r>
        <w:rPr>
          <w:rFonts w:hint="eastAsia" w:ascii="仿宋_GB2312" w:hAnsi="仿宋" w:eastAsia="仿宋_GB2312" w:cs="仿宋"/>
          <w:color w:val="000000"/>
          <w:sz w:val="28"/>
          <w:szCs w:val="28"/>
        </w:rPr>
        <w:t>第五十七条  农产品产地禁止性规定</w:t>
      </w:r>
    </w:p>
    <w:p>
      <w:pPr>
        <w:pStyle w:val="25"/>
        <w:keepNext w:val="0"/>
        <w:keepLines w:val="0"/>
        <w:pageBreakBefore w:val="0"/>
        <w:widowControl w:val="0"/>
        <w:numPr>
          <w:ilvl w:val="0"/>
          <w:numId w:val="312"/>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禁止在有毒有害物质超过规定标准的区域生产、捕捞、采集食用农产品和建立农产品生产基地。</w:t>
      </w:r>
    </w:p>
    <w:p>
      <w:pPr>
        <w:pStyle w:val="25"/>
        <w:keepNext w:val="0"/>
        <w:keepLines w:val="0"/>
        <w:pageBreakBefore w:val="0"/>
        <w:widowControl w:val="0"/>
        <w:numPr>
          <w:ilvl w:val="0"/>
          <w:numId w:val="312"/>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禁止违反法律、法规的规定向农产品产地排放或者倾倒废水、废气、固体废物或者其他有毒有害物质。</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574" w:name="第58条_对农产品生产企业和农民专业合作经济组织在农产品生产中的的强制性要求"/>
      <w:bookmarkEnd w:id="574"/>
      <w:r>
        <w:rPr>
          <w:rFonts w:hint="eastAsia" w:ascii="仿宋_GB2312" w:hAnsi="仿宋" w:eastAsia="仿宋_GB2312" w:cs="仿宋"/>
          <w:color w:val="000000"/>
          <w:sz w:val="28"/>
          <w:szCs w:val="28"/>
        </w:rPr>
        <w:t>第五十八条  对农产品生产企业和农民专业合作经济组织在农产品生产中的的强制性要求</w:t>
      </w:r>
    </w:p>
    <w:p>
      <w:pPr>
        <w:pStyle w:val="25"/>
        <w:keepNext w:val="0"/>
        <w:keepLines w:val="0"/>
        <w:pageBreakBefore w:val="0"/>
        <w:widowControl w:val="0"/>
        <w:numPr>
          <w:ilvl w:val="0"/>
          <w:numId w:val="313"/>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应当建立农产品生产记录并保存两年，如实记载</w:t>
      </w:r>
    </w:p>
    <w:p>
      <w:pPr>
        <w:pStyle w:val="25"/>
        <w:keepNext w:val="0"/>
        <w:keepLines w:val="0"/>
        <w:pageBreakBefore w:val="0"/>
        <w:widowControl w:val="0"/>
        <w:numPr>
          <w:ilvl w:val="0"/>
          <w:numId w:val="314"/>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使用农业投入品的名称、来源、用法、用量和使用、停用的日期；</w:t>
      </w:r>
    </w:p>
    <w:p>
      <w:pPr>
        <w:pStyle w:val="25"/>
        <w:keepNext w:val="0"/>
        <w:keepLines w:val="0"/>
        <w:pageBreakBefore w:val="0"/>
        <w:widowControl w:val="0"/>
        <w:numPr>
          <w:ilvl w:val="0"/>
          <w:numId w:val="314"/>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动物疫病、植物病虫草害的发生和防治情况；</w:t>
      </w:r>
    </w:p>
    <w:p>
      <w:pPr>
        <w:pStyle w:val="25"/>
        <w:keepNext w:val="0"/>
        <w:keepLines w:val="0"/>
        <w:pageBreakBefore w:val="0"/>
        <w:widowControl w:val="0"/>
        <w:numPr>
          <w:ilvl w:val="0"/>
          <w:numId w:val="314"/>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收获、屠宰或者捕捞的日期。</w:t>
      </w:r>
    </w:p>
    <w:p>
      <w:pPr>
        <w:pStyle w:val="25"/>
        <w:keepNext w:val="0"/>
        <w:keepLines w:val="0"/>
        <w:pageBreakBefore w:val="0"/>
        <w:widowControl w:val="0"/>
        <w:numPr>
          <w:ilvl w:val="0"/>
          <w:numId w:val="313"/>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按照法律、行政法规和国务院农业行政主管部门的规定， 合理使用农业投入品，严格执行农业投入品使用安全间隔期或者休药期的规定，防止危及农产品质量安全。</w:t>
      </w:r>
    </w:p>
    <w:p>
      <w:pPr>
        <w:pStyle w:val="25"/>
        <w:keepNext w:val="0"/>
        <w:keepLines w:val="0"/>
        <w:pageBreakBefore w:val="0"/>
        <w:widowControl w:val="0"/>
        <w:numPr>
          <w:ilvl w:val="0"/>
          <w:numId w:val="313"/>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禁止在农产品生产过程中使用国家明令禁止使用的农业投入品。</w:t>
      </w:r>
    </w:p>
    <w:p>
      <w:pPr>
        <w:pStyle w:val="25"/>
        <w:keepNext w:val="0"/>
        <w:keepLines w:val="0"/>
        <w:pageBreakBefore w:val="0"/>
        <w:widowControl w:val="0"/>
        <w:numPr>
          <w:ilvl w:val="0"/>
          <w:numId w:val="313"/>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应当自行或者委托检测机构对农产品质量安全状况进行检测；经检测不符合农产品质量安全标准的农产品，不得销售。</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575" w:name="第59条_农产品包装和标识的强制性规定"/>
      <w:bookmarkEnd w:id="575"/>
      <w:r>
        <w:rPr>
          <w:rFonts w:hint="eastAsia" w:ascii="仿宋_GB2312" w:hAnsi="仿宋" w:eastAsia="仿宋_GB2312" w:cs="仿宋"/>
          <w:color w:val="000000"/>
          <w:sz w:val="28"/>
          <w:szCs w:val="28"/>
        </w:rPr>
        <w:t>第五十九条  农产品包装和标识的强制性规定</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农产品生产企业、农民专业合作经济组织以及从事农产品收购的单位或者个人销售的农产品，应当包装或者附加标识的，包装物或者标识上应当按照规定标明产品的品名、产地、生产者、生产日期、保质期、产品质量等级等内容；使用添加剂的，还应当按照规定标明添加剂的名称。</w:t>
      </w:r>
    </w:p>
    <w:p>
      <w:pPr>
        <w:pStyle w:val="25"/>
        <w:keepNext w:val="0"/>
        <w:keepLines w:val="0"/>
        <w:pageBreakBefore w:val="0"/>
        <w:widowControl w:val="0"/>
        <w:numPr>
          <w:ilvl w:val="0"/>
          <w:numId w:val="315"/>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农产品在包装、保鲜、贮存、运输中所使用的保鲜剂、防腐剂、添加剂等材料，应当符合国家有关强制性的技术规范。</w:t>
      </w:r>
    </w:p>
    <w:p>
      <w:pPr>
        <w:pStyle w:val="25"/>
        <w:keepNext w:val="0"/>
        <w:keepLines w:val="0"/>
        <w:pageBreakBefore w:val="0"/>
        <w:widowControl w:val="0"/>
        <w:numPr>
          <w:ilvl w:val="0"/>
          <w:numId w:val="315"/>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属于农业转基因生物的农产品，应当按照农业转基因生物安全管理的有关规定进行标识。</w:t>
      </w:r>
    </w:p>
    <w:p>
      <w:pPr>
        <w:pStyle w:val="25"/>
        <w:keepNext w:val="0"/>
        <w:keepLines w:val="0"/>
        <w:pageBreakBefore w:val="0"/>
        <w:widowControl w:val="0"/>
        <w:numPr>
          <w:ilvl w:val="0"/>
          <w:numId w:val="315"/>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依法需要实施检疫的动植物及其产品，应当附具检疫合格标志、检疫合格证明。</w:t>
      </w:r>
    </w:p>
    <w:p>
      <w:pPr>
        <w:pStyle w:val="25"/>
        <w:keepNext w:val="0"/>
        <w:keepLines w:val="0"/>
        <w:pageBreakBefore w:val="0"/>
        <w:widowControl w:val="0"/>
        <w:numPr>
          <w:ilvl w:val="0"/>
          <w:numId w:val="315"/>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销售的农产品必须符合农产品质量安全标准，生产者可以申请使用无公害农产品标志。农产品质量符合国家规定的有关优质农产品标准的，生产者可以申请使用相应的农产品质量标志。禁止冒用前款规定的农产品质量标志。</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576" w:name="第60条_禁止销售的农产品类型"/>
      <w:bookmarkEnd w:id="576"/>
      <w:r>
        <w:rPr>
          <w:rFonts w:hint="eastAsia" w:ascii="仿宋_GB2312" w:hAnsi="仿宋" w:eastAsia="仿宋_GB2312" w:cs="仿宋"/>
          <w:color w:val="000000"/>
          <w:sz w:val="28"/>
          <w:szCs w:val="28"/>
        </w:rPr>
        <w:t>第六十条  禁止销售的农产品类型</w:t>
      </w:r>
    </w:p>
    <w:p>
      <w:pPr>
        <w:pStyle w:val="25"/>
        <w:keepNext w:val="0"/>
        <w:keepLines w:val="0"/>
        <w:pageBreakBefore w:val="0"/>
        <w:widowControl w:val="0"/>
        <w:numPr>
          <w:ilvl w:val="0"/>
          <w:numId w:val="316"/>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含有国家禁止使用的农药、兽药或者其他化学物质的；</w:t>
      </w:r>
    </w:p>
    <w:p>
      <w:pPr>
        <w:pStyle w:val="25"/>
        <w:keepNext w:val="0"/>
        <w:keepLines w:val="0"/>
        <w:pageBreakBefore w:val="0"/>
        <w:widowControl w:val="0"/>
        <w:numPr>
          <w:ilvl w:val="0"/>
          <w:numId w:val="316"/>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农药、兽药等化学物质残留或者含有的重金属等有毒有害物质不符合农产品质量安全标准的；</w:t>
      </w:r>
    </w:p>
    <w:p>
      <w:pPr>
        <w:pStyle w:val="25"/>
        <w:keepNext w:val="0"/>
        <w:keepLines w:val="0"/>
        <w:pageBreakBefore w:val="0"/>
        <w:widowControl w:val="0"/>
        <w:numPr>
          <w:ilvl w:val="0"/>
          <w:numId w:val="316"/>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含有的致病性寄生虫、微生物或者生物毒素不符合农产品质量安全标准的；</w:t>
      </w:r>
    </w:p>
    <w:p>
      <w:pPr>
        <w:pStyle w:val="25"/>
        <w:keepNext w:val="0"/>
        <w:keepLines w:val="0"/>
        <w:pageBreakBefore w:val="0"/>
        <w:widowControl w:val="0"/>
        <w:numPr>
          <w:ilvl w:val="0"/>
          <w:numId w:val="316"/>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使用的保鲜剂、防腐剂、添加剂等材料不符合国家有关强制性的技术规范的；其他不符合农产品质量安全标准的。</w:t>
      </w:r>
      <w:bookmarkStart w:id="577" w:name="_bookmark31"/>
      <w:bookmarkEnd w:id="577"/>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578" w:name="第61条_操作提示"/>
      <w:bookmarkEnd w:id="578"/>
      <w:r>
        <w:rPr>
          <w:rFonts w:hint="eastAsia" w:ascii="仿宋_GB2312" w:hAnsi="仿宋" w:eastAsia="仿宋_GB2312" w:cs="仿宋"/>
          <w:color w:val="000000"/>
          <w:sz w:val="28"/>
          <w:szCs w:val="28"/>
        </w:rPr>
        <w:t>第六十一条  农产品质量安全业务操作提示</w:t>
      </w:r>
    </w:p>
    <w:p>
      <w:pPr>
        <w:pStyle w:val="5"/>
        <w:keepNext w:val="0"/>
        <w:keepLines w:val="0"/>
        <w:pageBreakBefore w:val="0"/>
        <w:widowControl w:val="0"/>
        <w:tabs>
          <w:tab w:val="left" w:pos="1311"/>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bookmarkStart w:id="579" w:name="61.1律师承接制定农产品质量安全标准项目注意事项"/>
      <w:bookmarkEnd w:id="579"/>
      <w:bookmarkStart w:id="580" w:name="61.2_律师办理农产品侵权案件时注意事项"/>
      <w:bookmarkEnd w:id="580"/>
      <w:r>
        <w:rPr>
          <w:rFonts w:hint="eastAsia" w:ascii="仿宋_GB2312" w:hAnsi="仿宋" w:eastAsia="仿宋_GB2312" w:cs="仿宋"/>
          <w:color w:val="000000"/>
          <w:sz w:val="28"/>
          <w:szCs w:val="28"/>
        </w:rPr>
        <w:t>（一）律师办理农产品侵权案件时注意事项</w:t>
      </w:r>
    </w:p>
    <w:p>
      <w:pPr>
        <w:pStyle w:val="25"/>
        <w:keepNext w:val="0"/>
        <w:keepLines w:val="0"/>
        <w:pageBreakBefore w:val="0"/>
        <w:widowControl w:val="0"/>
        <w:numPr>
          <w:ilvl w:val="0"/>
          <w:numId w:val="317"/>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农产品消费者的人身权利和财产遭受重大损失，可直接向农产品经营者或生产者的要求赔偿责任。</w:t>
      </w:r>
    </w:p>
    <w:p>
      <w:pPr>
        <w:pStyle w:val="25"/>
        <w:keepNext w:val="0"/>
        <w:keepLines w:val="0"/>
        <w:pageBreakBefore w:val="0"/>
        <w:widowControl w:val="0"/>
        <w:numPr>
          <w:ilvl w:val="0"/>
          <w:numId w:val="317"/>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消费者举证证明因食用农产品受到损害，仅需初步证明损害与农产品存在因果关系。但农产品的生产者、销售者能证明损害不是因产品不符合质量标准造成的除外。</w:t>
      </w:r>
    </w:p>
    <w:p>
      <w:pPr>
        <w:pStyle w:val="5"/>
        <w:keepNext w:val="0"/>
        <w:keepLines w:val="0"/>
        <w:pageBreakBefore w:val="0"/>
        <w:widowControl w:val="0"/>
        <w:tabs>
          <w:tab w:val="left" w:pos="1241"/>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bookmarkStart w:id="581" w:name="61.3律师代理的产品质量问题案件注意事项"/>
      <w:bookmarkEnd w:id="581"/>
      <w:r>
        <w:rPr>
          <w:rFonts w:hint="eastAsia" w:ascii="仿宋_GB2312" w:hAnsi="仿宋" w:eastAsia="仿宋_GB2312" w:cs="仿宋"/>
          <w:color w:val="000000"/>
          <w:sz w:val="28"/>
          <w:szCs w:val="28"/>
        </w:rPr>
        <w:t>（二）律师代理的产品质量问题案件注意事项</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如经营者推卸责任认为是生产者的过失，要求消费者追究生产者的责任放弃经营者的法律责任的，则要提醒委托方可以依法同时追究生产者和经营者的责任。</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同时注意对于食品是否符合质量标准的举证责任的主体是食品生产者和销售者。实践中，认定农产品是否合格，应当以国家标准为依据；没有国家标准的，应当以地方标准为依据；没有国家标准、地方标准的，应当以企业标准为依据。农产品的生产者采用的标准高于国家标准、地方标准的，应当以企业标准为依据。没有前述标准的，应当以食品安全法的相关规定为依据。</w:t>
      </w:r>
    </w:p>
    <w:p>
      <w:pPr>
        <w:pStyle w:val="2"/>
        <w:keepNext w:val="0"/>
        <w:keepLines w:val="0"/>
        <w:pageBreakBefore w:val="0"/>
        <w:widowControl w:val="0"/>
        <w:wordWrap/>
        <w:bidi w:val="0"/>
        <w:spacing w:before="0" w:after="0" w:line="500" w:lineRule="exact"/>
        <w:jc w:val="center"/>
        <w:rPr>
          <w:rFonts w:hint="eastAsia" w:ascii="楷体" w:hAnsi="楷体" w:eastAsia="楷体" w:cs="楷体"/>
          <w:color w:val="000000"/>
          <w:sz w:val="28"/>
          <w:szCs w:val="28"/>
        </w:rPr>
      </w:pPr>
      <w:bookmarkStart w:id="582" w:name="_bookmark32"/>
      <w:bookmarkEnd w:id="582"/>
      <w:bookmarkStart w:id="583" w:name="第七节_国有渔业水域占用补偿业务操作指引"/>
      <w:bookmarkEnd w:id="583"/>
      <w:bookmarkStart w:id="584" w:name="_Toc28829"/>
      <w:r>
        <w:rPr>
          <w:rFonts w:hint="eastAsia" w:ascii="楷体" w:hAnsi="楷体" w:eastAsia="楷体" w:cs="楷体"/>
          <w:color w:val="000000"/>
          <w:sz w:val="28"/>
          <w:szCs w:val="28"/>
        </w:rPr>
        <w:t>第七节  国有渔业水域滩涂占用补偿业务操作指引</w:t>
      </w:r>
      <w:bookmarkEnd w:id="584"/>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585" w:name="_bookmark33"/>
      <w:bookmarkEnd w:id="585"/>
      <w:bookmarkStart w:id="586" w:name="第62条_主要概念"/>
      <w:bookmarkEnd w:id="586"/>
      <w:r>
        <w:rPr>
          <w:rFonts w:hint="eastAsia" w:ascii="仿宋_GB2312" w:hAnsi="仿宋" w:eastAsia="仿宋_GB2312" w:cs="仿宋"/>
          <w:color w:val="000000"/>
          <w:sz w:val="28"/>
          <w:szCs w:val="28"/>
        </w:rPr>
        <w:t>第六十二条  主要概念</w:t>
      </w:r>
    </w:p>
    <w:p>
      <w:pPr>
        <w:pStyle w:val="25"/>
        <w:keepNext w:val="0"/>
        <w:keepLines w:val="0"/>
        <w:pageBreakBefore w:val="0"/>
        <w:widowControl w:val="0"/>
        <w:numPr>
          <w:ilvl w:val="0"/>
          <w:numId w:val="0"/>
        </w:numPr>
        <w:tabs>
          <w:tab w:val="left" w:pos="1241"/>
        </w:tabs>
        <w:wordWrap/>
        <w:autoSpaceDE w:val="0"/>
        <w:autoSpaceDN w:val="0"/>
        <w:bidi w:val="0"/>
        <w:spacing w:line="500" w:lineRule="exact"/>
        <w:ind w:firstLine="562" w:firstLineChars="200"/>
        <w:jc w:val="both"/>
        <w:rPr>
          <w:rFonts w:hint="eastAsia" w:ascii="仿宋_GB2312" w:hAnsi="仿宋" w:eastAsia="仿宋_GB2312" w:cs="仿宋"/>
          <w:b/>
          <w:color w:val="000000"/>
          <w:sz w:val="28"/>
          <w:szCs w:val="28"/>
        </w:rPr>
      </w:pPr>
      <w:bookmarkStart w:id="587" w:name="62.1水域、滩涂"/>
      <w:bookmarkEnd w:id="587"/>
      <w:r>
        <w:rPr>
          <w:rFonts w:hint="eastAsia" w:ascii="仿宋_GB2312" w:hAnsi="仿宋" w:eastAsia="仿宋_GB2312" w:cs="仿宋"/>
          <w:b/>
          <w:color w:val="000000"/>
          <w:sz w:val="28"/>
          <w:szCs w:val="28"/>
        </w:rPr>
        <w:t>（一）水域、滩涂</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指经县级以上地方人民政府依法规划或者以其他形式确定可以用于水产养殖业的水域、滩涂。</w:t>
      </w:r>
    </w:p>
    <w:p>
      <w:pPr>
        <w:pStyle w:val="5"/>
        <w:keepNext w:val="0"/>
        <w:keepLines w:val="0"/>
        <w:pageBreakBefore w:val="0"/>
        <w:widowControl w:val="0"/>
        <w:tabs>
          <w:tab w:val="left" w:pos="1241"/>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bookmarkStart w:id="588" w:name="62.2水域滩涂养殖权"/>
      <w:bookmarkEnd w:id="588"/>
      <w:r>
        <w:rPr>
          <w:rFonts w:hint="eastAsia" w:ascii="仿宋_GB2312" w:hAnsi="仿宋" w:eastAsia="仿宋_GB2312" w:cs="仿宋"/>
          <w:color w:val="000000"/>
          <w:sz w:val="28"/>
          <w:szCs w:val="28"/>
        </w:rPr>
        <w:t>（二）水域滩涂养殖权</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指依法取得的使用水域、滩涂从事水产养殖的权利。</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589" w:name="第63条_依法收回、注销养殖证的主体"/>
      <w:bookmarkEnd w:id="589"/>
      <w:r>
        <w:rPr>
          <w:rFonts w:hint="eastAsia" w:ascii="仿宋_GB2312" w:hAnsi="仿宋" w:eastAsia="仿宋_GB2312" w:cs="仿宋"/>
          <w:color w:val="000000"/>
          <w:sz w:val="28"/>
          <w:szCs w:val="28"/>
        </w:rPr>
        <w:t>第六十三条  依法收回、注销养殖证的主体</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依法收回、注销养殖证的主体是发证机关。使用水域、滩涂从事养殖生产，由县级以上地方人民政府核发养殖证，确认水域滩涂养殖权。县级以上地方人民政府渔业行政主管部门负责水域、滩涂养殖发证登记具体工作，并建立登记簿，记载养殖证载明的事项。因此，发证机关是县级以上人民政府，县级以上渔业主管部门只是负责水域、滩涂养殖发证的具体工作。</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590" w:name="第64条收回养殖权的一般程序"/>
      <w:bookmarkEnd w:id="590"/>
      <w:r>
        <w:rPr>
          <w:rFonts w:hint="eastAsia" w:ascii="仿宋_GB2312" w:hAnsi="仿宋" w:eastAsia="仿宋_GB2312" w:cs="仿宋"/>
          <w:color w:val="000000"/>
          <w:sz w:val="28"/>
          <w:szCs w:val="28"/>
        </w:rPr>
        <w:t>第六十四条  收回养殖权的一般程序</w:t>
      </w:r>
    </w:p>
    <w:p>
      <w:pPr>
        <w:pStyle w:val="25"/>
        <w:keepNext w:val="0"/>
        <w:keepLines w:val="0"/>
        <w:pageBreakBefore w:val="0"/>
        <w:widowControl w:val="0"/>
        <w:numPr>
          <w:ilvl w:val="0"/>
          <w:numId w:val="318"/>
        </w:numPr>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原发证机关发布收回养殖使用权公告；</w:t>
      </w:r>
    </w:p>
    <w:p>
      <w:pPr>
        <w:pStyle w:val="25"/>
        <w:keepNext w:val="0"/>
        <w:keepLines w:val="0"/>
        <w:pageBreakBefore w:val="0"/>
        <w:widowControl w:val="0"/>
        <w:numPr>
          <w:ilvl w:val="0"/>
          <w:numId w:val="318"/>
        </w:numPr>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办理占用补偿登记；</w:t>
      </w:r>
    </w:p>
    <w:p>
      <w:pPr>
        <w:pStyle w:val="25"/>
        <w:keepNext w:val="0"/>
        <w:keepLines w:val="0"/>
        <w:pageBreakBefore w:val="0"/>
        <w:widowControl w:val="0"/>
        <w:numPr>
          <w:ilvl w:val="0"/>
          <w:numId w:val="318"/>
        </w:numPr>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协商确定种苗和相关养殖设施补偿费；</w:t>
      </w:r>
    </w:p>
    <w:p>
      <w:pPr>
        <w:pStyle w:val="25"/>
        <w:keepNext w:val="0"/>
        <w:keepLines w:val="0"/>
        <w:pageBreakBefore w:val="0"/>
        <w:widowControl w:val="0"/>
        <w:numPr>
          <w:ilvl w:val="0"/>
          <w:numId w:val="318"/>
        </w:numPr>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签订占用补偿协议；</w:t>
      </w:r>
    </w:p>
    <w:p>
      <w:pPr>
        <w:pStyle w:val="25"/>
        <w:keepNext w:val="0"/>
        <w:keepLines w:val="0"/>
        <w:pageBreakBefore w:val="0"/>
        <w:widowControl w:val="0"/>
        <w:numPr>
          <w:ilvl w:val="0"/>
          <w:numId w:val="318"/>
        </w:numPr>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支付占用补偿的相关费用；</w:t>
      </w:r>
    </w:p>
    <w:p>
      <w:pPr>
        <w:pStyle w:val="25"/>
        <w:keepNext w:val="0"/>
        <w:keepLines w:val="0"/>
        <w:pageBreakBefore w:val="0"/>
        <w:widowControl w:val="0"/>
        <w:numPr>
          <w:ilvl w:val="0"/>
          <w:numId w:val="318"/>
        </w:numPr>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收回养殖使用权，注销养殖证证书；</w:t>
      </w:r>
    </w:p>
    <w:p>
      <w:pPr>
        <w:pStyle w:val="25"/>
        <w:keepNext w:val="0"/>
        <w:keepLines w:val="0"/>
        <w:pageBreakBefore w:val="0"/>
        <w:widowControl w:val="0"/>
        <w:numPr>
          <w:ilvl w:val="0"/>
          <w:numId w:val="318"/>
        </w:numPr>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拆除相关养殖设施。</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591" w:name="第65条_国有渔业水域占用补偿标准"/>
      <w:bookmarkEnd w:id="591"/>
      <w:r>
        <w:rPr>
          <w:rFonts w:hint="eastAsia" w:ascii="仿宋_GB2312" w:hAnsi="仿宋" w:eastAsia="仿宋_GB2312" w:cs="仿宋"/>
          <w:color w:val="000000"/>
          <w:sz w:val="28"/>
          <w:szCs w:val="28"/>
        </w:rPr>
        <w:t>第六十五条  国有渔业水域滩涂占用补偿标准</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一般参照各省渔业水域</w:t>
      </w:r>
      <w:r>
        <w:rPr>
          <w:rFonts w:hint="eastAsia" w:ascii="仿宋_GB2312" w:hAnsi="仿宋" w:eastAsia="仿宋_GB2312" w:cs="仿宋"/>
          <w:color w:val="000000"/>
          <w:sz w:val="28"/>
          <w:szCs w:val="28"/>
          <w:lang w:eastAsia="zh-CN"/>
        </w:rPr>
        <w:t>滩涂</w:t>
      </w:r>
      <w:r>
        <w:rPr>
          <w:rFonts w:hint="eastAsia" w:ascii="仿宋_GB2312" w:hAnsi="仿宋" w:eastAsia="仿宋_GB2312" w:cs="仿宋"/>
          <w:color w:val="000000"/>
          <w:sz w:val="28"/>
          <w:szCs w:val="28"/>
        </w:rPr>
        <w:t>占用补偿标准系数和等级系数规定，根据被收回的养殖证书剩余的有效期限计算。</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第六十六条  律师为养殖权人代理国有渔业水域滩涂占用补偿案件审查事项</w:t>
      </w:r>
    </w:p>
    <w:p>
      <w:pPr>
        <w:pStyle w:val="25"/>
        <w:keepNext w:val="0"/>
        <w:keepLines w:val="0"/>
        <w:pageBreakBefore w:val="0"/>
        <w:widowControl w:val="0"/>
        <w:numPr>
          <w:ilvl w:val="0"/>
          <w:numId w:val="319"/>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养殖证的收回是否符合法定程序，如不符合法定程序，则可以先请求确认行政行为违法，再提出补偿问题。如符合法定程序，则要审查是否签订补偿协议，如果签订补偿协议，则要先审查当事人是否收取相关补偿费用，根据取得的补偿金额，再进一步确认协议的效力问题或补偿问题。</w:t>
      </w:r>
    </w:p>
    <w:p>
      <w:pPr>
        <w:pStyle w:val="25"/>
        <w:keepNext w:val="0"/>
        <w:keepLines w:val="0"/>
        <w:pageBreakBefore w:val="0"/>
        <w:widowControl w:val="0"/>
        <w:numPr>
          <w:ilvl w:val="0"/>
          <w:numId w:val="319"/>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确认种苗补偿费和相关养殖设施补偿费是否协商确定，如果没有协商确定且没有留存相关证据的则对该部分补偿法院的自由裁量权较大。</w:t>
      </w:r>
    </w:p>
    <w:p>
      <w:pPr>
        <w:pStyle w:val="25"/>
        <w:keepNext w:val="0"/>
        <w:keepLines w:val="0"/>
        <w:pageBreakBefore w:val="0"/>
        <w:widowControl w:val="0"/>
        <w:numPr>
          <w:ilvl w:val="0"/>
          <w:numId w:val="319"/>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当地是否发布相关渔业水域占用补偿标准系数和等级系数规定。如有，则要根据相关规定计算补偿金额。但是也要注意有的补偿标准系数和等级系数，仅用于计算占用补偿费的具体数额，不包括种苗补偿费和相关养殖设施补偿费，代理时要注意区别对待。同时，种苗补偿费和相关养殖设施补偿费无法协商一致，要共同委托有资质的评估机构评估确定。</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592" w:name="第67条_律师代理国有渔业水域占用补偿专项服务时的程序"/>
      <w:bookmarkEnd w:id="592"/>
      <w:r>
        <w:rPr>
          <w:rFonts w:hint="eastAsia" w:ascii="仿宋_GB2312" w:hAnsi="仿宋" w:eastAsia="仿宋_GB2312" w:cs="仿宋"/>
          <w:color w:val="000000"/>
          <w:sz w:val="28"/>
          <w:szCs w:val="28"/>
        </w:rPr>
        <w:t>第六十七条  律师为行政机关提供国有渔业水域占用补偿专项服务时的程序</w:t>
      </w:r>
    </w:p>
    <w:p>
      <w:pPr>
        <w:pStyle w:val="25"/>
        <w:keepNext w:val="0"/>
        <w:keepLines w:val="0"/>
        <w:pageBreakBefore w:val="0"/>
        <w:widowControl w:val="0"/>
        <w:numPr>
          <w:ilvl w:val="0"/>
          <w:numId w:val="320"/>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制订国有渔业水域占用补偿方案；</w:t>
      </w:r>
    </w:p>
    <w:p>
      <w:pPr>
        <w:pStyle w:val="25"/>
        <w:keepNext w:val="0"/>
        <w:keepLines w:val="0"/>
        <w:pageBreakBefore w:val="0"/>
        <w:widowControl w:val="0"/>
        <w:numPr>
          <w:ilvl w:val="0"/>
          <w:numId w:val="320"/>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提醒委托方按照规定的程序处理国有渔业水域占用补偿问题；</w:t>
      </w:r>
    </w:p>
    <w:p>
      <w:pPr>
        <w:pStyle w:val="25"/>
        <w:keepNext w:val="0"/>
        <w:keepLines w:val="0"/>
        <w:pageBreakBefore w:val="0"/>
        <w:widowControl w:val="0"/>
        <w:numPr>
          <w:ilvl w:val="0"/>
          <w:numId w:val="320"/>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提醒委托方处理国有水域占用补偿问题相关政策规定及补偿标准不得违反上位法的规定。</w:t>
      </w:r>
    </w:p>
    <w:p>
      <w:pPr>
        <w:pStyle w:val="2"/>
        <w:keepNext w:val="0"/>
        <w:keepLines w:val="0"/>
        <w:pageBreakBefore w:val="0"/>
        <w:widowControl w:val="0"/>
        <w:wordWrap/>
        <w:bidi w:val="0"/>
        <w:spacing w:before="0" w:after="0" w:line="500" w:lineRule="exact"/>
        <w:jc w:val="center"/>
        <w:rPr>
          <w:rFonts w:hint="eastAsia" w:ascii="楷体" w:hAnsi="楷体" w:eastAsia="楷体" w:cs="楷体"/>
          <w:color w:val="000000"/>
          <w:sz w:val="28"/>
          <w:szCs w:val="28"/>
        </w:rPr>
      </w:pPr>
      <w:bookmarkStart w:id="593" w:name="第八节_村（居）基层组织法律服务业务操作指引"/>
      <w:bookmarkEnd w:id="593"/>
      <w:bookmarkStart w:id="594" w:name="_bookmark36"/>
      <w:bookmarkEnd w:id="594"/>
      <w:bookmarkStart w:id="595" w:name="_Toc27609"/>
      <w:r>
        <w:rPr>
          <w:rFonts w:hint="eastAsia" w:ascii="楷体" w:hAnsi="楷体" w:eastAsia="楷体" w:cs="楷体"/>
          <w:color w:val="000000"/>
          <w:sz w:val="28"/>
          <w:szCs w:val="28"/>
        </w:rPr>
        <w:t>第八节  村（居）基层组织法律服务业务操作指引</w:t>
      </w:r>
      <w:bookmarkEnd w:id="595"/>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596" w:name="_bookmark37"/>
      <w:bookmarkEnd w:id="596"/>
      <w:bookmarkStart w:id="597" w:name="第68条_村（居）基层组织法律服务类型"/>
      <w:bookmarkEnd w:id="597"/>
      <w:r>
        <w:rPr>
          <w:rFonts w:hint="eastAsia" w:ascii="仿宋_GB2312" w:hAnsi="仿宋" w:eastAsia="仿宋_GB2312" w:cs="仿宋"/>
          <w:color w:val="000000"/>
          <w:sz w:val="28"/>
          <w:szCs w:val="28"/>
        </w:rPr>
        <w:t>第六十八条  村（居）基层组织法律服务类型</w:t>
      </w:r>
    </w:p>
    <w:p>
      <w:pPr>
        <w:pStyle w:val="25"/>
        <w:keepNext w:val="0"/>
        <w:keepLines w:val="0"/>
        <w:pageBreakBefore w:val="0"/>
        <w:widowControl w:val="0"/>
        <w:numPr>
          <w:ilvl w:val="0"/>
          <w:numId w:val="0"/>
        </w:numPr>
        <w:tabs>
          <w:tab w:val="left" w:pos="1241"/>
        </w:tabs>
        <w:wordWrap/>
        <w:autoSpaceDE w:val="0"/>
        <w:autoSpaceDN w:val="0"/>
        <w:bidi w:val="0"/>
        <w:spacing w:line="500" w:lineRule="exact"/>
        <w:ind w:firstLine="562" w:firstLineChars="200"/>
        <w:jc w:val="both"/>
        <w:rPr>
          <w:rFonts w:hint="eastAsia" w:ascii="仿宋_GB2312" w:hAnsi="仿宋" w:eastAsia="仿宋_GB2312" w:cs="仿宋"/>
          <w:b/>
          <w:color w:val="000000"/>
          <w:sz w:val="28"/>
          <w:szCs w:val="28"/>
        </w:rPr>
      </w:pPr>
      <w:bookmarkStart w:id="598" w:name="68.1受聘成为村居基层组织的法律顾问"/>
      <w:bookmarkEnd w:id="598"/>
      <w:r>
        <w:rPr>
          <w:rFonts w:hint="eastAsia" w:ascii="仿宋_GB2312" w:hAnsi="仿宋" w:eastAsia="仿宋_GB2312" w:cs="仿宋"/>
          <w:b/>
          <w:color w:val="000000"/>
          <w:sz w:val="28"/>
          <w:szCs w:val="28"/>
        </w:rPr>
        <w:t>（一）受聘成为村居基层组织的法律顾问</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村（居）法律顾问所属的执业机构通过与村（居）民委员会签署法律顾问服务协议，明确服务的期限、双方的权利义务、服务的内容、形式等。</w:t>
      </w:r>
    </w:p>
    <w:p>
      <w:pPr>
        <w:pStyle w:val="5"/>
        <w:keepNext w:val="0"/>
        <w:keepLines w:val="0"/>
        <w:pageBreakBefore w:val="0"/>
        <w:widowControl w:val="0"/>
        <w:tabs>
          <w:tab w:val="left" w:pos="1241"/>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bookmarkStart w:id="599" w:name="68.2受聘成为村（居）基层组织的调解员"/>
      <w:bookmarkEnd w:id="599"/>
      <w:r>
        <w:rPr>
          <w:rFonts w:hint="eastAsia" w:ascii="仿宋_GB2312" w:hAnsi="仿宋" w:eastAsia="仿宋_GB2312" w:cs="仿宋"/>
          <w:color w:val="000000"/>
          <w:sz w:val="28"/>
          <w:szCs w:val="28"/>
        </w:rPr>
        <w:t>（二）受聘成为村（居）基层组织的调解员</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村（居）民委员会通过与执业律师签订聘用协议，成为村（居） 基层组织专职调解员，参与村（居）基层组织调解工作。</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第六十九条  村（居）基层组织法律顾问的服务范围</w:t>
      </w:r>
    </w:p>
    <w:p>
      <w:pPr>
        <w:pStyle w:val="25"/>
        <w:keepNext w:val="0"/>
        <w:keepLines w:val="0"/>
        <w:pageBreakBefore w:val="0"/>
        <w:widowControl w:val="0"/>
        <w:numPr>
          <w:ilvl w:val="0"/>
          <w:numId w:val="0"/>
        </w:numPr>
        <w:tabs>
          <w:tab w:val="left" w:pos="1241"/>
        </w:tabs>
        <w:wordWrap/>
        <w:autoSpaceDE w:val="0"/>
        <w:autoSpaceDN w:val="0"/>
        <w:bidi w:val="0"/>
        <w:spacing w:line="500" w:lineRule="exact"/>
        <w:ind w:firstLine="562" w:firstLineChars="200"/>
        <w:jc w:val="both"/>
        <w:rPr>
          <w:rFonts w:hint="eastAsia" w:ascii="仿宋_GB2312" w:hAnsi="仿宋" w:eastAsia="仿宋_GB2312" w:cs="仿宋"/>
          <w:b/>
          <w:color w:val="000000"/>
          <w:sz w:val="28"/>
          <w:szCs w:val="28"/>
        </w:rPr>
      </w:pPr>
      <w:bookmarkStart w:id="600" w:name="69.1基础性法律服务"/>
      <w:bookmarkEnd w:id="600"/>
      <w:r>
        <w:rPr>
          <w:rFonts w:hint="eastAsia" w:ascii="仿宋_GB2312" w:hAnsi="仿宋" w:eastAsia="仿宋_GB2312" w:cs="仿宋"/>
          <w:b/>
          <w:color w:val="000000"/>
          <w:sz w:val="28"/>
          <w:szCs w:val="28"/>
        </w:rPr>
        <w:t>（一）基础性法律服务</w:t>
      </w:r>
    </w:p>
    <w:p>
      <w:pPr>
        <w:pStyle w:val="25"/>
        <w:keepNext w:val="0"/>
        <w:keepLines w:val="0"/>
        <w:pageBreakBefore w:val="0"/>
        <w:widowControl w:val="0"/>
        <w:numPr>
          <w:ilvl w:val="0"/>
          <w:numId w:val="321"/>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根据需要列席村（居）相关会议，为重大事项决策提供法律意见和建议；</w:t>
      </w:r>
    </w:p>
    <w:p>
      <w:pPr>
        <w:pStyle w:val="25"/>
        <w:keepNext w:val="0"/>
        <w:keepLines w:val="0"/>
        <w:pageBreakBefore w:val="0"/>
        <w:widowControl w:val="0"/>
        <w:numPr>
          <w:ilvl w:val="0"/>
          <w:numId w:val="321"/>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为村规民约（居民公约）等的制定修改提供法律意见或法律论证；</w:t>
      </w:r>
    </w:p>
    <w:p>
      <w:pPr>
        <w:pStyle w:val="25"/>
        <w:keepNext w:val="0"/>
        <w:keepLines w:val="0"/>
        <w:pageBreakBefore w:val="0"/>
        <w:widowControl w:val="0"/>
        <w:numPr>
          <w:ilvl w:val="0"/>
          <w:numId w:val="321"/>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参与处理涉及村居尚未形成诉讼的民事纠纷和其他重大纠纷；</w:t>
      </w:r>
    </w:p>
    <w:p>
      <w:pPr>
        <w:pStyle w:val="25"/>
        <w:keepNext w:val="0"/>
        <w:keepLines w:val="0"/>
        <w:pageBreakBefore w:val="0"/>
        <w:widowControl w:val="0"/>
        <w:numPr>
          <w:ilvl w:val="0"/>
          <w:numId w:val="321"/>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协助村（居）起草、审核或修订合同、协议以及其他相关法律文书;</w:t>
      </w:r>
    </w:p>
    <w:p>
      <w:pPr>
        <w:pStyle w:val="25"/>
        <w:keepNext w:val="0"/>
        <w:keepLines w:val="0"/>
        <w:pageBreakBefore w:val="0"/>
        <w:widowControl w:val="0"/>
        <w:numPr>
          <w:ilvl w:val="0"/>
          <w:numId w:val="321"/>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协助居村（社区）处理换届选举中的法律问题；</w:t>
      </w:r>
    </w:p>
    <w:p>
      <w:pPr>
        <w:pStyle w:val="25"/>
        <w:keepNext w:val="0"/>
        <w:keepLines w:val="0"/>
        <w:pageBreakBefore w:val="0"/>
        <w:widowControl w:val="0"/>
        <w:numPr>
          <w:ilvl w:val="0"/>
          <w:numId w:val="321"/>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为居村（社区）提供法律培训或专题法律讲座；</w:t>
      </w:r>
    </w:p>
    <w:p>
      <w:pPr>
        <w:pStyle w:val="25"/>
        <w:keepNext w:val="0"/>
        <w:keepLines w:val="0"/>
        <w:pageBreakBefore w:val="0"/>
        <w:widowControl w:val="0"/>
        <w:numPr>
          <w:ilvl w:val="0"/>
          <w:numId w:val="321"/>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参与一般非诉法律事务、信访突出矛盾化解，提出法律处理意见、建议；</w:t>
      </w:r>
    </w:p>
    <w:p>
      <w:pPr>
        <w:pStyle w:val="25"/>
        <w:keepNext w:val="0"/>
        <w:keepLines w:val="0"/>
        <w:pageBreakBefore w:val="0"/>
        <w:widowControl w:val="0"/>
        <w:numPr>
          <w:ilvl w:val="0"/>
          <w:numId w:val="321"/>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参与一般突发事件应对处置，提出法律处理意见、建议；</w:t>
      </w:r>
    </w:p>
    <w:p>
      <w:pPr>
        <w:pStyle w:val="25"/>
        <w:keepNext w:val="0"/>
        <w:keepLines w:val="0"/>
        <w:pageBreakBefore w:val="0"/>
        <w:widowControl w:val="0"/>
        <w:numPr>
          <w:ilvl w:val="0"/>
          <w:numId w:val="321"/>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办理居村（社区）交办或委托的其他法律事务。</w:t>
      </w:r>
    </w:p>
    <w:p>
      <w:pPr>
        <w:pStyle w:val="5"/>
        <w:keepNext w:val="0"/>
        <w:keepLines w:val="0"/>
        <w:pageBreakBefore w:val="0"/>
        <w:widowControl w:val="0"/>
        <w:tabs>
          <w:tab w:val="left" w:pos="1241"/>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bookmarkStart w:id="601" w:name="69.2专项性法律服务"/>
      <w:bookmarkEnd w:id="601"/>
      <w:r>
        <w:rPr>
          <w:rFonts w:hint="eastAsia" w:ascii="仿宋_GB2312" w:hAnsi="仿宋" w:eastAsia="仿宋_GB2312" w:cs="仿宋"/>
          <w:color w:val="000000"/>
          <w:sz w:val="28"/>
          <w:szCs w:val="28"/>
        </w:rPr>
        <w:t>（二）专项性法律服务</w:t>
      </w:r>
    </w:p>
    <w:p>
      <w:pPr>
        <w:pStyle w:val="25"/>
        <w:keepNext w:val="0"/>
        <w:keepLines w:val="0"/>
        <w:pageBreakBefore w:val="0"/>
        <w:widowControl w:val="0"/>
        <w:numPr>
          <w:ilvl w:val="0"/>
          <w:numId w:val="322"/>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代理村（居）诉讼、仲裁案件；</w:t>
      </w:r>
    </w:p>
    <w:p>
      <w:pPr>
        <w:pStyle w:val="25"/>
        <w:keepNext w:val="0"/>
        <w:keepLines w:val="0"/>
        <w:pageBreakBefore w:val="0"/>
        <w:widowControl w:val="0"/>
        <w:numPr>
          <w:ilvl w:val="0"/>
          <w:numId w:val="322"/>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参与村（居）重大非诉法律事务及重大信访矛盾、突出矛盾的化解工作，提出法律处理意见、建议；</w:t>
      </w:r>
    </w:p>
    <w:p>
      <w:pPr>
        <w:pStyle w:val="25"/>
        <w:keepNext w:val="0"/>
        <w:keepLines w:val="0"/>
        <w:pageBreakBefore w:val="0"/>
        <w:widowControl w:val="0"/>
        <w:numPr>
          <w:ilvl w:val="0"/>
          <w:numId w:val="322"/>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为村（居）社会稳定工作提供法律服务，参与重大事项社会稳定风险的法律分析，出具法律风险评估报告；</w:t>
      </w:r>
    </w:p>
    <w:p>
      <w:pPr>
        <w:pStyle w:val="25"/>
        <w:keepNext w:val="0"/>
        <w:keepLines w:val="0"/>
        <w:pageBreakBefore w:val="0"/>
        <w:widowControl w:val="0"/>
        <w:numPr>
          <w:ilvl w:val="0"/>
          <w:numId w:val="322"/>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参加以居村（社区）名义洽谈、签约的项目谈判，协助起草、审查重大经济合同、经济项目以及重要法律文件；应居村（社区）要求参与处置其他重要专项法律事务。</w:t>
      </w:r>
    </w:p>
    <w:p>
      <w:pPr>
        <w:pStyle w:val="25"/>
        <w:keepNext w:val="0"/>
        <w:keepLines w:val="0"/>
        <w:pageBreakBefore w:val="0"/>
        <w:widowControl w:val="0"/>
        <w:numPr>
          <w:ilvl w:val="0"/>
          <w:numId w:val="0"/>
        </w:numPr>
        <w:tabs>
          <w:tab w:val="left" w:pos="1382"/>
        </w:tabs>
        <w:wordWrap/>
        <w:autoSpaceDE w:val="0"/>
        <w:autoSpaceDN w:val="0"/>
        <w:bidi w:val="0"/>
        <w:spacing w:line="500" w:lineRule="exact"/>
        <w:ind w:firstLine="562" w:firstLineChars="200"/>
        <w:jc w:val="both"/>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第七十条  律师成为村（居）调解员的服务范围</w:t>
      </w:r>
    </w:p>
    <w:p>
      <w:pPr>
        <w:pStyle w:val="25"/>
        <w:keepNext w:val="0"/>
        <w:keepLines w:val="0"/>
        <w:pageBreakBefore w:val="0"/>
        <w:widowControl w:val="0"/>
        <w:numPr>
          <w:ilvl w:val="0"/>
          <w:numId w:val="323"/>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参与村（居）人民调解工作；</w:t>
      </w:r>
    </w:p>
    <w:p>
      <w:pPr>
        <w:pStyle w:val="25"/>
        <w:keepNext w:val="0"/>
        <w:keepLines w:val="0"/>
        <w:pageBreakBefore w:val="0"/>
        <w:widowControl w:val="0"/>
        <w:numPr>
          <w:ilvl w:val="0"/>
          <w:numId w:val="323"/>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根据调解工作情况，采取有针对性性预防措施；</w:t>
      </w:r>
    </w:p>
    <w:p>
      <w:pPr>
        <w:pStyle w:val="25"/>
        <w:keepNext w:val="0"/>
        <w:keepLines w:val="0"/>
        <w:pageBreakBefore w:val="0"/>
        <w:widowControl w:val="0"/>
        <w:numPr>
          <w:ilvl w:val="0"/>
          <w:numId w:val="323"/>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记录调解情况。</w:t>
      </w:r>
      <w:bookmarkStart w:id="602" w:name="_bookmark38"/>
      <w:bookmarkEnd w:id="602"/>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603" w:name="第71条_操作提示"/>
      <w:bookmarkEnd w:id="603"/>
      <w:r>
        <w:rPr>
          <w:rFonts w:hint="eastAsia" w:ascii="仿宋_GB2312" w:hAnsi="仿宋" w:eastAsia="仿宋_GB2312" w:cs="仿宋"/>
          <w:color w:val="000000"/>
          <w:sz w:val="28"/>
          <w:szCs w:val="28"/>
        </w:rPr>
        <w:t>第七十一条  村（居）基层组织法律服务业务操作提示</w:t>
      </w:r>
    </w:p>
    <w:p>
      <w:pPr>
        <w:pStyle w:val="25"/>
        <w:keepNext w:val="0"/>
        <w:keepLines w:val="0"/>
        <w:pageBreakBefore w:val="0"/>
        <w:widowControl w:val="0"/>
        <w:numPr>
          <w:ilvl w:val="0"/>
          <w:numId w:val="0"/>
        </w:numPr>
        <w:tabs>
          <w:tab w:val="left" w:pos="1241"/>
        </w:tabs>
        <w:wordWrap/>
        <w:autoSpaceDE w:val="0"/>
        <w:autoSpaceDN w:val="0"/>
        <w:bidi w:val="0"/>
        <w:spacing w:line="500" w:lineRule="exact"/>
        <w:ind w:firstLine="562" w:firstLineChars="200"/>
        <w:jc w:val="both"/>
        <w:rPr>
          <w:rFonts w:hint="eastAsia" w:ascii="仿宋_GB2312" w:hAnsi="仿宋" w:eastAsia="仿宋_GB2312" w:cs="仿宋"/>
          <w:b/>
          <w:color w:val="000000"/>
          <w:sz w:val="28"/>
          <w:szCs w:val="28"/>
        </w:rPr>
      </w:pPr>
      <w:bookmarkStart w:id="604" w:name="71.1律师在村（居）开展法治宣传"/>
      <w:bookmarkEnd w:id="604"/>
      <w:r>
        <w:rPr>
          <w:rFonts w:hint="eastAsia" w:ascii="仿宋_GB2312" w:hAnsi="仿宋" w:eastAsia="仿宋_GB2312" w:cs="仿宋"/>
          <w:b/>
          <w:color w:val="000000"/>
          <w:sz w:val="28"/>
          <w:szCs w:val="28"/>
        </w:rPr>
        <w:t>（一）律师在村（居）开展法治宣传</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应注意明确的主题及预定的目标，法治宣传宜通过浅显易懂、形象生动的形式开展，并注重创新宣传方式，因地制宜，组织与辖区的实际情况及村（居）民的法律需求相吻合的法治宣传。</w:t>
      </w:r>
    </w:p>
    <w:p>
      <w:pPr>
        <w:pStyle w:val="5"/>
        <w:keepNext w:val="0"/>
        <w:keepLines w:val="0"/>
        <w:pageBreakBefore w:val="0"/>
        <w:widowControl w:val="0"/>
        <w:tabs>
          <w:tab w:val="left" w:pos="1241"/>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bookmarkStart w:id="605" w:name="71.2律师在村（居）接受群众来访"/>
      <w:bookmarkEnd w:id="605"/>
      <w:r>
        <w:rPr>
          <w:rFonts w:hint="eastAsia" w:ascii="仿宋_GB2312" w:hAnsi="仿宋" w:eastAsia="仿宋_GB2312" w:cs="仿宋"/>
          <w:color w:val="000000"/>
          <w:sz w:val="28"/>
          <w:szCs w:val="28"/>
        </w:rPr>
        <w:t>（二）律师在村（居）接受群众来访</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应全面了解情况在要求村（居）依法行政的同时，注重维稳。深入了解矛盾的历史背景，解决纠纷的根源。</w:t>
      </w:r>
    </w:p>
    <w:p>
      <w:pPr>
        <w:pStyle w:val="2"/>
        <w:keepNext w:val="0"/>
        <w:keepLines w:val="0"/>
        <w:pageBreakBefore w:val="0"/>
        <w:widowControl w:val="0"/>
        <w:wordWrap/>
        <w:bidi w:val="0"/>
        <w:spacing w:before="0" w:after="0" w:line="500" w:lineRule="exact"/>
        <w:jc w:val="center"/>
        <w:rPr>
          <w:rFonts w:hint="eastAsia" w:ascii="楷体" w:hAnsi="楷体" w:eastAsia="楷体" w:cs="楷体"/>
          <w:color w:val="000000"/>
          <w:sz w:val="28"/>
          <w:szCs w:val="28"/>
        </w:rPr>
      </w:pPr>
      <w:bookmarkStart w:id="606" w:name="_bookmark39"/>
      <w:bookmarkEnd w:id="606"/>
      <w:bookmarkStart w:id="607" w:name="第九节_农业行政处罚业务操作指引"/>
      <w:bookmarkEnd w:id="607"/>
      <w:bookmarkStart w:id="608" w:name="_Toc12370"/>
      <w:r>
        <w:rPr>
          <w:rFonts w:hint="eastAsia" w:ascii="楷体" w:hAnsi="楷体" w:eastAsia="楷体" w:cs="楷体"/>
          <w:color w:val="000000"/>
          <w:sz w:val="28"/>
          <w:szCs w:val="28"/>
        </w:rPr>
        <w:t>第九节 农业行政处罚业务操作指引</w:t>
      </w:r>
      <w:bookmarkEnd w:id="608"/>
      <w:bookmarkStart w:id="609" w:name="_bookmark40"/>
      <w:bookmarkEnd w:id="609"/>
      <w:bookmarkStart w:id="610" w:name="（一）涉及的主要问题"/>
      <w:bookmarkEnd w:id="610"/>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611" w:name="第72条_农业行政处罚主体"/>
      <w:bookmarkEnd w:id="611"/>
      <w:r>
        <w:rPr>
          <w:rFonts w:hint="eastAsia" w:ascii="仿宋_GB2312" w:hAnsi="仿宋" w:eastAsia="仿宋_GB2312" w:cs="仿宋"/>
          <w:color w:val="000000"/>
          <w:sz w:val="28"/>
          <w:szCs w:val="28"/>
        </w:rPr>
        <w:t>第七十二条  农业行政处罚主体</w:t>
      </w:r>
    </w:p>
    <w:p>
      <w:pPr>
        <w:pStyle w:val="25"/>
        <w:keepNext w:val="0"/>
        <w:keepLines w:val="0"/>
        <w:pageBreakBefore w:val="0"/>
        <w:widowControl w:val="0"/>
        <w:numPr>
          <w:ilvl w:val="0"/>
          <w:numId w:val="324"/>
        </w:numPr>
        <w:tabs>
          <w:tab w:val="left" w:pos="200"/>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县级以上农业农村主管部门是农业行政处罚机关；各级农业综合行政执法机构集中行使行政处罚以及与行政处罚有关的行政强制、行政检查职能，以农业农村主管部门名义统一执法；</w:t>
      </w:r>
    </w:p>
    <w:p>
      <w:pPr>
        <w:pStyle w:val="25"/>
        <w:keepNext w:val="0"/>
        <w:keepLines w:val="0"/>
        <w:pageBreakBefore w:val="0"/>
        <w:widowControl w:val="0"/>
        <w:numPr>
          <w:ilvl w:val="0"/>
          <w:numId w:val="324"/>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沿海、大江大湖、边境交界等水域相对独立设置的渔政执法机构以及农业农村部门的派出执法机构，要以所在农业农村主管部门名义实施行政处罚。</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612" w:name="第73条_农业执法的范围"/>
      <w:bookmarkEnd w:id="612"/>
      <w:r>
        <w:rPr>
          <w:rFonts w:hint="eastAsia" w:ascii="仿宋_GB2312" w:hAnsi="仿宋" w:eastAsia="仿宋_GB2312" w:cs="仿宋"/>
          <w:color w:val="000000"/>
          <w:sz w:val="28"/>
          <w:szCs w:val="28"/>
        </w:rPr>
        <w:t>第七十三条  农业执法的范围</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农业行政处罚机关实施的行政处罚及其相关执法活动。包括种植业、畜牧（草原）、兽医、渔业、农垦、农药、乡镇企业、饲料工业和农业机械化、农产品质量等行政执法行为。</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613" w:name="第74条_农业行政处罚的管辖"/>
      <w:bookmarkEnd w:id="613"/>
      <w:r>
        <w:rPr>
          <w:rFonts w:hint="eastAsia" w:ascii="仿宋_GB2312" w:hAnsi="仿宋" w:eastAsia="仿宋_GB2312" w:cs="仿宋"/>
          <w:color w:val="000000"/>
          <w:sz w:val="28"/>
          <w:szCs w:val="28"/>
        </w:rPr>
        <w:t>第七十四条  农业行政处罚的管辖</w:t>
      </w:r>
    </w:p>
    <w:p>
      <w:pPr>
        <w:pStyle w:val="25"/>
        <w:keepNext w:val="0"/>
        <w:keepLines w:val="0"/>
        <w:pageBreakBefore w:val="0"/>
        <w:widowControl w:val="0"/>
        <w:numPr>
          <w:ilvl w:val="0"/>
          <w:numId w:val="325"/>
        </w:numPr>
        <w:tabs>
          <w:tab w:val="left" w:pos="1311"/>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农业行政处罚业务原则上由违法行为发生地的农业行政处罚机关管辖。</w:t>
      </w:r>
    </w:p>
    <w:p>
      <w:pPr>
        <w:pStyle w:val="25"/>
        <w:keepNext w:val="0"/>
        <w:keepLines w:val="0"/>
        <w:pageBreakBefore w:val="0"/>
        <w:widowControl w:val="0"/>
        <w:numPr>
          <w:ilvl w:val="0"/>
          <w:numId w:val="325"/>
        </w:numPr>
        <w:tabs>
          <w:tab w:val="left" w:pos="117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“谁查获、谁处理”的原则。</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具体情形为：</w:t>
      </w:r>
    </w:p>
    <w:p>
      <w:pPr>
        <w:pStyle w:val="7"/>
        <w:keepNext w:val="0"/>
        <w:keepLines w:val="0"/>
        <w:pageBreakBefore w:val="0"/>
        <w:widowControl w:val="0"/>
        <w:numPr>
          <w:ilvl w:val="0"/>
          <w:numId w:val="326"/>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违法行为发生在共管区、叠区；</w:t>
      </w:r>
    </w:p>
    <w:p>
      <w:pPr>
        <w:pStyle w:val="25"/>
        <w:keepNext w:val="0"/>
        <w:keepLines w:val="0"/>
        <w:pageBreakBefore w:val="0"/>
        <w:widowControl w:val="0"/>
        <w:numPr>
          <w:ilvl w:val="0"/>
          <w:numId w:val="326"/>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违法行为发生在管辖权不明确或者有争议的区域；</w:t>
      </w:r>
    </w:p>
    <w:p>
      <w:pPr>
        <w:pStyle w:val="25"/>
        <w:keepNext w:val="0"/>
        <w:keepLines w:val="0"/>
        <w:pageBreakBefore w:val="0"/>
        <w:widowControl w:val="0"/>
        <w:numPr>
          <w:ilvl w:val="0"/>
          <w:numId w:val="326"/>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违法行为发生地与查获地不一致。</w:t>
      </w:r>
    </w:p>
    <w:p>
      <w:pPr>
        <w:pStyle w:val="25"/>
        <w:keepNext w:val="0"/>
        <w:keepLines w:val="0"/>
        <w:pageBreakBefore w:val="0"/>
        <w:widowControl w:val="0"/>
        <w:numPr>
          <w:ilvl w:val="0"/>
          <w:numId w:val="0"/>
        </w:numPr>
        <w:tabs>
          <w:tab w:val="left" w:pos="1313"/>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（三）电子商务平台经营者和通过自建网站、其他网络服务销售商品或者提供服务的电子商务经营者及电子商务平台内经营者的管辖。</w:t>
      </w:r>
    </w:p>
    <w:p>
      <w:pPr>
        <w:pStyle w:val="25"/>
        <w:keepNext w:val="0"/>
        <w:keepLines w:val="0"/>
        <w:pageBreakBefore w:val="0"/>
        <w:widowControl w:val="0"/>
        <w:numPr>
          <w:ilvl w:val="0"/>
          <w:numId w:val="0"/>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电子商务平台经营者和通过自建网站、其他网络服务销售商品或者提供服务，电子商务经营者的农业违法行为，由其住所地县级以上农业行政处罚机关管辖。</w:t>
      </w:r>
    </w:p>
    <w:p>
      <w:pPr>
        <w:pStyle w:val="25"/>
        <w:keepNext w:val="0"/>
        <w:keepLines w:val="0"/>
        <w:pageBreakBefore w:val="0"/>
        <w:widowControl w:val="0"/>
        <w:numPr>
          <w:ilvl w:val="0"/>
          <w:numId w:val="0"/>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四）平台内经营者的农业违法行为由其实际经营地县级以上农业行政处罚机关管辖。电子商务平台经营者住所地或者违法物品的生产、加工、存储、配送地的县级以上农业行政处罚机关先行发现违法线索或者收到投诉、举报的，也可以管辖。同一违法行为，两个以上农业行政处罚机关都有管辖权的， 由先立案的农业行政处罚机关管辖。</w:t>
      </w:r>
    </w:p>
    <w:p>
      <w:pPr>
        <w:pStyle w:val="25"/>
        <w:keepNext w:val="0"/>
        <w:keepLines w:val="0"/>
        <w:pageBreakBefore w:val="0"/>
        <w:widowControl w:val="0"/>
        <w:numPr>
          <w:ilvl w:val="0"/>
          <w:numId w:val="0"/>
        </w:numPr>
        <w:tabs>
          <w:tab w:val="left" w:pos="1241"/>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（五）两个以上农业行政处罚机关因管辖权发生争议的，应当自发生争议之日起七个工作日内协商解决；协商解决不了的，报请共同的上一级农业行政处罚机关指定管辖。</w:t>
      </w:r>
    </w:p>
    <w:p>
      <w:pPr>
        <w:pStyle w:val="25"/>
        <w:keepNext w:val="0"/>
        <w:keepLines w:val="0"/>
        <w:pageBreakBefore w:val="0"/>
        <w:widowControl w:val="0"/>
        <w:numPr>
          <w:ilvl w:val="0"/>
          <w:numId w:val="0"/>
        </w:numPr>
        <w:tabs>
          <w:tab w:val="left" w:pos="1241"/>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（六）移送管辖及指定管辖情形</w:t>
      </w:r>
    </w:p>
    <w:p>
      <w:pPr>
        <w:pStyle w:val="25"/>
        <w:keepNext w:val="0"/>
        <w:keepLines w:val="0"/>
        <w:pageBreakBefore w:val="0"/>
        <w:widowControl w:val="0"/>
        <w:numPr>
          <w:ilvl w:val="0"/>
          <w:numId w:val="327"/>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发现立案查处的案件不属于本部门管辖的，将案件移送有管辖权的农业行政处罚机关。受移送的农业行政处罚机关对管辖权有异议的，应当报请共同的上一级农业行政处罚机关指定管辖，不得再自行移送。</w:t>
      </w:r>
    </w:p>
    <w:p>
      <w:pPr>
        <w:pStyle w:val="25"/>
        <w:keepNext w:val="0"/>
        <w:keepLines w:val="0"/>
        <w:pageBreakBefore w:val="0"/>
        <w:widowControl w:val="0"/>
        <w:numPr>
          <w:ilvl w:val="0"/>
          <w:numId w:val="327"/>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上级农业行政处罚机关认为有必要时，可以直接管辖下级农业行政处罚机关管辖的案件，也可以将本机关管辖的案件交由下级农业行政处罚机关管辖；必要时可以将下级农业行政处罚机关管辖的案件指定其他下级农业行政处罚机关管辖。下级农业行政处罚机关认为依法应由其管辖的农业行政处罚案件重大、复杂或者本地不适宜管辖的，可以报请上一级农业行政处罚机关直接管辖或者指定管辖。上一级农业行政处罚机关应当自收到报送材料之日起七个工作日内作出书面决定。</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614" w:name="第75条_操作提示"/>
      <w:bookmarkEnd w:id="614"/>
      <w:bookmarkStart w:id="615" w:name="_bookmark41"/>
      <w:bookmarkEnd w:id="615"/>
      <w:bookmarkStart w:id="616" w:name="（二）操作提示"/>
      <w:bookmarkEnd w:id="616"/>
      <w:r>
        <w:rPr>
          <w:rFonts w:hint="eastAsia" w:ascii="仿宋_GB2312" w:hAnsi="仿宋" w:eastAsia="仿宋_GB2312" w:cs="仿宋"/>
          <w:color w:val="000000"/>
          <w:sz w:val="28"/>
          <w:szCs w:val="28"/>
        </w:rPr>
        <w:t>第七十五条  农业行政处罚业务操作提示</w:t>
      </w:r>
    </w:p>
    <w:p>
      <w:pPr>
        <w:pStyle w:val="25"/>
        <w:keepNext w:val="0"/>
        <w:keepLines w:val="0"/>
        <w:pageBreakBefore w:val="0"/>
        <w:widowControl w:val="0"/>
        <w:numPr>
          <w:ilvl w:val="0"/>
          <w:numId w:val="328"/>
        </w:numPr>
        <w:tabs>
          <w:tab w:val="left" w:pos="1241"/>
        </w:tabs>
        <w:wordWrap/>
        <w:autoSpaceDE w:val="0"/>
        <w:autoSpaceDN w:val="0"/>
        <w:bidi w:val="0"/>
        <w:spacing w:line="500" w:lineRule="exact"/>
        <w:ind w:firstLine="562" w:firstLineChars="200"/>
        <w:jc w:val="both"/>
        <w:rPr>
          <w:rFonts w:hint="eastAsia" w:ascii="仿宋_GB2312" w:hAnsi="仿宋" w:eastAsia="仿宋_GB2312" w:cs="仿宋"/>
          <w:b/>
          <w:color w:val="000000"/>
          <w:sz w:val="28"/>
          <w:szCs w:val="28"/>
        </w:rPr>
      </w:pPr>
      <w:bookmarkStart w:id="617" w:name="75.1律师作为农业农村主管部门法律顾问注意事项"/>
      <w:bookmarkEnd w:id="617"/>
      <w:r>
        <w:rPr>
          <w:rFonts w:hint="eastAsia" w:ascii="仿宋_GB2312" w:hAnsi="仿宋" w:eastAsia="仿宋_GB2312" w:cs="仿宋"/>
          <w:b/>
          <w:color w:val="000000"/>
          <w:sz w:val="28"/>
          <w:szCs w:val="28"/>
        </w:rPr>
        <w:t>律师作为农业农村主管部门法律顾问注意事项</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律师应提醒农业行政处罚机关在执法时全面推行行政执法公示制度、执法全过程记录制度、重大执法决定法制审核制度。</w:t>
      </w:r>
    </w:p>
    <w:p>
      <w:pPr>
        <w:pStyle w:val="5"/>
        <w:keepNext w:val="0"/>
        <w:keepLines w:val="0"/>
        <w:pageBreakBefore w:val="0"/>
        <w:widowControl w:val="0"/>
        <w:numPr>
          <w:ilvl w:val="0"/>
          <w:numId w:val="328"/>
        </w:numPr>
        <w:tabs>
          <w:tab w:val="left" w:pos="1311"/>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bookmarkStart w:id="618" w:name="75.2_律师对行政处罚决定进行合法性审核注意事项"/>
      <w:bookmarkEnd w:id="618"/>
      <w:r>
        <w:rPr>
          <w:rFonts w:hint="eastAsia" w:ascii="仿宋_GB2312" w:hAnsi="仿宋" w:eastAsia="仿宋_GB2312" w:cs="仿宋"/>
          <w:color w:val="000000"/>
          <w:sz w:val="28"/>
          <w:szCs w:val="28"/>
        </w:rPr>
        <w:t>律师对行政处罚决定进行合法性审核注意事项</w:t>
      </w:r>
    </w:p>
    <w:p>
      <w:pPr>
        <w:pStyle w:val="25"/>
        <w:keepNext w:val="0"/>
        <w:keepLines w:val="0"/>
        <w:pageBreakBefore w:val="0"/>
        <w:widowControl w:val="0"/>
        <w:numPr>
          <w:ilvl w:val="0"/>
          <w:numId w:val="329"/>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全面审查案卷材料，审核程序是否合法，是否具有管辖权；</w:t>
      </w:r>
    </w:p>
    <w:p>
      <w:pPr>
        <w:pStyle w:val="25"/>
        <w:keepNext w:val="0"/>
        <w:keepLines w:val="0"/>
        <w:pageBreakBefore w:val="0"/>
        <w:widowControl w:val="0"/>
        <w:numPr>
          <w:ilvl w:val="0"/>
          <w:numId w:val="329"/>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审查作出处罚决定的事实是否清楚，证据是否确实、充分，相关证据是否在案卷当中；</w:t>
      </w:r>
    </w:p>
    <w:p>
      <w:pPr>
        <w:pStyle w:val="25"/>
        <w:keepNext w:val="0"/>
        <w:keepLines w:val="0"/>
        <w:pageBreakBefore w:val="0"/>
        <w:widowControl w:val="0"/>
        <w:numPr>
          <w:ilvl w:val="0"/>
          <w:numId w:val="329"/>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审查定性是否准确；</w:t>
      </w:r>
    </w:p>
    <w:p>
      <w:pPr>
        <w:pStyle w:val="25"/>
        <w:keepNext w:val="0"/>
        <w:keepLines w:val="0"/>
        <w:pageBreakBefore w:val="0"/>
        <w:widowControl w:val="0"/>
        <w:numPr>
          <w:ilvl w:val="0"/>
          <w:numId w:val="329"/>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审核当事人的基本情况是否清楚；</w:t>
      </w:r>
    </w:p>
    <w:p>
      <w:pPr>
        <w:pStyle w:val="25"/>
        <w:keepNext w:val="0"/>
        <w:keepLines w:val="0"/>
        <w:pageBreakBefore w:val="0"/>
        <w:widowControl w:val="0"/>
        <w:numPr>
          <w:ilvl w:val="0"/>
          <w:numId w:val="329"/>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审核处理意见是否适当；</w:t>
      </w:r>
    </w:p>
    <w:p>
      <w:pPr>
        <w:pStyle w:val="25"/>
        <w:keepNext w:val="0"/>
        <w:keepLines w:val="0"/>
        <w:pageBreakBefore w:val="0"/>
        <w:widowControl w:val="0"/>
        <w:numPr>
          <w:ilvl w:val="0"/>
          <w:numId w:val="329"/>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行政处罚决定书内容是否符合《农业行政处罚程序规定》第五十六条规定的行使要件；</w:t>
      </w:r>
    </w:p>
    <w:p>
      <w:pPr>
        <w:pStyle w:val="25"/>
        <w:keepNext w:val="0"/>
        <w:keepLines w:val="0"/>
        <w:pageBreakBefore w:val="0"/>
        <w:widowControl w:val="0"/>
        <w:numPr>
          <w:ilvl w:val="0"/>
          <w:numId w:val="329"/>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作出行政处罚决定的主体是否适格；</w:t>
      </w:r>
    </w:p>
    <w:p>
      <w:pPr>
        <w:pStyle w:val="25"/>
        <w:keepNext w:val="0"/>
        <w:keepLines w:val="0"/>
        <w:pageBreakBefore w:val="0"/>
        <w:widowControl w:val="0"/>
        <w:numPr>
          <w:ilvl w:val="0"/>
          <w:numId w:val="329"/>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根据审查的结果，出具书面意见。</w:t>
      </w:r>
    </w:p>
    <w:p>
      <w:pPr>
        <w:pStyle w:val="5"/>
        <w:keepNext w:val="0"/>
        <w:keepLines w:val="0"/>
        <w:pageBreakBefore w:val="0"/>
        <w:widowControl w:val="0"/>
        <w:tabs>
          <w:tab w:val="left" w:pos="1311"/>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bookmarkStart w:id="619" w:name="75.3_律师代理农业行政处罚类行政复议、诉讼案件注意事项"/>
      <w:bookmarkEnd w:id="619"/>
      <w:r>
        <w:rPr>
          <w:rFonts w:hint="eastAsia" w:ascii="仿宋_GB2312" w:hAnsi="仿宋" w:eastAsia="仿宋_GB2312" w:cs="仿宋"/>
          <w:color w:val="000000"/>
          <w:sz w:val="28"/>
          <w:szCs w:val="28"/>
        </w:rPr>
        <w:t>（三）律师代理农业行政处罚类行政复议、诉讼案件注意事项</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应首先审查作出的主体是否有法定职权、程序是否合法，然后再审查事实、法律及合理性问题。</w:t>
      </w:r>
    </w:p>
    <w:p>
      <w:pPr>
        <w:pStyle w:val="2"/>
        <w:keepNext w:val="0"/>
        <w:keepLines w:val="0"/>
        <w:pageBreakBefore w:val="0"/>
        <w:widowControl w:val="0"/>
        <w:wordWrap/>
        <w:bidi w:val="0"/>
        <w:spacing w:before="0" w:after="0" w:line="500" w:lineRule="exact"/>
        <w:jc w:val="center"/>
        <w:rPr>
          <w:rFonts w:hint="eastAsia" w:ascii="楷体" w:hAnsi="楷体" w:eastAsia="楷体" w:cs="楷体"/>
          <w:color w:val="000000"/>
          <w:sz w:val="28"/>
          <w:szCs w:val="28"/>
        </w:rPr>
      </w:pPr>
      <w:bookmarkStart w:id="620" w:name="_bookmark42"/>
      <w:bookmarkEnd w:id="620"/>
      <w:bookmarkStart w:id="621" w:name="第十节_农业投资管理业务操作指引"/>
      <w:bookmarkEnd w:id="621"/>
      <w:bookmarkStart w:id="622" w:name="_Toc29456"/>
      <w:r>
        <w:rPr>
          <w:rFonts w:hint="eastAsia" w:ascii="楷体" w:hAnsi="楷体" w:eastAsia="楷体" w:cs="楷体"/>
          <w:color w:val="000000"/>
          <w:sz w:val="28"/>
          <w:szCs w:val="28"/>
        </w:rPr>
        <w:t>第十节  农业投资管理业务操作指引</w:t>
      </w:r>
      <w:bookmarkEnd w:id="622"/>
      <w:bookmarkStart w:id="623" w:name="_bookmark43"/>
      <w:bookmarkEnd w:id="623"/>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624" w:name="第76条_主要概念"/>
      <w:bookmarkEnd w:id="624"/>
      <w:r>
        <w:rPr>
          <w:rFonts w:hint="eastAsia" w:ascii="仿宋_GB2312" w:hAnsi="仿宋" w:eastAsia="仿宋_GB2312" w:cs="仿宋"/>
          <w:color w:val="000000"/>
          <w:sz w:val="28"/>
          <w:szCs w:val="28"/>
        </w:rPr>
        <w:t>第七十六条  农业投资主要概念</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bookmarkStart w:id="625" w:name="76.1农业投资"/>
      <w:bookmarkEnd w:id="625"/>
      <w:r>
        <w:rPr>
          <w:rFonts w:hint="eastAsia" w:ascii="仿宋_GB2312" w:hAnsi="仿宋" w:eastAsia="仿宋_GB2312" w:cs="仿宋"/>
          <w:color w:val="000000"/>
          <w:sz w:val="28"/>
          <w:szCs w:val="28"/>
        </w:rPr>
        <w:t>是指包括农业农村部管理和参与管理的用于农业农村的中央财政转移支付项目、中央预算内投资项目等。</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626" w:name="_bookmark44"/>
      <w:bookmarkEnd w:id="626"/>
      <w:bookmarkStart w:id="627" w:name="第77条_农业投资的方式"/>
      <w:bookmarkEnd w:id="627"/>
      <w:r>
        <w:rPr>
          <w:rFonts w:hint="eastAsia" w:ascii="仿宋_GB2312" w:hAnsi="仿宋" w:eastAsia="仿宋_GB2312" w:cs="仿宋"/>
          <w:color w:val="000000"/>
          <w:sz w:val="28"/>
          <w:szCs w:val="28"/>
        </w:rPr>
        <w:t>第七十七条  农业投资的方式</w:t>
      </w:r>
    </w:p>
    <w:p>
      <w:pPr>
        <w:pStyle w:val="25"/>
        <w:keepNext w:val="0"/>
        <w:keepLines w:val="0"/>
        <w:pageBreakBefore w:val="0"/>
        <w:widowControl w:val="0"/>
        <w:numPr>
          <w:ilvl w:val="0"/>
          <w:numId w:val="330"/>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综合采取直接投资、投资补助、资本金注入、财政贴息、以奖代补、先建后补等多种方式，充分发挥财政资金的引导作用和放大效应；</w:t>
      </w:r>
    </w:p>
    <w:p>
      <w:pPr>
        <w:pStyle w:val="25"/>
        <w:keepNext w:val="0"/>
        <w:keepLines w:val="0"/>
        <w:pageBreakBefore w:val="0"/>
        <w:widowControl w:val="0"/>
        <w:numPr>
          <w:ilvl w:val="0"/>
          <w:numId w:val="330"/>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建立与金融机构的沟通合作机制，推动开展农村金融产品和服务创新，增加涉农信贷，有效增加乡村振兴资金供给，引导金融机构加入农业投资；</w:t>
      </w:r>
    </w:p>
    <w:p>
      <w:pPr>
        <w:pStyle w:val="25"/>
        <w:keepNext w:val="0"/>
        <w:keepLines w:val="0"/>
        <w:pageBreakBefore w:val="0"/>
        <w:widowControl w:val="0"/>
        <w:numPr>
          <w:ilvl w:val="0"/>
          <w:numId w:val="330"/>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通过政府购买服务、政府与社会资本合作、先建后补等方式引导社会资本加入农业投资；</w:t>
      </w:r>
    </w:p>
    <w:p>
      <w:pPr>
        <w:pStyle w:val="25"/>
        <w:keepNext w:val="0"/>
        <w:keepLines w:val="0"/>
        <w:pageBreakBefore w:val="0"/>
        <w:widowControl w:val="0"/>
        <w:numPr>
          <w:ilvl w:val="0"/>
          <w:numId w:val="330"/>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通过担保费补助、贷款贴息等方式引导农民通过投工投劳等方式，主动参与乡村振兴建设。</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628" w:name="第78条_律师提供农业投资服务的范围"/>
      <w:bookmarkEnd w:id="628"/>
      <w:r>
        <w:rPr>
          <w:rFonts w:hint="eastAsia" w:ascii="仿宋_GB2312" w:hAnsi="仿宋" w:eastAsia="仿宋_GB2312" w:cs="仿宋"/>
          <w:color w:val="000000"/>
          <w:sz w:val="28"/>
          <w:szCs w:val="28"/>
        </w:rPr>
        <w:t>第七十八条  律师提供农业投资法律顾问服务的范围</w:t>
      </w:r>
    </w:p>
    <w:p>
      <w:pPr>
        <w:pStyle w:val="25"/>
        <w:keepNext w:val="0"/>
        <w:keepLines w:val="0"/>
        <w:pageBreakBefore w:val="0"/>
        <w:widowControl w:val="0"/>
        <w:numPr>
          <w:ilvl w:val="0"/>
          <w:numId w:val="331"/>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专项服务农业投资项目，包括起草或参与起草农业投资项目总体方案和政策措施建议、提交材料的合法性审核、评估论证意见以及项目合同的起草、谈判、审核、跟踪等；</w:t>
      </w:r>
    </w:p>
    <w:p>
      <w:pPr>
        <w:pStyle w:val="25"/>
        <w:keepNext w:val="0"/>
        <w:keepLines w:val="0"/>
        <w:pageBreakBefore w:val="0"/>
        <w:widowControl w:val="0"/>
        <w:numPr>
          <w:ilvl w:val="0"/>
          <w:numId w:val="331"/>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参与农业投资相关制度的起草或提供起草农业投资相关制度的专项服务，包括制度的调研、起草、征求意见、专家论证等；</w:t>
      </w:r>
    </w:p>
    <w:p>
      <w:pPr>
        <w:pStyle w:val="25"/>
        <w:keepNext w:val="0"/>
        <w:keepLines w:val="0"/>
        <w:pageBreakBefore w:val="0"/>
        <w:widowControl w:val="0"/>
        <w:numPr>
          <w:ilvl w:val="0"/>
          <w:numId w:val="331"/>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代理与农业投资相关的诉讼业务。</w:t>
      </w:r>
      <w:bookmarkStart w:id="629" w:name="_bookmark45"/>
      <w:bookmarkEnd w:id="629"/>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630" w:name="第79条_操作提示"/>
      <w:bookmarkEnd w:id="630"/>
      <w:r>
        <w:rPr>
          <w:rFonts w:hint="eastAsia" w:ascii="仿宋_GB2312" w:hAnsi="仿宋" w:eastAsia="仿宋_GB2312" w:cs="仿宋"/>
          <w:color w:val="000000"/>
          <w:sz w:val="28"/>
          <w:szCs w:val="28"/>
        </w:rPr>
        <w:t>第七十九条  农业投资管理业务操作提示</w:t>
      </w:r>
    </w:p>
    <w:p>
      <w:pPr>
        <w:pStyle w:val="25"/>
        <w:keepNext w:val="0"/>
        <w:keepLines w:val="0"/>
        <w:pageBreakBefore w:val="0"/>
        <w:widowControl w:val="0"/>
        <w:numPr>
          <w:ilvl w:val="0"/>
          <w:numId w:val="0"/>
        </w:numPr>
        <w:tabs>
          <w:tab w:val="left" w:pos="1311"/>
        </w:tabs>
        <w:wordWrap/>
        <w:autoSpaceDE w:val="0"/>
        <w:autoSpaceDN w:val="0"/>
        <w:bidi w:val="0"/>
        <w:spacing w:line="500" w:lineRule="exact"/>
        <w:ind w:firstLine="562" w:firstLineChars="200"/>
        <w:jc w:val="both"/>
        <w:rPr>
          <w:rFonts w:hint="eastAsia" w:ascii="仿宋_GB2312" w:hAnsi="仿宋" w:eastAsia="仿宋_GB2312" w:cs="仿宋"/>
          <w:b/>
          <w:color w:val="000000"/>
          <w:sz w:val="28"/>
          <w:szCs w:val="28"/>
        </w:rPr>
      </w:pPr>
      <w:bookmarkStart w:id="631" w:name="79.1_律师在代理农业投资项目专项服务时注意事项"/>
      <w:bookmarkEnd w:id="631"/>
      <w:r>
        <w:rPr>
          <w:rFonts w:hint="eastAsia" w:ascii="仿宋_GB2312" w:hAnsi="仿宋" w:eastAsia="仿宋_GB2312" w:cs="仿宋"/>
          <w:b/>
          <w:color w:val="000000"/>
          <w:sz w:val="28"/>
          <w:szCs w:val="28"/>
        </w:rPr>
        <w:t>（一）律师在代理农业投资项目专项服务时注意事项</w:t>
      </w:r>
    </w:p>
    <w:p>
      <w:pPr>
        <w:pStyle w:val="25"/>
        <w:keepNext w:val="0"/>
        <w:keepLines w:val="0"/>
        <w:pageBreakBefore w:val="0"/>
        <w:widowControl w:val="0"/>
        <w:numPr>
          <w:ilvl w:val="0"/>
          <w:numId w:val="332"/>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该农业投资项目的类型，并根据农业投资项目的类型查找相关规定，并提醒委托方项目类型不同，管理程序不同，要按照相关文件规定的程序提交。如《农业农村部农业投资管理工作工作规程（试行）》对中央财政转移支付项目及中央预算内投资的农业项目的管理规定了不同的流程；</w:t>
      </w:r>
    </w:p>
    <w:p>
      <w:pPr>
        <w:pStyle w:val="25"/>
        <w:keepNext w:val="0"/>
        <w:keepLines w:val="0"/>
        <w:pageBreakBefore w:val="0"/>
        <w:widowControl w:val="0"/>
        <w:numPr>
          <w:ilvl w:val="0"/>
          <w:numId w:val="332"/>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提醒委托方严格按照招标投标、工程监理、合同管理、竣工验收、资金管理的相关规定执行，并留存相关证据；</w:t>
      </w:r>
    </w:p>
    <w:p>
      <w:pPr>
        <w:pStyle w:val="25"/>
        <w:keepNext w:val="0"/>
        <w:keepLines w:val="0"/>
        <w:pageBreakBefore w:val="0"/>
        <w:widowControl w:val="0"/>
        <w:numPr>
          <w:ilvl w:val="0"/>
          <w:numId w:val="332"/>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审核合同时，要注意农业投资合同的类型，并根据合同的类型及双方的需求起草合同；</w:t>
      </w:r>
    </w:p>
    <w:p>
      <w:pPr>
        <w:pStyle w:val="25"/>
        <w:keepNext w:val="0"/>
        <w:keepLines w:val="0"/>
        <w:pageBreakBefore w:val="0"/>
        <w:widowControl w:val="0"/>
        <w:numPr>
          <w:ilvl w:val="0"/>
          <w:numId w:val="332"/>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提醒委托方在项目实施过程中注意留存相关证据，包括工程的进度、变更等情况，并做好备忘录或相关记录。</w:t>
      </w:r>
    </w:p>
    <w:p>
      <w:pPr>
        <w:pStyle w:val="5"/>
        <w:keepNext w:val="0"/>
        <w:keepLines w:val="0"/>
        <w:pageBreakBefore w:val="0"/>
        <w:widowControl w:val="0"/>
        <w:tabs>
          <w:tab w:val="left" w:pos="1311"/>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bookmarkStart w:id="632" w:name="79.2_律师代理农业投资诉讼案件要点"/>
      <w:bookmarkEnd w:id="632"/>
      <w:r>
        <w:rPr>
          <w:rFonts w:hint="eastAsia" w:ascii="仿宋_GB2312" w:hAnsi="仿宋" w:eastAsia="仿宋_GB2312" w:cs="仿宋"/>
          <w:color w:val="000000"/>
          <w:sz w:val="28"/>
          <w:szCs w:val="28"/>
        </w:rPr>
        <w:t>（二）律师代理农业投资诉讼案件要点</w:t>
      </w:r>
    </w:p>
    <w:p>
      <w:pPr>
        <w:pStyle w:val="25"/>
        <w:keepNext w:val="0"/>
        <w:keepLines w:val="0"/>
        <w:pageBreakBefore w:val="0"/>
        <w:widowControl w:val="0"/>
        <w:numPr>
          <w:ilvl w:val="0"/>
          <w:numId w:val="333"/>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学习或了解国家及地方的农业投资政策；</w:t>
      </w:r>
    </w:p>
    <w:p>
      <w:pPr>
        <w:pStyle w:val="25"/>
        <w:keepNext w:val="0"/>
        <w:keepLines w:val="0"/>
        <w:pageBreakBefore w:val="0"/>
        <w:widowControl w:val="0"/>
        <w:numPr>
          <w:ilvl w:val="0"/>
          <w:numId w:val="333"/>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区分涉诉农业投资的模式，不同的农业投资模式可能适用的法律和相关政策不同；</w:t>
      </w:r>
    </w:p>
    <w:p>
      <w:pPr>
        <w:pStyle w:val="25"/>
        <w:keepNext w:val="0"/>
        <w:keepLines w:val="0"/>
        <w:pageBreakBefore w:val="0"/>
        <w:widowControl w:val="0"/>
        <w:numPr>
          <w:ilvl w:val="0"/>
          <w:numId w:val="333"/>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了解案件的背景及争议点，根据案件的背景及争议点，列明证据清单要求当事人提供资料，避免当事人提供的资料存在问题。</w:t>
      </w:r>
    </w:p>
    <w:p>
      <w:pPr>
        <w:pStyle w:val="2"/>
        <w:keepNext w:val="0"/>
        <w:keepLines w:val="0"/>
        <w:pageBreakBefore w:val="0"/>
        <w:widowControl w:val="0"/>
        <w:wordWrap/>
        <w:bidi w:val="0"/>
        <w:spacing w:before="0" w:after="0" w:line="500" w:lineRule="exact"/>
        <w:jc w:val="center"/>
        <w:rPr>
          <w:rFonts w:hint="eastAsia" w:ascii="楷体" w:hAnsi="楷体" w:eastAsia="楷体" w:cs="楷体"/>
          <w:b/>
          <w:color w:val="000000"/>
          <w:spacing w:val="-6"/>
          <w:sz w:val="28"/>
          <w:szCs w:val="28"/>
        </w:rPr>
      </w:pPr>
      <w:bookmarkStart w:id="633" w:name="第十一节_农村集体资产管理业务操作指引"/>
      <w:bookmarkEnd w:id="633"/>
      <w:bookmarkStart w:id="634" w:name="_bookmark46"/>
      <w:bookmarkEnd w:id="634"/>
      <w:bookmarkStart w:id="635" w:name="_Toc8778"/>
      <w:r>
        <w:rPr>
          <w:rFonts w:hint="eastAsia" w:ascii="楷体" w:hAnsi="楷体" w:eastAsia="楷体" w:cs="楷体"/>
          <w:b/>
          <w:color w:val="000000"/>
          <w:spacing w:val="-6"/>
          <w:sz w:val="28"/>
          <w:szCs w:val="28"/>
        </w:rPr>
        <w:t>第十一节  农村集体经济组织及其集体资产管理业务操作指引</w:t>
      </w:r>
      <w:bookmarkEnd w:id="635"/>
      <w:bookmarkStart w:id="636" w:name="（一）主要概念"/>
      <w:bookmarkEnd w:id="636"/>
      <w:bookmarkStart w:id="637" w:name="_bookmark47"/>
      <w:bookmarkEnd w:id="637"/>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638" w:name="第80条_主要概念"/>
      <w:bookmarkEnd w:id="638"/>
      <w:r>
        <w:rPr>
          <w:rFonts w:hint="eastAsia" w:ascii="仿宋_GB2312" w:hAnsi="仿宋" w:eastAsia="仿宋_GB2312" w:cs="仿宋"/>
          <w:color w:val="000000"/>
          <w:sz w:val="28"/>
          <w:szCs w:val="28"/>
        </w:rPr>
        <w:t>第八十条  主要概念</w:t>
      </w:r>
    </w:p>
    <w:p>
      <w:pPr>
        <w:pStyle w:val="25"/>
        <w:keepNext w:val="0"/>
        <w:keepLines w:val="0"/>
        <w:pageBreakBefore w:val="0"/>
        <w:widowControl w:val="0"/>
        <w:numPr>
          <w:ilvl w:val="0"/>
          <w:numId w:val="334"/>
        </w:numPr>
        <w:tabs>
          <w:tab w:val="left" w:pos="1241"/>
        </w:tabs>
        <w:wordWrap/>
        <w:autoSpaceDE w:val="0"/>
        <w:autoSpaceDN w:val="0"/>
        <w:bidi w:val="0"/>
        <w:spacing w:line="500" w:lineRule="exact"/>
        <w:ind w:firstLine="562" w:firstLineChars="200"/>
        <w:jc w:val="both"/>
        <w:rPr>
          <w:rFonts w:hint="eastAsia" w:ascii="仿宋_GB2312" w:hAnsi="仿宋" w:eastAsia="仿宋_GB2312" w:cs="仿宋"/>
          <w:b/>
          <w:color w:val="000000"/>
          <w:sz w:val="28"/>
          <w:szCs w:val="28"/>
        </w:rPr>
      </w:pPr>
      <w:bookmarkStart w:id="639" w:name="80.1农村集体资产"/>
      <w:bookmarkEnd w:id="639"/>
      <w:r>
        <w:rPr>
          <w:rFonts w:hint="eastAsia" w:ascii="仿宋_GB2312" w:hAnsi="仿宋" w:eastAsia="仿宋_GB2312" w:cs="仿宋"/>
          <w:b/>
          <w:color w:val="000000"/>
          <w:sz w:val="28"/>
          <w:szCs w:val="28"/>
        </w:rPr>
        <w:t>农村集体资产</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指村农民集体所有的资产，包括资源性资产、经营性资产和非经营性资产。</w:t>
      </w:r>
    </w:p>
    <w:p>
      <w:pPr>
        <w:pStyle w:val="5"/>
        <w:keepNext w:val="0"/>
        <w:keepLines w:val="0"/>
        <w:pageBreakBefore w:val="0"/>
        <w:widowControl w:val="0"/>
        <w:numPr>
          <w:ilvl w:val="0"/>
          <w:numId w:val="334"/>
        </w:numPr>
        <w:tabs>
          <w:tab w:val="left" w:pos="1241"/>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bookmarkStart w:id="640" w:name="80.2农村集体经济组织"/>
      <w:bookmarkEnd w:id="640"/>
      <w:r>
        <w:rPr>
          <w:rFonts w:hint="eastAsia" w:ascii="仿宋_GB2312" w:hAnsi="仿宋" w:eastAsia="仿宋_GB2312" w:cs="仿宋"/>
          <w:color w:val="000000"/>
          <w:sz w:val="28"/>
          <w:szCs w:val="28"/>
        </w:rPr>
        <w:t>农村集体经济组织</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指村集体成员以生产资料集体所有制为基础建立的社区性合作经济组织。</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641" w:name="（二）涉及的主要问题"/>
      <w:bookmarkEnd w:id="641"/>
      <w:bookmarkStart w:id="642" w:name="第81条_管理农村集体资产的主体"/>
      <w:bookmarkEnd w:id="642"/>
      <w:bookmarkStart w:id="643" w:name="_bookmark48"/>
      <w:bookmarkEnd w:id="643"/>
      <w:r>
        <w:rPr>
          <w:rFonts w:hint="eastAsia" w:ascii="仿宋_GB2312" w:hAnsi="仿宋" w:eastAsia="仿宋_GB2312" w:cs="仿宋"/>
          <w:color w:val="000000"/>
          <w:sz w:val="28"/>
          <w:szCs w:val="28"/>
        </w:rPr>
        <w:t>第八十一条  农村集体资产的管理主体</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般由农村集体经济组织代表集体对依法属于本集体所有的资产行使占有、使用、收益和处分的权利，管理集体资产，开发集体资源，发展集体经济，服务集体成员。未设立农村集体经济组织的，由村民委员会代行农村集体资产管理职能。</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644" w:name="第82条_农村集体经济组织章程内容"/>
      <w:bookmarkEnd w:id="644"/>
      <w:r>
        <w:rPr>
          <w:rFonts w:hint="eastAsia" w:ascii="仿宋_GB2312" w:hAnsi="仿宋" w:eastAsia="仿宋_GB2312" w:cs="仿宋"/>
          <w:color w:val="000000"/>
          <w:sz w:val="28"/>
          <w:szCs w:val="28"/>
        </w:rPr>
        <w:t>第八十二条  农村集体经济组织章程内容</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农村集体经济组织章程应当载明的事项</w:t>
      </w:r>
    </w:p>
    <w:p>
      <w:pPr>
        <w:pStyle w:val="25"/>
        <w:keepNext w:val="0"/>
        <w:keepLines w:val="0"/>
        <w:pageBreakBefore w:val="0"/>
        <w:widowControl w:val="0"/>
        <w:numPr>
          <w:ilvl w:val="0"/>
          <w:numId w:val="335"/>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名称和住所；</w:t>
      </w:r>
    </w:p>
    <w:p>
      <w:pPr>
        <w:pStyle w:val="25"/>
        <w:keepNext w:val="0"/>
        <w:keepLines w:val="0"/>
        <w:pageBreakBefore w:val="0"/>
        <w:widowControl w:val="0"/>
        <w:numPr>
          <w:ilvl w:val="0"/>
          <w:numId w:val="335"/>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职责范围；</w:t>
      </w:r>
    </w:p>
    <w:p>
      <w:pPr>
        <w:pStyle w:val="25"/>
        <w:keepNext w:val="0"/>
        <w:keepLines w:val="0"/>
        <w:pageBreakBefore w:val="0"/>
        <w:widowControl w:val="0"/>
        <w:numPr>
          <w:ilvl w:val="0"/>
          <w:numId w:val="335"/>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资产情况；</w:t>
      </w:r>
    </w:p>
    <w:p>
      <w:pPr>
        <w:pStyle w:val="25"/>
        <w:keepNext w:val="0"/>
        <w:keepLines w:val="0"/>
        <w:pageBreakBefore w:val="0"/>
        <w:widowControl w:val="0"/>
        <w:numPr>
          <w:ilvl w:val="0"/>
          <w:numId w:val="335"/>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成员身份取得、保留、丧失的条件和程序；</w:t>
      </w:r>
    </w:p>
    <w:p>
      <w:pPr>
        <w:pStyle w:val="25"/>
        <w:keepNext w:val="0"/>
        <w:keepLines w:val="0"/>
        <w:pageBreakBefore w:val="0"/>
        <w:widowControl w:val="0"/>
        <w:numPr>
          <w:ilvl w:val="0"/>
          <w:numId w:val="335"/>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成员权利与义务；</w:t>
      </w:r>
    </w:p>
    <w:p>
      <w:pPr>
        <w:pStyle w:val="25"/>
        <w:keepNext w:val="0"/>
        <w:keepLines w:val="0"/>
        <w:pageBreakBefore w:val="0"/>
        <w:widowControl w:val="0"/>
        <w:numPr>
          <w:ilvl w:val="0"/>
          <w:numId w:val="335"/>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组织机构及其议事规则；</w:t>
      </w:r>
    </w:p>
    <w:p>
      <w:pPr>
        <w:pStyle w:val="25"/>
        <w:keepNext w:val="0"/>
        <w:keepLines w:val="0"/>
        <w:pageBreakBefore w:val="0"/>
        <w:widowControl w:val="0"/>
        <w:numPr>
          <w:ilvl w:val="0"/>
          <w:numId w:val="335"/>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成员大会的组成以及成员代表大会代表的产生、更换的方式；</w:t>
      </w:r>
    </w:p>
    <w:p>
      <w:pPr>
        <w:pStyle w:val="25"/>
        <w:keepNext w:val="0"/>
        <w:keepLines w:val="0"/>
        <w:pageBreakBefore w:val="0"/>
        <w:widowControl w:val="0"/>
        <w:numPr>
          <w:ilvl w:val="0"/>
          <w:numId w:val="335"/>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财务管理制度；</w:t>
      </w:r>
    </w:p>
    <w:p>
      <w:pPr>
        <w:pStyle w:val="25"/>
        <w:keepNext w:val="0"/>
        <w:keepLines w:val="0"/>
        <w:pageBreakBefore w:val="0"/>
        <w:widowControl w:val="0"/>
        <w:numPr>
          <w:ilvl w:val="0"/>
          <w:numId w:val="335"/>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收益分配制度；</w:t>
      </w:r>
    </w:p>
    <w:p>
      <w:pPr>
        <w:pStyle w:val="25"/>
        <w:keepNext w:val="0"/>
        <w:keepLines w:val="0"/>
        <w:pageBreakBefore w:val="0"/>
        <w:widowControl w:val="0"/>
        <w:numPr>
          <w:ilvl w:val="0"/>
          <w:numId w:val="335"/>
        </w:numPr>
        <w:tabs>
          <w:tab w:val="left" w:pos="1523"/>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合并、分立、解散事宜；</w:t>
      </w:r>
    </w:p>
    <w:p>
      <w:pPr>
        <w:pStyle w:val="25"/>
        <w:keepNext w:val="0"/>
        <w:keepLines w:val="0"/>
        <w:pageBreakBefore w:val="0"/>
        <w:widowControl w:val="0"/>
        <w:numPr>
          <w:ilvl w:val="0"/>
          <w:numId w:val="335"/>
        </w:numPr>
        <w:tabs>
          <w:tab w:val="left" w:pos="1511"/>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章程修改程序；</w:t>
      </w:r>
    </w:p>
    <w:p>
      <w:pPr>
        <w:pStyle w:val="25"/>
        <w:keepNext w:val="0"/>
        <w:keepLines w:val="0"/>
        <w:pageBreakBefore w:val="0"/>
        <w:widowControl w:val="0"/>
        <w:numPr>
          <w:ilvl w:val="0"/>
          <w:numId w:val="335"/>
        </w:numPr>
        <w:tabs>
          <w:tab w:val="left" w:pos="1523"/>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公开制度；</w:t>
      </w:r>
    </w:p>
    <w:p>
      <w:pPr>
        <w:pStyle w:val="25"/>
        <w:keepNext w:val="0"/>
        <w:keepLines w:val="0"/>
        <w:pageBreakBefore w:val="0"/>
        <w:widowControl w:val="0"/>
        <w:numPr>
          <w:ilvl w:val="0"/>
          <w:numId w:val="335"/>
        </w:numPr>
        <w:tabs>
          <w:tab w:val="left" w:pos="1523"/>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其他有关事项。</w:t>
      </w:r>
    </w:p>
    <w:p>
      <w:pPr>
        <w:keepNext w:val="0"/>
        <w:keepLines w:val="0"/>
        <w:pageBreakBefore w:val="0"/>
        <w:widowControl w:val="0"/>
        <w:wordWrap/>
        <w:bidi w:val="0"/>
        <w:spacing w:after="0" w:line="500" w:lineRule="exact"/>
        <w:ind w:firstLine="562" w:firstLineChars="200"/>
        <w:jc w:val="both"/>
        <w:rPr>
          <w:rFonts w:hint="eastAsia" w:ascii="仿宋_GB2312" w:hAnsi="仿宋" w:eastAsia="仿宋_GB2312" w:cs="仿宋"/>
          <w:color w:val="000000"/>
          <w:sz w:val="28"/>
          <w:szCs w:val="28"/>
        </w:rPr>
      </w:pPr>
      <w:bookmarkStart w:id="645" w:name="第83条_农村集体经济组织成员"/>
      <w:bookmarkEnd w:id="645"/>
      <w:r>
        <w:rPr>
          <w:rFonts w:hint="eastAsia" w:ascii="仿宋_GB2312" w:hAnsi="仿宋" w:eastAsia="仿宋_GB2312" w:cs="仿宋"/>
          <w:b/>
          <w:color w:val="000000"/>
          <w:sz w:val="28"/>
          <w:szCs w:val="28"/>
        </w:rPr>
        <w:t>第八十三条  农村集体经济组织成员资格的</w:t>
      </w:r>
      <w:r>
        <w:rPr>
          <w:rFonts w:hint="eastAsia" w:ascii="仿宋_GB2312" w:hAnsi="仿宋" w:eastAsia="仿宋_GB2312" w:cs="仿宋"/>
          <w:b/>
          <w:bCs/>
          <w:color w:val="000000"/>
          <w:sz w:val="28"/>
          <w:szCs w:val="28"/>
        </w:rPr>
        <w:t>确认条件：</w:t>
      </w:r>
    </w:p>
    <w:p>
      <w:pPr>
        <w:pStyle w:val="25"/>
        <w:keepNext w:val="0"/>
        <w:keepLines w:val="0"/>
        <w:pageBreakBefore w:val="0"/>
        <w:widowControl w:val="0"/>
        <w:numPr>
          <w:ilvl w:val="0"/>
          <w:numId w:val="336"/>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农村土地二轮承包时取得土地承包经营权，且户口一直在本集体经济组织所在村（社区）的人员；</w:t>
      </w:r>
    </w:p>
    <w:p>
      <w:pPr>
        <w:pStyle w:val="25"/>
        <w:keepNext w:val="0"/>
        <w:keepLines w:val="0"/>
        <w:pageBreakBefore w:val="0"/>
        <w:widowControl w:val="0"/>
        <w:numPr>
          <w:ilvl w:val="0"/>
          <w:numId w:val="336"/>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父母双方或者一方为本集体经济组织成员，且户口一直在本集体经济组织所在村（社区）的人员；</w:t>
      </w:r>
    </w:p>
    <w:p>
      <w:pPr>
        <w:pStyle w:val="25"/>
        <w:keepNext w:val="0"/>
        <w:keepLines w:val="0"/>
        <w:pageBreakBefore w:val="0"/>
        <w:widowControl w:val="0"/>
        <w:numPr>
          <w:ilvl w:val="0"/>
          <w:numId w:val="336"/>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因合法的婚姻、收养关系，户口迁入本集体经济组织所在村（社区）的人员；</w:t>
      </w:r>
    </w:p>
    <w:p>
      <w:pPr>
        <w:pStyle w:val="25"/>
        <w:keepNext w:val="0"/>
        <w:keepLines w:val="0"/>
        <w:pageBreakBefore w:val="0"/>
        <w:widowControl w:val="0"/>
        <w:numPr>
          <w:ilvl w:val="0"/>
          <w:numId w:val="336"/>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根据国家移民政策，户口迁入本集体经济组织所在村（社区）的人员；原户口在本集体经济组织所在村（社区）的现役义务兵、符合国家有关规定的士官以及高等院校、中等职业技术学校的在校学生；</w:t>
      </w:r>
    </w:p>
    <w:p>
      <w:pPr>
        <w:pStyle w:val="25"/>
        <w:keepNext w:val="0"/>
        <w:keepLines w:val="0"/>
        <w:pageBreakBefore w:val="0"/>
        <w:widowControl w:val="0"/>
        <w:numPr>
          <w:ilvl w:val="0"/>
          <w:numId w:val="336"/>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原户口在本集体经济组织所在村（社区）的服刑人员；法律、法规、规章和章程规定的应当确认为集体经济组织成员的其他人员；</w:t>
      </w:r>
    </w:p>
    <w:p>
      <w:pPr>
        <w:pStyle w:val="25"/>
        <w:keepNext w:val="0"/>
        <w:keepLines w:val="0"/>
        <w:pageBreakBefore w:val="0"/>
        <w:widowControl w:val="0"/>
        <w:numPr>
          <w:ilvl w:val="0"/>
          <w:numId w:val="336"/>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符合章程规定的条件，经本集体经济组织成员（代表）大会表决通过。</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第八十四条  农村集体经济组织的组织机构</w:t>
      </w:r>
    </w:p>
    <w:p>
      <w:pPr>
        <w:pStyle w:val="7"/>
        <w:keepNext w:val="0"/>
        <w:keepLines w:val="0"/>
        <w:pageBreakBefore w:val="0"/>
        <w:widowControl w:val="0"/>
        <w:numPr>
          <w:ilvl w:val="0"/>
          <w:numId w:val="337"/>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农村集体经济组织的组织机构由成员大会或者成员代表大会、理事会、监事会组成。</w:t>
      </w:r>
    </w:p>
    <w:p>
      <w:pPr>
        <w:pStyle w:val="7"/>
        <w:keepNext w:val="0"/>
        <w:keepLines w:val="0"/>
        <w:pageBreakBefore w:val="0"/>
        <w:widowControl w:val="0"/>
        <w:numPr>
          <w:ilvl w:val="0"/>
          <w:numId w:val="337"/>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成员（代表）大会是农村集体经济组织的决策机构，决策的事项有：</w:t>
      </w:r>
    </w:p>
    <w:p>
      <w:pPr>
        <w:pStyle w:val="7"/>
        <w:keepNext w:val="0"/>
        <w:keepLines w:val="0"/>
        <w:pageBreakBefore w:val="0"/>
        <w:widowControl w:val="0"/>
        <w:numPr>
          <w:ilvl w:val="0"/>
          <w:numId w:val="338"/>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修改章程；</w:t>
      </w:r>
    </w:p>
    <w:p>
      <w:pPr>
        <w:pStyle w:val="25"/>
        <w:keepNext w:val="0"/>
        <w:keepLines w:val="0"/>
        <w:pageBreakBefore w:val="0"/>
        <w:widowControl w:val="0"/>
        <w:numPr>
          <w:ilvl w:val="0"/>
          <w:numId w:val="338"/>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农村集体经济组织的合并、分立、解散；</w:t>
      </w:r>
    </w:p>
    <w:p>
      <w:pPr>
        <w:pStyle w:val="25"/>
        <w:keepNext w:val="0"/>
        <w:keepLines w:val="0"/>
        <w:pageBreakBefore w:val="0"/>
        <w:widowControl w:val="0"/>
        <w:numPr>
          <w:ilvl w:val="0"/>
          <w:numId w:val="338"/>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农村集体经济组织股份合作制改革方案、土地承包方案、农村集体经济组织成员确认方案；</w:t>
      </w:r>
    </w:p>
    <w:p>
      <w:pPr>
        <w:pStyle w:val="25"/>
        <w:keepNext w:val="0"/>
        <w:keepLines w:val="0"/>
        <w:pageBreakBefore w:val="0"/>
        <w:widowControl w:val="0"/>
        <w:numPr>
          <w:ilvl w:val="0"/>
          <w:numId w:val="338"/>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集体土地征收或者征用补偿费等资金的分配方案、留用地使用方案；</w:t>
      </w:r>
    </w:p>
    <w:p>
      <w:pPr>
        <w:pStyle w:val="25"/>
        <w:keepNext w:val="0"/>
        <w:keepLines w:val="0"/>
        <w:pageBreakBefore w:val="0"/>
        <w:widowControl w:val="0"/>
        <w:numPr>
          <w:ilvl w:val="0"/>
          <w:numId w:val="338"/>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经济发展规划、生产经营计划、基本建设投资计划、年度财务预决算、收益分配方案；</w:t>
      </w:r>
    </w:p>
    <w:p>
      <w:pPr>
        <w:pStyle w:val="25"/>
        <w:keepNext w:val="0"/>
        <w:keepLines w:val="0"/>
        <w:pageBreakBefore w:val="0"/>
        <w:widowControl w:val="0"/>
        <w:numPr>
          <w:ilvl w:val="0"/>
          <w:numId w:val="338"/>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较大数额的资金使用、出借、举债或者担保；</w:t>
      </w:r>
    </w:p>
    <w:p>
      <w:pPr>
        <w:pStyle w:val="25"/>
        <w:keepNext w:val="0"/>
        <w:keepLines w:val="0"/>
        <w:pageBreakBefore w:val="0"/>
        <w:widowControl w:val="0"/>
        <w:numPr>
          <w:ilvl w:val="0"/>
          <w:numId w:val="338"/>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较大数额的债权债务核销；</w:t>
      </w:r>
    </w:p>
    <w:p>
      <w:pPr>
        <w:pStyle w:val="25"/>
        <w:keepNext w:val="0"/>
        <w:keepLines w:val="0"/>
        <w:pageBreakBefore w:val="0"/>
        <w:widowControl w:val="0"/>
        <w:numPr>
          <w:ilvl w:val="0"/>
          <w:numId w:val="338"/>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重大的集体资产产权变更；</w:t>
      </w:r>
    </w:p>
    <w:p>
      <w:pPr>
        <w:pStyle w:val="25"/>
        <w:keepNext w:val="0"/>
        <w:keepLines w:val="0"/>
        <w:pageBreakBefore w:val="0"/>
        <w:widowControl w:val="0"/>
        <w:numPr>
          <w:ilvl w:val="0"/>
          <w:numId w:val="338"/>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章程规定的其他事项。</w:t>
      </w:r>
    </w:p>
    <w:p>
      <w:pPr>
        <w:pStyle w:val="7"/>
        <w:keepNext w:val="0"/>
        <w:keepLines w:val="0"/>
        <w:pageBreakBefore w:val="0"/>
        <w:widowControl w:val="0"/>
        <w:numPr>
          <w:ilvl w:val="0"/>
          <w:numId w:val="339"/>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理事会是农村集体经济组织的执行机构，负责召集成员（代表） 大会，拟订提交成员（代表）大会讨论决定的重要事项方案，执行成员（代表）大会通过的决议，制定并执行内部管理制度，管理日常事务等工作。</w:t>
      </w:r>
    </w:p>
    <w:p>
      <w:pPr>
        <w:pStyle w:val="7"/>
        <w:keepNext w:val="0"/>
        <w:keepLines w:val="0"/>
        <w:pageBreakBefore w:val="0"/>
        <w:widowControl w:val="0"/>
        <w:numPr>
          <w:ilvl w:val="0"/>
          <w:numId w:val="339"/>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监事会是农村集体经济组织的监督机构，负责监督章程执行、成员（代表）大会决议执行、理事会的职责履行等，并组织开展民主理财，对农村集体资产经营管理和财务收支活动进行监督审查。</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646" w:name="第85条_农村集体经济组织的设立、解散"/>
      <w:bookmarkEnd w:id="646"/>
      <w:r>
        <w:rPr>
          <w:rFonts w:hint="eastAsia" w:ascii="仿宋_GB2312" w:hAnsi="仿宋" w:eastAsia="仿宋_GB2312" w:cs="仿宋"/>
          <w:color w:val="000000"/>
          <w:sz w:val="28"/>
          <w:szCs w:val="28"/>
        </w:rPr>
        <w:t>第八十五条  农村集体经济组织的设立、解散</w:t>
      </w:r>
    </w:p>
    <w:p>
      <w:pPr>
        <w:pStyle w:val="25"/>
        <w:keepNext w:val="0"/>
        <w:keepLines w:val="0"/>
        <w:pageBreakBefore w:val="0"/>
        <w:widowControl w:val="0"/>
        <w:numPr>
          <w:ilvl w:val="0"/>
          <w:numId w:val="0"/>
        </w:numPr>
        <w:tabs>
          <w:tab w:val="left" w:pos="1241"/>
        </w:tabs>
        <w:wordWrap/>
        <w:autoSpaceDE w:val="0"/>
        <w:autoSpaceDN w:val="0"/>
        <w:bidi w:val="0"/>
        <w:spacing w:line="500" w:lineRule="exact"/>
        <w:ind w:firstLine="562" w:firstLineChars="200"/>
        <w:jc w:val="both"/>
        <w:rPr>
          <w:rFonts w:hint="eastAsia" w:ascii="仿宋_GB2312" w:hAnsi="仿宋" w:eastAsia="仿宋_GB2312" w:cs="仿宋"/>
          <w:b/>
          <w:color w:val="000000"/>
          <w:sz w:val="28"/>
          <w:szCs w:val="28"/>
        </w:rPr>
      </w:pPr>
      <w:bookmarkStart w:id="647" w:name="85.1农村集体经济组织设立的条件"/>
      <w:bookmarkEnd w:id="647"/>
      <w:r>
        <w:rPr>
          <w:rFonts w:hint="eastAsia" w:ascii="仿宋_GB2312" w:hAnsi="仿宋" w:eastAsia="仿宋_GB2312" w:cs="仿宋"/>
          <w:b/>
          <w:color w:val="000000"/>
          <w:sz w:val="28"/>
          <w:szCs w:val="28"/>
        </w:rPr>
        <w:t>（一）农村集体经济组织设立的条件</w:t>
      </w:r>
    </w:p>
    <w:p>
      <w:pPr>
        <w:pStyle w:val="25"/>
        <w:keepNext w:val="0"/>
        <w:keepLines w:val="0"/>
        <w:pageBreakBefore w:val="0"/>
        <w:widowControl w:val="0"/>
        <w:numPr>
          <w:ilvl w:val="0"/>
          <w:numId w:val="340"/>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按照国家有关规定，在县级农业农村行政部门申请注册登记，获取《农村集体经济组织登证》；</w:t>
      </w:r>
    </w:p>
    <w:p>
      <w:pPr>
        <w:pStyle w:val="25"/>
        <w:keepNext w:val="0"/>
        <w:keepLines w:val="0"/>
        <w:pageBreakBefore w:val="0"/>
        <w:widowControl w:val="0"/>
        <w:numPr>
          <w:ilvl w:val="0"/>
          <w:numId w:val="340"/>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办理银行开户。</w:t>
      </w:r>
    </w:p>
    <w:p>
      <w:pPr>
        <w:pStyle w:val="5"/>
        <w:keepNext w:val="0"/>
        <w:keepLines w:val="0"/>
        <w:pageBreakBefore w:val="0"/>
        <w:widowControl w:val="0"/>
        <w:tabs>
          <w:tab w:val="left" w:pos="1241"/>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bookmarkStart w:id="648" w:name="85.2农村集体经济组织解散的情形"/>
      <w:bookmarkEnd w:id="648"/>
      <w:r>
        <w:rPr>
          <w:rFonts w:hint="eastAsia" w:ascii="仿宋_GB2312" w:hAnsi="仿宋" w:eastAsia="仿宋_GB2312" w:cs="仿宋"/>
          <w:color w:val="000000"/>
          <w:sz w:val="28"/>
          <w:szCs w:val="28"/>
        </w:rPr>
        <w:t>（二）农村集体经济组织解散的情形</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已撤村建居且同时符合下列条件的农村集体经济组织，可以提交成员（代表）大会表决解散事宜：</w:t>
      </w:r>
    </w:p>
    <w:p>
      <w:pPr>
        <w:pStyle w:val="25"/>
        <w:keepNext w:val="0"/>
        <w:keepLines w:val="0"/>
        <w:pageBreakBefore w:val="0"/>
        <w:widowControl w:val="0"/>
        <w:numPr>
          <w:ilvl w:val="0"/>
          <w:numId w:val="341"/>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本集体经济组织所有的土地全部被征收；</w:t>
      </w:r>
    </w:p>
    <w:p>
      <w:pPr>
        <w:pStyle w:val="25"/>
        <w:keepNext w:val="0"/>
        <w:keepLines w:val="0"/>
        <w:pageBreakBefore w:val="0"/>
        <w:widowControl w:val="0"/>
        <w:numPr>
          <w:ilvl w:val="0"/>
          <w:numId w:val="341"/>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本集体经济组织成员全部纳入城镇居民社会保障体系；</w:t>
      </w:r>
    </w:p>
    <w:p>
      <w:pPr>
        <w:pStyle w:val="25"/>
        <w:keepNext w:val="0"/>
        <w:keepLines w:val="0"/>
        <w:pageBreakBefore w:val="0"/>
        <w:widowControl w:val="0"/>
        <w:numPr>
          <w:ilvl w:val="0"/>
          <w:numId w:val="341"/>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农村社区全部划入城镇建成区，基本公共服务实现城乡一体化和均等化；</w:t>
      </w:r>
    </w:p>
    <w:p>
      <w:pPr>
        <w:pStyle w:val="25"/>
        <w:keepNext w:val="0"/>
        <w:keepLines w:val="0"/>
        <w:pageBreakBefore w:val="0"/>
        <w:widowControl w:val="0"/>
        <w:numPr>
          <w:ilvl w:val="0"/>
          <w:numId w:val="341"/>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不能继续按照合作机制或者股份合作机制运行；</w:t>
      </w:r>
    </w:p>
    <w:p>
      <w:pPr>
        <w:pStyle w:val="25"/>
        <w:keepNext w:val="0"/>
        <w:keepLines w:val="0"/>
        <w:pageBreakBefore w:val="0"/>
        <w:widowControl w:val="0"/>
        <w:numPr>
          <w:ilvl w:val="0"/>
          <w:numId w:val="341"/>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债权债务清理完毕；</w:t>
      </w:r>
    </w:p>
    <w:p>
      <w:pPr>
        <w:pStyle w:val="25"/>
        <w:keepNext w:val="0"/>
        <w:keepLines w:val="0"/>
        <w:pageBreakBefore w:val="0"/>
        <w:widowControl w:val="0"/>
        <w:numPr>
          <w:ilvl w:val="0"/>
          <w:numId w:val="341"/>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b/>
          <w:color w:val="000000"/>
          <w:sz w:val="28"/>
          <w:szCs w:val="28"/>
        </w:rPr>
      </w:pPr>
      <w:r>
        <w:rPr>
          <w:rFonts w:hint="eastAsia" w:ascii="仿宋_GB2312" w:hAnsi="仿宋" w:eastAsia="仿宋_GB2312" w:cs="仿宋"/>
          <w:color w:val="000000"/>
          <w:sz w:val="28"/>
          <w:szCs w:val="28"/>
        </w:rPr>
        <w:t>有经成员（代表）大会通过的资产处置方案。</w:t>
      </w:r>
      <w:bookmarkStart w:id="649" w:name="第86条_农村集体资产的范围"/>
      <w:bookmarkEnd w:id="649"/>
    </w:p>
    <w:p>
      <w:pPr>
        <w:pStyle w:val="25"/>
        <w:keepNext w:val="0"/>
        <w:keepLines w:val="0"/>
        <w:pageBreakBefore w:val="0"/>
        <w:widowControl w:val="0"/>
        <w:numPr>
          <w:ilvl w:val="0"/>
          <w:numId w:val="0"/>
        </w:numPr>
        <w:tabs>
          <w:tab w:val="left" w:pos="1382"/>
        </w:tabs>
        <w:wordWrap/>
        <w:autoSpaceDE w:val="0"/>
        <w:autoSpaceDN w:val="0"/>
        <w:bidi w:val="0"/>
        <w:spacing w:line="500" w:lineRule="exact"/>
        <w:ind w:firstLine="562" w:firstLineChars="200"/>
        <w:jc w:val="both"/>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第八十六条  农村集体资产的范围</w:t>
      </w:r>
    </w:p>
    <w:p>
      <w:pPr>
        <w:pStyle w:val="25"/>
        <w:keepNext w:val="0"/>
        <w:keepLines w:val="0"/>
        <w:pageBreakBefore w:val="0"/>
        <w:widowControl w:val="0"/>
        <w:numPr>
          <w:ilvl w:val="0"/>
          <w:numId w:val="342"/>
        </w:numPr>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依法属于集体所有的土地和森林、山岭、荒地、滩涂、水域等资源性资产；</w:t>
      </w:r>
    </w:p>
    <w:p>
      <w:pPr>
        <w:pStyle w:val="25"/>
        <w:keepNext w:val="0"/>
        <w:keepLines w:val="0"/>
        <w:pageBreakBefore w:val="0"/>
        <w:widowControl w:val="0"/>
        <w:numPr>
          <w:ilvl w:val="0"/>
          <w:numId w:val="342"/>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集体所有的用于生产经营的建筑物、构筑物、设施设备、库存物品、各种货币资产、集体投资兴办的企业及其所持有的其他经济组织的资产份额、无形资产等经营性资产；集体所有的用于公共服务的教育、科技、文化、卫生、体育等方面的非经营性资产；</w:t>
      </w:r>
    </w:p>
    <w:p>
      <w:pPr>
        <w:pStyle w:val="25"/>
        <w:keepNext w:val="0"/>
        <w:keepLines w:val="0"/>
        <w:pageBreakBefore w:val="0"/>
        <w:widowControl w:val="0"/>
        <w:numPr>
          <w:ilvl w:val="0"/>
          <w:numId w:val="342"/>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集体所有的其他有形和无形资产；</w:t>
      </w:r>
    </w:p>
    <w:p>
      <w:pPr>
        <w:pStyle w:val="25"/>
        <w:keepNext w:val="0"/>
        <w:keepLines w:val="0"/>
        <w:pageBreakBefore w:val="0"/>
        <w:widowControl w:val="0"/>
        <w:numPr>
          <w:ilvl w:val="0"/>
          <w:numId w:val="342"/>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通过接受政府拨款、减免税费和社会捐赠等途径所形成的资产。</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650" w:name="第87条_农村集体资产权属争议的解决方式"/>
      <w:bookmarkEnd w:id="650"/>
      <w:r>
        <w:rPr>
          <w:rFonts w:hint="eastAsia" w:ascii="仿宋_GB2312" w:hAnsi="仿宋" w:eastAsia="仿宋_GB2312" w:cs="仿宋"/>
          <w:color w:val="000000"/>
          <w:sz w:val="28"/>
          <w:szCs w:val="28"/>
        </w:rPr>
        <w:t>第八十七条  农村集体资产权属争议的解决方式</w:t>
      </w:r>
    </w:p>
    <w:p>
      <w:pPr>
        <w:pStyle w:val="25"/>
        <w:keepNext w:val="0"/>
        <w:keepLines w:val="0"/>
        <w:pageBreakBefore w:val="0"/>
        <w:widowControl w:val="0"/>
        <w:numPr>
          <w:ilvl w:val="0"/>
          <w:numId w:val="343"/>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当事人协商解决；</w:t>
      </w:r>
    </w:p>
    <w:p>
      <w:pPr>
        <w:pStyle w:val="25"/>
        <w:keepNext w:val="0"/>
        <w:keepLines w:val="0"/>
        <w:pageBreakBefore w:val="0"/>
        <w:widowControl w:val="0"/>
        <w:numPr>
          <w:ilvl w:val="0"/>
          <w:numId w:val="343"/>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协商不成的，可以向乡镇人民政府或者县级农村集体资产主管部门申请调解；</w:t>
      </w:r>
    </w:p>
    <w:p>
      <w:pPr>
        <w:pStyle w:val="25"/>
        <w:keepNext w:val="0"/>
        <w:keepLines w:val="0"/>
        <w:pageBreakBefore w:val="0"/>
        <w:widowControl w:val="0"/>
        <w:numPr>
          <w:ilvl w:val="0"/>
          <w:numId w:val="343"/>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诉讼解决。</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651" w:name="第88条_需要确定农村集体资产价值的，应当进行评估的情形"/>
      <w:bookmarkEnd w:id="651"/>
      <w:r>
        <w:rPr>
          <w:rFonts w:hint="eastAsia" w:ascii="仿宋_GB2312" w:hAnsi="仿宋" w:eastAsia="仿宋_GB2312" w:cs="仿宋"/>
          <w:color w:val="000000"/>
          <w:sz w:val="28"/>
          <w:szCs w:val="28"/>
        </w:rPr>
        <w:t>第八十八条  需要确定农村集体资产价值的，应当进行评估的情形</w:t>
      </w:r>
    </w:p>
    <w:p>
      <w:pPr>
        <w:pStyle w:val="25"/>
        <w:keepNext w:val="0"/>
        <w:keepLines w:val="0"/>
        <w:pageBreakBefore w:val="0"/>
        <w:widowControl w:val="0"/>
        <w:numPr>
          <w:ilvl w:val="0"/>
          <w:numId w:val="344"/>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以入股、合资、合作等方式经营农村集体资产的；</w:t>
      </w:r>
    </w:p>
    <w:p>
      <w:pPr>
        <w:pStyle w:val="25"/>
        <w:keepNext w:val="0"/>
        <w:keepLines w:val="0"/>
        <w:pageBreakBefore w:val="0"/>
        <w:widowControl w:val="0"/>
        <w:numPr>
          <w:ilvl w:val="0"/>
          <w:numId w:val="344"/>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转让农村集体资产的；</w:t>
      </w:r>
    </w:p>
    <w:p>
      <w:pPr>
        <w:pStyle w:val="25"/>
        <w:keepNext w:val="0"/>
        <w:keepLines w:val="0"/>
        <w:pageBreakBefore w:val="0"/>
        <w:widowControl w:val="0"/>
        <w:numPr>
          <w:ilvl w:val="0"/>
          <w:numId w:val="344"/>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因农村集体经济组织合并、分立需要调整农村集体资产权属的；</w:t>
      </w:r>
    </w:p>
    <w:p>
      <w:pPr>
        <w:pStyle w:val="25"/>
        <w:keepNext w:val="0"/>
        <w:keepLines w:val="0"/>
        <w:pageBreakBefore w:val="0"/>
        <w:widowControl w:val="0"/>
        <w:numPr>
          <w:ilvl w:val="0"/>
          <w:numId w:val="344"/>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因农村集体经济组织解散需要处置农村集体资产的；</w:t>
      </w:r>
    </w:p>
    <w:p>
      <w:pPr>
        <w:pStyle w:val="25"/>
        <w:keepNext w:val="0"/>
        <w:keepLines w:val="0"/>
        <w:pageBreakBefore w:val="0"/>
        <w:widowControl w:val="0"/>
        <w:numPr>
          <w:ilvl w:val="0"/>
          <w:numId w:val="344"/>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法律、法规规定需要进行农村集体资产评估的其他情形。</w:t>
      </w:r>
      <w:bookmarkStart w:id="652" w:name="（三）操作提示"/>
      <w:bookmarkEnd w:id="652"/>
      <w:bookmarkStart w:id="653" w:name="_bookmark49"/>
      <w:bookmarkEnd w:id="653"/>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bookmarkStart w:id="654" w:name="第89条_操作提示"/>
      <w:bookmarkEnd w:id="654"/>
      <w:r>
        <w:rPr>
          <w:rFonts w:hint="eastAsia" w:ascii="仿宋_GB2312" w:hAnsi="仿宋" w:eastAsia="仿宋_GB2312" w:cs="仿宋"/>
          <w:color w:val="000000"/>
          <w:sz w:val="28"/>
          <w:szCs w:val="28"/>
        </w:rPr>
        <w:t>第八十九条  农村集体资产管理业务操作提示</w:t>
      </w:r>
    </w:p>
    <w:p>
      <w:pPr>
        <w:pStyle w:val="25"/>
        <w:keepNext w:val="0"/>
        <w:keepLines w:val="0"/>
        <w:pageBreakBefore w:val="0"/>
        <w:widowControl w:val="0"/>
        <w:numPr>
          <w:ilvl w:val="0"/>
          <w:numId w:val="345"/>
        </w:numPr>
        <w:tabs>
          <w:tab w:val="left" w:pos="1241"/>
        </w:tabs>
        <w:wordWrap/>
        <w:autoSpaceDE w:val="0"/>
        <w:autoSpaceDN w:val="0"/>
        <w:bidi w:val="0"/>
        <w:spacing w:line="500" w:lineRule="exact"/>
        <w:ind w:firstLine="562" w:firstLineChars="200"/>
        <w:jc w:val="both"/>
        <w:rPr>
          <w:rFonts w:hint="eastAsia" w:ascii="仿宋_GB2312" w:hAnsi="仿宋" w:eastAsia="仿宋_GB2312" w:cs="仿宋"/>
          <w:color w:val="000000"/>
          <w:sz w:val="28"/>
          <w:szCs w:val="28"/>
        </w:rPr>
      </w:pPr>
      <w:bookmarkStart w:id="655" w:name="89.1律师受农村集体经济组织委托组建农村集体经济组织机构"/>
      <w:bookmarkEnd w:id="655"/>
      <w:r>
        <w:rPr>
          <w:rFonts w:hint="eastAsia" w:ascii="仿宋_GB2312" w:hAnsi="仿宋" w:eastAsia="仿宋_GB2312" w:cs="仿宋"/>
          <w:b/>
          <w:color w:val="000000"/>
          <w:sz w:val="28"/>
          <w:szCs w:val="28"/>
        </w:rPr>
        <w:t>律师受农村集体经济组织委托组建农村集体经济组织机构</w:t>
      </w:r>
    </w:p>
    <w:p>
      <w:pPr>
        <w:pStyle w:val="25"/>
        <w:keepNext w:val="0"/>
        <w:keepLines w:val="0"/>
        <w:pageBreakBefore w:val="0"/>
        <w:widowControl w:val="0"/>
        <w:numPr>
          <w:ilvl w:val="0"/>
          <w:numId w:val="0"/>
        </w:numPr>
        <w:tabs>
          <w:tab w:val="left" w:pos="1241"/>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理事会成员一般应当在本集体经济组织成员中选举产生。监事会成员应当在本集体经济组织成员中选举产生，其中应当有具备财务、管理知识的人员。农村集体经济组织的理事会成员与监事会成员不得互相兼任，财务会计人员及其近亲属、理事会成员近亲属不得担任监事会成员。</w:t>
      </w:r>
    </w:p>
    <w:p>
      <w:pPr>
        <w:pStyle w:val="5"/>
        <w:keepNext w:val="0"/>
        <w:keepLines w:val="0"/>
        <w:pageBreakBefore w:val="0"/>
        <w:widowControl w:val="0"/>
        <w:numPr>
          <w:ilvl w:val="0"/>
          <w:numId w:val="345"/>
        </w:numPr>
        <w:tabs>
          <w:tab w:val="left" w:pos="1311"/>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bookmarkStart w:id="656" w:name="89.2_律师在办理农村集体资产产权交易业务注意事项"/>
      <w:bookmarkEnd w:id="656"/>
      <w:r>
        <w:rPr>
          <w:rFonts w:hint="eastAsia" w:ascii="仿宋_GB2312" w:hAnsi="仿宋" w:eastAsia="仿宋_GB2312" w:cs="仿宋"/>
          <w:color w:val="000000"/>
          <w:sz w:val="28"/>
          <w:szCs w:val="28"/>
        </w:rPr>
        <w:t>律师在办理农村集体资产产权交易业务注意事项</w:t>
      </w:r>
    </w:p>
    <w:p>
      <w:pPr>
        <w:pStyle w:val="25"/>
        <w:keepNext w:val="0"/>
        <w:keepLines w:val="0"/>
        <w:pageBreakBefore w:val="0"/>
        <w:widowControl w:val="0"/>
        <w:numPr>
          <w:ilvl w:val="0"/>
          <w:numId w:val="346"/>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本次农村产权交易的内容、权限；</w:t>
      </w:r>
    </w:p>
    <w:p>
      <w:pPr>
        <w:pStyle w:val="25"/>
        <w:keepNext w:val="0"/>
        <w:keepLines w:val="0"/>
        <w:pageBreakBefore w:val="0"/>
        <w:widowControl w:val="0"/>
        <w:numPr>
          <w:ilvl w:val="0"/>
          <w:numId w:val="346"/>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交易的流程包括交易登记、交易公告、交易报名、交易竞价、合同管理阶段；</w:t>
      </w:r>
    </w:p>
    <w:p>
      <w:pPr>
        <w:pStyle w:val="25"/>
        <w:keepNext w:val="0"/>
        <w:keepLines w:val="0"/>
        <w:pageBreakBefore w:val="0"/>
        <w:widowControl w:val="0"/>
        <w:numPr>
          <w:ilvl w:val="0"/>
          <w:numId w:val="346"/>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熟悉产权交易的相关政策；</w:t>
      </w:r>
    </w:p>
    <w:p>
      <w:pPr>
        <w:pStyle w:val="25"/>
        <w:keepNext w:val="0"/>
        <w:keepLines w:val="0"/>
        <w:pageBreakBefore w:val="0"/>
        <w:widowControl w:val="0"/>
        <w:numPr>
          <w:ilvl w:val="0"/>
          <w:numId w:val="346"/>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把握好交易的时间节点，新项目从双方洽谈到合同签订必须预留半个月的时间，老项目在原合同到期前一个月必须开始着手准备资料；</w:t>
      </w:r>
    </w:p>
    <w:p>
      <w:pPr>
        <w:pStyle w:val="25"/>
        <w:keepNext w:val="0"/>
        <w:keepLines w:val="0"/>
        <w:pageBreakBefore w:val="0"/>
        <w:widowControl w:val="0"/>
        <w:numPr>
          <w:ilvl w:val="0"/>
          <w:numId w:val="346"/>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必须准备好交易资料；</w:t>
      </w:r>
    </w:p>
    <w:p>
      <w:pPr>
        <w:pStyle w:val="25"/>
        <w:keepNext w:val="0"/>
        <w:keepLines w:val="0"/>
        <w:pageBreakBefore w:val="0"/>
        <w:widowControl w:val="0"/>
        <w:numPr>
          <w:ilvl w:val="0"/>
          <w:numId w:val="346"/>
        </w:numPr>
        <w:tabs>
          <w:tab w:val="left" w:pos="1382"/>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执行好交易要求。</w:t>
      </w:r>
    </w:p>
    <w:p>
      <w:pPr>
        <w:pStyle w:val="5"/>
        <w:keepNext w:val="0"/>
        <w:keepLines w:val="0"/>
        <w:pageBreakBefore w:val="0"/>
        <w:widowControl w:val="0"/>
        <w:tabs>
          <w:tab w:val="left" w:pos="1311"/>
        </w:tabs>
        <w:wordWrap/>
        <w:autoSpaceDE w:val="0"/>
        <w:autoSpaceDN w:val="0"/>
        <w:bidi w:val="0"/>
        <w:spacing w:before="0" w:after="0" w:line="500" w:lineRule="exact"/>
        <w:ind w:firstLine="562" w:firstLineChars="200"/>
        <w:rPr>
          <w:rFonts w:hint="eastAsia" w:ascii="仿宋_GB2312" w:hAnsi="仿宋" w:eastAsia="仿宋_GB2312" w:cs="仿宋"/>
          <w:color w:val="000000"/>
          <w:sz w:val="28"/>
          <w:szCs w:val="28"/>
        </w:rPr>
      </w:pPr>
      <w:bookmarkStart w:id="657" w:name="89.3_律师作为农村集体经济组织法律顾问注意事项"/>
      <w:bookmarkEnd w:id="657"/>
      <w:r>
        <w:rPr>
          <w:rFonts w:hint="eastAsia" w:ascii="仿宋_GB2312" w:hAnsi="仿宋" w:eastAsia="仿宋_GB2312" w:cs="仿宋"/>
          <w:color w:val="000000"/>
          <w:sz w:val="28"/>
          <w:szCs w:val="28"/>
        </w:rPr>
        <w:t>（三）律师作为农村集体经济组织法律顾问注意事项</w:t>
      </w:r>
    </w:p>
    <w:p>
      <w:pPr>
        <w:pStyle w:val="25"/>
        <w:keepNext w:val="0"/>
        <w:keepLines w:val="0"/>
        <w:pageBreakBefore w:val="0"/>
        <w:widowControl w:val="0"/>
        <w:numPr>
          <w:ilvl w:val="0"/>
          <w:numId w:val="347"/>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了解委托方的农村集体资产经营方式，根据委托方的农村集体资产的经营方式帮助委托方制定农村集体经济建立和完善农村集体资产经营管理、资产保值增值、责任考核和风险控制等制度；</w:t>
      </w:r>
    </w:p>
    <w:p>
      <w:pPr>
        <w:pStyle w:val="25"/>
        <w:keepNext w:val="0"/>
        <w:keepLines w:val="0"/>
        <w:pageBreakBefore w:val="0"/>
        <w:widowControl w:val="0"/>
        <w:numPr>
          <w:ilvl w:val="0"/>
          <w:numId w:val="347"/>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农村集体资产由委托方直接经营的，应提醒委托方明确经营管理责任人的责任和经营目标，确定决策机制、监管机制和收益分配制度，并向本集体经济组织成员公开；</w:t>
      </w:r>
    </w:p>
    <w:p>
      <w:pPr>
        <w:pStyle w:val="25"/>
        <w:keepNext w:val="0"/>
        <w:keepLines w:val="0"/>
        <w:pageBreakBefore w:val="0"/>
        <w:widowControl w:val="0"/>
        <w:numPr>
          <w:ilvl w:val="0"/>
          <w:numId w:val="347"/>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农村集体资产实行承包、租赁经营的，依法签订合同，应提醒委托方明确资产名称、数量、用途和承包、租赁的价格、期限等，并向本集体经济组织成员公开。收取的承包费和租金归集体所有，应当及时入账核算；</w:t>
      </w:r>
    </w:p>
    <w:p>
      <w:pPr>
        <w:pStyle w:val="7"/>
        <w:keepNext w:val="0"/>
        <w:keepLines w:val="0"/>
        <w:pageBreakBefore w:val="0"/>
        <w:widowControl w:val="0"/>
        <w:numPr>
          <w:ilvl w:val="0"/>
          <w:numId w:val="347"/>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提醒委托方对其独资、控股、参股的企业或者其他经济组织，应当通过制定、参与制定该企业或者其他经济组织章程的方式，建立权责明确的内部监督管理和风险控制制度，维护本集体经济组织及其成员的权益；</w:t>
      </w:r>
    </w:p>
    <w:p>
      <w:pPr>
        <w:pStyle w:val="25"/>
        <w:keepNext w:val="0"/>
        <w:keepLines w:val="0"/>
        <w:pageBreakBefore w:val="0"/>
        <w:widowControl w:val="0"/>
        <w:numPr>
          <w:ilvl w:val="0"/>
          <w:numId w:val="347"/>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提醒委托方加强债权债务管理，严格控制债务规模，定期向本集体经济组织成员公开债权债务情况；</w:t>
      </w:r>
    </w:p>
    <w:p>
      <w:pPr>
        <w:pStyle w:val="25"/>
        <w:keepNext w:val="0"/>
        <w:keepLines w:val="0"/>
        <w:pageBreakBefore w:val="0"/>
        <w:widowControl w:val="0"/>
        <w:numPr>
          <w:ilvl w:val="0"/>
          <w:numId w:val="347"/>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农村集体经济组织及其管理人员，不能以农村集体资产为其他单位或者个人的债务提供担保；</w:t>
      </w:r>
    </w:p>
    <w:p>
      <w:pPr>
        <w:pStyle w:val="25"/>
        <w:keepNext w:val="0"/>
        <w:keepLines w:val="0"/>
        <w:pageBreakBefore w:val="0"/>
        <w:widowControl w:val="0"/>
        <w:numPr>
          <w:ilvl w:val="0"/>
          <w:numId w:val="347"/>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提醒委托方按照章程规定，从当年的净收益中提取一定比例的公积金、公益金后，进行收益分配，不能直接进行收益分配；</w:t>
      </w:r>
    </w:p>
    <w:p>
      <w:pPr>
        <w:pStyle w:val="25"/>
        <w:keepNext w:val="0"/>
        <w:keepLines w:val="0"/>
        <w:pageBreakBefore w:val="0"/>
        <w:widowControl w:val="0"/>
        <w:numPr>
          <w:ilvl w:val="0"/>
          <w:numId w:val="347"/>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提醒委托方进行农村集体资产流转交易时应当进入农村产权流转交易市场，并按照相关规定执行；</w:t>
      </w:r>
    </w:p>
    <w:p>
      <w:pPr>
        <w:pStyle w:val="25"/>
        <w:keepNext w:val="0"/>
        <w:keepLines w:val="0"/>
        <w:pageBreakBefore w:val="0"/>
        <w:widowControl w:val="0"/>
        <w:numPr>
          <w:ilvl w:val="0"/>
          <w:numId w:val="347"/>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提醒委托方只能开设一个基本存款账户，用于办理日常转账结算和现金收付；除土地补偿费专门账户外，不得开设其他专用或者临时账户，国家禁止多头开户；</w:t>
      </w:r>
    </w:p>
    <w:p>
      <w:pPr>
        <w:pStyle w:val="25"/>
        <w:keepNext w:val="0"/>
        <w:keepLines w:val="0"/>
        <w:pageBreakBefore w:val="0"/>
        <w:widowControl w:val="0"/>
        <w:numPr>
          <w:ilvl w:val="0"/>
          <w:numId w:val="347"/>
        </w:numPr>
        <w:tabs>
          <w:tab w:val="left" w:pos="1523"/>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折股量化到农村集体经济组织成员的农村集体资产股份，作为成员参与集体收益分配的依据；</w:t>
      </w:r>
    </w:p>
    <w:p>
      <w:pPr>
        <w:pStyle w:val="25"/>
        <w:keepNext w:val="0"/>
        <w:keepLines w:val="0"/>
        <w:pageBreakBefore w:val="0"/>
        <w:widowControl w:val="0"/>
        <w:numPr>
          <w:ilvl w:val="0"/>
          <w:numId w:val="347"/>
        </w:numPr>
        <w:tabs>
          <w:tab w:val="left" w:pos="1511"/>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农村集体资产股份可以在本集体经济组织成员之间转让， 也可以由本集体经济组织赎回，但不得向本集体经济组织成员之外的人员转让；</w:t>
      </w:r>
    </w:p>
    <w:p>
      <w:pPr>
        <w:pStyle w:val="25"/>
        <w:keepNext w:val="0"/>
        <w:keepLines w:val="0"/>
        <w:pageBreakBefore w:val="0"/>
        <w:widowControl w:val="0"/>
        <w:numPr>
          <w:ilvl w:val="0"/>
          <w:numId w:val="347"/>
        </w:numPr>
        <w:tabs>
          <w:tab w:val="left" w:pos="1523"/>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农村集体资产股份可以依法继承。本集体经济组织成员之外的人员通过继承取得股份的，不享有表决权，但章程另有规定的除外；</w:t>
      </w:r>
    </w:p>
    <w:p>
      <w:pPr>
        <w:pStyle w:val="7"/>
        <w:keepNext w:val="0"/>
        <w:keepLines w:val="0"/>
        <w:pageBreakBefore w:val="0"/>
        <w:widowControl w:val="0"/>
        <w:numPr>
          <w:ilvl w:val="0"/>
          <w:numId w:val="347"/>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村（社区）股份经济合作社每个农户家庭通过量化或者转让、继承等方式持有的农村集体资产股份，占本集体经济组织总股份的比例不得超过章程规定的最高比例。本条例施行前农户家庭持有股份已经超过规定比例的部分可以继续持有，但不得再增加持有的比例。法律、行政法规另有规定的，从其规定。</w:t>
      </w:r>
    </w:p>
    <w:p>
      <w:pPr>
        <w:pStyle w:val="25"/>
        <w:keepNext w:val="0"/>
        <w:keepLines w:val="0"/>
        <w:pageBreakBefore w:val="0"/>
        <w:widowControl w:val="0"/>
        <w:numPr>
          <w:ilvl w:val="0"/>
          <w:numId w:val="347"/>
        </w:numPr>
        <w:tabs>
          <w:tab w:val="left" w:pos="1523"/>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农村集体经济组织成员享有的股份，应当以农户家庭为单位记载。</w:t>
      </w:r>
    </w:p>
    <w:p>
      <w:pPr>
        <w:pStyle w:val="25"/>
        <w:keepNext w:val="0"/>
        <w:keepLines w:val="0"/>
        <w:pageBreakBefore w:val="0"/>
        <w:widowControl w:val="0"/>
        <w:numPr>
          <w:ilvl w:val="0"/>
          <w:numId w:val="347"/>
        </w:numPr>
        <w:tabs>
          <w:tab w:val="left" w:pos="1523"/>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农户家庭的股份总额一般不随户内人口增减而调整。</w:t>
      </w:r>
    </w:p>
    <w:p>
      <w:pPr>
        <w:pStyle w:val="5"/>
        <w:keepNext w:val="0"/>
        <w:keepLines w:val="0"/>
        <w:pageBreakBefore w:val="0"/>
        <w:widowControl w:val="0"/>
        <w:tabs>
          <w:tab w:val="left" w:pos="1241"/>
        </w:tabs>
        <w:wordWrap/>
        <w:autoSpaceDE w:val="0"/>
        <w:autoSpaceDN w:val="0"/>
        <w:bidi w:val="0"/>
        <w:spacing w:before="0" w:after="0" w:line="500" w:lineRule="exact"/>
        <w:ind w:firstLine="562" w:firstLineChars="200"/>
        <w:rPr>
          <w:rFonts w:hint="eastAsia" w:ascii="仿宋_GB2312" w:hAnsi="仿宋" w:eastAsia="仿宋_GB2312" w:cs="仿宋"/>
          <w:color w:val="000000"/>
          <w:spacing w:val="-6"/>
          <w:sz w:val="28"/>
          <w:szCs w:val="28"/>
        </w:rPr>
      </w:pPr>
      <w:bookmarkStart w:id="658" w:name="89.4律师办理农村集体经济组织成员身份确认案件注意事项"/>
      <w:bookmarkEnd w:id="658"/>
      <w:r>
        <w:rPr>
          <w:rFonts w:hint="eastAsia" w:ascii="仿宋_GB2312" w:hAnsi="仿宋" w:eastAsia="仿宋_GB2312" w:cs="仿宋"/>
          <w:color w:val="000000"/>
          <w:sz w:val="28"/>
          <w:szCs w:val="28"/>
        </w:rPr>
        <w:t>（四）</w:t>
      </w:r>
      <w:r>
        <w:rPr>
          <w:rFonts w:hint="eastAsia" w:ascii="仿宋_GB2312" w:hAnsi="仿宋" w:eastAsia="仿宋_GB2312" w:cs="仿宋"/>
          <w:color w:val="000000"/>
          <w:spacing w:val="-6"/>
          <w:sz w:val="28"/>
          <w:szCs w:val="28"/>
        </w:rPr>
        <w:t>律师办理农村集体经济组织成员身份确认案件注意事项</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lang w:eastAsia="zh-CN"/>
        </w:rPr>
      </w:pPr>
      <w:r>
        <w:rPr>
          <w:rFonts w:hint="eastAsia" w:ascii="仿宋_GB2312" w:hAnsi="仿宋" w:eastAsia="仿宋_GB2312" w:cs="仿宋"/>
          <w:color w:val="000000"/>
          <w:sz w:val="28"/>
          <w:szCs w:val="28"/>
        </w:rPr>
        <w:t>应当按照尊重历史、兼顾现实、程序规范、资格唯一、群众认可、公开透明的原则，从审查章程规定，统筹考虑户籍、农村土地承包关系、对集体积累的贡献、生产生活情况等因素入手进行辩论。</w:t>
      </w:r>
    </w:p>
    <w:p>
      <w:pPr>
        <w:pStyle w:val="2"/>
        <w:keepNext w:val="0"/>
        <w:keepLines w:val="0"/>
        <w:pageBreakBefore w:val="0"/>
        <w:widowControl w:val="0"/>
        <w:wordWrap/>
        <w:bidi w:val="0"/>
        <w:spacing w:before="0" w:after="0" w:line="500" w:lineRule="exact"/>
        <w:jc w:val="center"/>
        <w:rPr>
          <w:rFonts w:hint="eastAsia" w:ascii="楷体" w:hAnsi="楷体" w:eastAsia="楷体" w:cs="楷体"/>
          <w:color w:val="000000"/>
          <w:sz w:val="28"/>
          <w:szCs w:val="28"/>
        </w:rPr>
      </w:pPr>
      <w:bookmarkStart w:id="659" w:name="_Toc30317"/>
      <w:r>
        <w:rPr>
          <w:rFonts w:hint="eastAsia" w:ascii="楷体" w:hAnsi="楷体" w:eastAsia="楷体" w:cs="楷体"/>
          <w:color w:val="000000"/>
          <w:sz w:val="28"/>
          <w:szCs w:val="28"/>
        </w:rPr>
        <w:t>第十二节  律师办理集体产权制度改革业务操作指引</w:t>
      </w:r>
      <w:bookmarkEnd w:id="659"/>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第九十条  主要概念</w:t>
      </w:r>
    </w:p>
    <w:p>
      <w:pPr>
        <w:pStyle w:val="5"/>
        <w:keepNext w:val="0"/>
        <w:keepLines w:val="0"/>
        <w:pageBreakBefore w:val="0"/>
        <w:widowControl w:val="0"/>
        <w:numPr>
          <w:ilvl w:val="0"/>
          <w:numId w:val="348"/>
        </w:numPr>
        <w:wordWrap/>
        <w:bidi w:val="0"/>
        <w:spacing w:before="0" w:after="0" w:line="500" w:lineRule="exact"/>
        <w:ind w:firstLine="56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bidi="zh-CN"/>
        </w:rPr>
        <w:t>农村集体经济组织产权制度改革</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指集体经济组织在坚持农民集体所有的前提下，按照股份合作制的原则，将集体资产折股量化到人，由农民共同共有的产权制度转变为农民按份共有的产权制度，农民变股民，按份享受集体资产收益的分配制度。 </w:t>
      </w:r>
    </w:p>
    <w:p>
      <w:pPr>
        <w:pStyle w:val="5"/>
        <w:keepNext w:val="0"/>
        <w:keepLines w:val="0"/>
        <w:pageBreakBefore w:val="0"/>
        <w:widowControl w:val="0"/>
        <w:numPr>
          <w:ilvl w:val="0"/>
          <w:numId w:val="348"/>
        </w:numPr>
        <w:wordWrap/>
        <w:bidi w:val="0"/>
        <w:spacing w:before="0" w:after="0" w:line="500" w:lineRule="exact"/>
        <w:ind w:firstLine="56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集体经济组织成员</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指在该集体经济组织生产，或生活在该组织，与该集体经济组织发生权利、义务的人。</w:t>
      </w:r>
    </w:p>
    <w:p>
      <w:pPr>
        <w:pStyle w:val="5"/>
        <w:keepNext w:val="0"/>
        <w:keepLines w:val="0"/>
        <w:pageBreakBefore w:val="0"/>
        <w:widowControl w:val="0"/>
        <w:numPr>
          <w:ilvl w:val="0"/>
          <w:numId w:val="348"/>
        </w:numPr>
        <w:wordWrap/>
        <w:bidi w:val="0"/>
        <w:spacing w:before="0" w:after="0" w:line="500" w:lineRule="exact"/>
        <w:ind w:firstLine="56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村股份经济合作社</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指由乡镇（街道）原村经济合作社根据社员大会（社员代表大会）讨论决定，将集体经营性净资产折股量化改制而成，是以资产为纽带、股东为成员的综合性（社区性）农村集体经济组织。</w:t>
      </w:r>
    </w:p>
    <w:p>
      <w:pPr>
        <w:pStyle w:val="5"/>
        <w:keepNext w:val="0"/>
        <w:keepLines w:val="0"/>
        <w:pageBreakBefore w:val="0"/>
        <w:widowControl w:val="0"/>
        <w:numPr>
          <w:ilvl w:val="0"/>
          <w:numId w:val="348"/>
        </w:numPr>
        <w:wordWrap/>
        <w:bidi w:val="0"/>
        <w:spacing w:before="0" w:after="0" w:line="500" w:lineRule="exact"/>
        <w:ind w:firstLine="56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折股量化</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指资产量化的一种方式，将资产的价值折成一定的股份，每股对应一定数量的资产价值，再将股份量化到成员个人，每个成员通过持有集体的股权来享有集体资产的收益，即通常所说的按股共有。</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第九十一条  集体经济组织成员认定条件</w:t>
      </w:r>
    </w:p>
    <w:p>
      <w:pPr>
        <w:pStyle w:val="7"/>
        <w:keepNext w:val="0"/>
        <w:keepLines w:val="0"/>
        <w:pageBreakBefore w:val="0"/>
        <w:widowControl w:val="0"/>
        <w:numPr>
          <w:ilvl w:val="0"/>
          <w:numId w:val="349"/>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属于上世纪五十年代创设农业合作社的入社成员及《中华人民共和国村民委员会组织法》施行前加入农业合作社的成员；</w:t>
      </w:r>
    </w:p>
    <w:p>
      <w:pPr>
        <w:pStyle w:val="7"/>
        <w:keepNext w:val="0"/>
        <w:keepLines w:val="0"/>
        <w:pageBreakBefore w:val="0"/>
        <w:widowControl w:val="0"/>
        <w:numPr>
          <w:ilvl w:val="0"/>
          <w:numId w:val="349"/>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父母双方或一方具有本村集体经济组织成员资格，符合国家有关计划生育政策所生的、或依法收养的、或依法负有抚养义务的子女、养子女或继子女；</w:t>
      </w:r>
    </w:p>
    <w:p>
      <w:pPr>
        <w:pStyle w:val="7"/>
        <w:keepNext w:val="0"/>
        <w:keepLines w:val="0"/>
        <w:pageBreakBefore w:val="0"/>
        <w:widowControl w:val="0"/>
        <w:numPr>
          <w:ilvl w:val="0"/>
          <w:numId w:val="349"/>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与本村集体经济组织男性成员依法结婚的其他村集体经济组织的女性配偶；</w:t>
      </w:r>
    </w:p>
    <w:p>
      <w:pPr>
        <w:pStyle w:val="7"/>
        <w:keepNext w:val="0"/>
        <w:keepLines w:val="0"/>
        <w:pageBreakBefore w:val="0"/>
        <w:widowControl w:val="0"/>
        <w:numPr>
          <w:ilvl w:val="0"/>
          <w:numId w:val="349"/>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本村集体经济组织女性与本村集体经济组织男性成员结婚后离婚，户口未迁出的本村集体经济组织女性；</w:t>
      </w:r>
    </w:p>
    <w:p>
      <w:pPr>
        <w:pStyle w:val="7"/>
        <w:keepNext w:val="0"/>
        <w:keepLines w:val="0"/>
        <w:pageBreakBefore w:val="0"/>
        <w:widowControl w:val="0"/>
        <w:numPr>
          <w:ilvl w:val="0"/>
          <w:numId w:val="349"/>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与本村集体经济组织独生女依法结婚的其他村集体经济组织的男性配偶（入赘女婿）；</w:t>
      </w:r>
    </w:p>
    <w:p>
      <w:pPr>
        <w:pStyle w:val="7"/>
        <w:keepNext w:val="0"/>
        <w:keepLines w:val="0"/>
        <w:pageBreakBefore w:val="0"/>
        <w:widowControl w:val="0"/>
        <w:numPr>
          <w:ilvl w:val="0"/>
          <w:numId w:val="349"/>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本村集体经济组织成员娶进外村的女性媳妇或招赘女婿，在丧偶后仍在本村集体经济组织生产、生活，且未享有嫁出地集体经济组织集体资产利用权及利益分配权等权益的；</w:t>
      </w:r>
    </w:p>
    <w:p>
      <w:pPr>
        <w:pStyle w:val="25"/>
        <w:keepNext w:val="0"/>
        <w:keepLines w:val="0"/>
        <w:pageBreakBefore w:val="0"/>
        <w:widowControl w:val="0"/>
        <w:numPr>
          <w:ilvl w:val="0"/>
          <w:numId w:val="349"/>
        </w:numPr>
        <w:tabs>
          <w:tab w:val="left" w:pos="1386"/>
        </w:tabs>
        <w:wordWrap/>
        <w:autoSpaceDE w:val="0"/>
        <w:autoSpaceDN w:val="0"/>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bidi="zh-CN"/>
        </w:rPr>
        <w:t>本条第1、2、3、4、5、6款人员违反计划生育政策所生，但在基准日前已经接受计划生育部门或有关主管部门处罚并按规定履行完毕的子女。</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第九十二条  非集体经济组织成员认定条件</w:t>
      </w:r>
    </w:p>
    <w:p>
      <w:pPr>
        <w:pStyle w:val="7"/>
        <w:keepNext w:val="0"/>
        <w:keepLines w:val="0"/>
        <w:pageBreakBefore w:val="0"/>
        <w:widowControl w:val="0"/>
        <w:numPr>
          <w:ilvl w:val="0"/>
          <w:numId w:val="350"/>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以“寄户”形式落户，未在本集体经济组织固定生产生活的（指因投靠亲友、读书、工作、购房等原因将户口迁至本村的人员）；</w:t>
      </w:r>
    </w:p>
    <w:p>
      <w:pPr>
        <w:pStyle w:val="7"/>
        <w:keepNext w:val="0"/>
        <w:keepLines w:val="0"/>
        <w:pageBreakBefore w:val="0"/>
        <w:widowControl w:val="0"/>
        <w:numPr>
          <w:ilvl w:val="0"/>
          <w:numId w:val="350"/>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已纳入公务员序列、事业单位、国有企业、集体企业正式编制内的在职干部职工；</w:t>
      </w:r>
    </w:p>
    <w:p>
      <w:pPr>
        <w:pStyle w:val="7"/>
        <w:keepNext w:val="0"/>
        <w:keepLines w:val="0"/>
        <w:pageBreakBefore w:val="0"/>
        <w:widowControl w:val="0"/>
        <w:numPr>
          <w:ilvl w:val="0"/>
          <w:numId w:val="350"/>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享有退休人员的工资及各项福利待遇，在基准日前将户籍迁入本村的回乡退养人员；</w:t>
      </w:r>
    </w:p>
    <w:p>
      <w:pPr>
        <w:pStyle w:val="7"/>
        <w:keepNext w:val="0"/>
        <w:keepLines w:val="0"/>
        <w:pageBreakBefore w:val="0"/>
        <w:widowControl w:val="0"/>
        <w:numPr>
          <w:ilvl w:val="0"/>
          <w:numId w:val="350"/>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基准日前，原本村村民移居海外（包括港澳台地区），并取得所移居国家或地区永久居留权或国籍，但未注销户口的；</w:t>
      </w:r>
    </w:p>
    <w:p>
      <w:pPr>
        <w:pStyle w:val="7"/>
        <w:keepNext w:val="0"/>
        <w:keepLines w:val="0"/>
        <w:pageBreakBefore w:val="0"/>
        <w:widowControl w:val="0"/>
        <w:numPr>
          <w:ilvl w:val="0"/>
          <w:numId w:val="350"/>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截止基准日时已连续下落不明达4年以上的本村村民；</w:t>
      </w:r>
    </w:p>
    <w:p>
      <w:pPr>
        <w:pStyle w:val="7"/>
        <w:keepNext w:val="0"/>
        <w:keepLines w:val="0"/>
        <w:pageBreakBefore w:val="0"/>
        <w:widowControl w:val="0"/>
        <w:numPr>
          <w:ilvl w:val="0"/>
          <w:numId w:val="350"/>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已死亡或符合法律规定的宣告死亡条件，但尚未注销户口的。</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第九十三条  集体经济组织成员资格丧失</w:t>
      </w:r>
    </w:p>
    <w:p>
      <w:pPr>
        <w:pStyle w:val="7"/>
        <w:keepNext w:val="0"/>
        <w:keepLines w:val="0"/>
        <w:pageBreakBefore w:val="0"/>
        <w:widowControl w:val="0"/>
        <w:numPr>
          <w:ilvl w:val="0"/>
          <w:numId w:val="351"/>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死亡（包括自然死亡和宣告死亡），自死亡时丧失；</w:t>
      </w:r>
    </w:p>
    <w:p>
      <w:pPr>
        <w:pStyle w:val="7"/>
        <w:keepNext w:val="0"/>
        <w:keepLines w:val="0"/>
        <w:pageBreakBefore w:val="0"/>
        <w:widowControl w:val="0"/>
        <w:numPr>
          <w:ilvl w:val="0"/>
          <w:numId w:val="351"/>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以书面形式向本集体经济组织递交并经公告，自愿放弃本村集体经济组织成员资格的，自公告之日起丧失；</w:t>
      </w:r>
    </w:p>
    <w:p>
      <w:pPr>
        <w:pStyle w:val="7"/>
        <w:keepNext w:val="0"/>
        <w:keepLines w:val="0"/>
        <w:pageBreakBefore w:val="0"/>
        <w:widowControl w:val="0"/>
        <w:numPr>
          <w:ilvl w:val="0"/>
          <w:numId w:val="351"/>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已经取得其他村集体经济组织成员资格的，自取得其它村集体经济组织成员资格时起丧失；</w:t>
      </w:r>
    </w:p>
    <w:p>
      <w:pPr>
        <w:pStyle w:val="7"/>
        <w:keepNext w:val="0"/>
        <w:keepLines w:val="0"/>
        <w:pageBreakBefore w:val="0"/>
        <w:widowControl w:val="0"/>
        <w:numPr>
          <w:ilvl w:val="0"/>
          <w:numId w:val="351"/>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纳入国家公务员序列、事业单位、国有企业、集体企业正式编制，自纳入正式编制之日起丧失。</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第九十四条  集体经济组织成员身份保留条件</w:t>
      </w:r>
    </w:p>
    <w:p>
      <w:pPr>
        <w:pStyle w:val="7"/>
        <w:keepNext w:val="0"/>
        <w:keepLines w:val="0"/>
        <w:pageBreakBefore w:val="0"/>
        <w:widowControl w:val="0"/>
        <w:numPr>
          <w:ilvl w:val="0"/>
          <w:numId w:val="352"/>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因参军入伍，在基准日之前户籍已迁往军队的现役人员（服役期间被提升为军官的，其成员资格身份自动丧失）；</w:t>
      </w:r>
    </w:p>
    <w:p>
      <w:pPr>
        <w:pStyle w:val="7"/>
        <w:keepNext w:val="0"/>
        <w:keepLines w:val="0"/>
        <w:pageBreakBefore w:val="0"/>
        <w:widowControl w:val="0"/>
        <w:numPr>
          <w:ilvl w:val="0"/>
          <w:numId w:val="352"/>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因升入大中专院校，在基准日之前户籍已迁往学校的在读大中专院校的学生；</w:t>
      </w:r>
    </w:p>
    <w:p>
      <w:pPr>
        <w:pStyle w:val="7"/>
        <w:keepNext w:val="0"/>
        <w:keepLines w:val="0"/>
        <w:pageBreakBefore w:val="0"/>
        <w:widowControl w:val="0"/>
        <w:numPr>
          <w:ilvl w:val="0"/>
          <w:numId w:val="352"/>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因刑事犯罪被判刑期入狱，在基准日之前尚在服刑的人员。</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第九十五条  集体经济组织成员身份生效</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集体经济组织成员资格的确认和取得，在不违反国家现行有关法律、法规前提下，由本村村民委员会召集村民代表或户代表召开会议民主决策，决议通过并经公示后生效。</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第九十六条  股权设置方案</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在确定的基准日前确定的成员资格及股份，实行“出生不增、死亡不减”的原则，按应当参与分配对象一次性配置股份。</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本次股份登记之后该户集体经济组织成员发生死亡的，该户总股本数不变，该死亡之人的股份由该户其他集体经济组织成员自主分配。</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本次股份登记之后本集体经济组织成员发生以下情况之一的，本集体经济组织可依程序对该成员分配的股份予以核销，并从本村总股本中剔除：</w:t>
      </w:r>
    </w:p>
    <w:p>
      <w:pPr>
        <w:pStyle w:val="7"/>
        <w:keepNext w:val="0"/>
        <w:keepLines w:val="0"/>
        <w:pageBreakBefore w:val="0"/>
        <w:widowControl w:val="0"/>
        <w:numPr>
          <w:ilvl w:val="0"/>
          <w:numId w:val="353"/>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已纳入公务员序列、事业单位、国有企业、集体企业正式编制内的在职干部职工的；</w:t>
      </w:r>
    </w:p>
    <w:p>
      <w:pPr>
        <w:pStyle w:val="7"/>
        <w:keepNext w:val="0"/>
        <w:keepLines w:val="0"/>
        <w:pageBreakBefore w:val="0"/>
        <w:widowControl w:val="0"/>
        <w:numPr>
          <w:ilvl w:val="0"/>
          <w:numId w:val="353"/>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以书面形式向本集体经济组织递交并经公告，自愿放弃本村集体组织成员资格或其持有股份的；</w:t>
      </w:r>
    </w:p>
    <w:p>
      <w:pPr>
        <w:pStyle w:val="7"/>
        <w:keepNext w:val="0"/>
        <w:keepLines w:val="0"/>
        <w:pageBreakBefore w:val="0"/>
        <w:widowControl w:val="0"/>
        <w:numPr>
          <w:ilvl w:val="0"/>
          <w:numId w:val="353"/>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已经取得其他村集体经济组织成员资格的；</w:t>
      </w:r>
    </w:p>
    <w:p>
      <w:pPr>
        <w:pStyle w:val="7"/>
        <w:keepNext w:val="0"/>
        <w:keepLines w:val="0"/>
        <w:pageBreakBefore w:val="0"/>
        <w:widowControl w:val="0"/>
        <w:numPr>
          <w:ilvl w:val="0"/>
          <w:numId w:val="353"/>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对于在确定基准日及确定股份改革分配资格名单后存在的一些历史遗留或者个案问题，依法按程序经本村集体经济组织成员大会或代表会议表决通过。</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bidi="zh-CN"/>
        </w:rPr>
        <w:t>第</w:t>
      </w:r>
      <w:r>
        <w:rPr>
          <w:rFonts w:hint="eastAsia" w:ascii="仿宋_GB2312" w:hAnsi="仿宋" w:eastAsia="仿宋_GB2312" w:cs="仿宋"/>
          <w:color w:val="000000"/>
          <w:sz w:val="28"/>
          <w:szCs w:val="28"/>
        </w:rPr>
        <w:t>九十七</w:t>
      </w:r>
      <w:r>
        <w:rPr>
          <w:rFonts w:hint="eastAsia" w:ascii="仿宋_GB2312" w:hAnsi="仿宋" w:eastAsia="仿宋_GB2312" w:cs="仿宋"/>
          <w:color w:val="000000"/>
          <w:sz w:val="28"/>
          <w:szCs w:val="28"/>
          <w:lang w:val="zh-CN"/>
        </w:rPr>
        <w:t>条</w:t>
      </w:r>
      <w:r>
        <w:rPr>
          <w:rFonts w:hint="eastAsia" w:ascii="仿宋_GB2312" w:hAnsi="仿宋" w:eastAsia="仿宋_GB2312" w:cs="仿宋"/>
          <w:color w:val="000000"/>
          <w:sz w:val="28"/>
          <w:szCs w:val="28"/>
        </w:rPr>
        <w:t xml:space="preserve">  </w:t>
      </w:r>
      <w:r>
        <w:rPr>
          <w:rFonts w:hint="eastAsia" w:ascii="仿宋_GB2312" w:hAnsi="仿宋" w:eastAsia="仿宋_GB2312" w:cs="仿宋"/>
          <w:color w:val="000000"/>
          <w:sz w:val="28"/>
          <w:szCs w:val="28"/>
          <w:lang w:val="zh-CN"/>
        </w:rPr>
        <w:t>股权登记</w:t>
      </w:r>
      <w:r>
        <w:rPr>
          <w:rFonts w:hint="eastAsia" w:ascii="仿宋_GB2312" w:hAnsi="仿宋" w:eastAsia="仿宋_GB2312" w:cs="仿宋"/>
          <w:color w:val="000000"/>
          <w:sz w:val="28"/>
          <w:szCs w:val="28"/>
        </w:rPr>
        <w:t>及股权证书</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针对股权登记事宜，在实践中主要存在两个方面的问题：</w:t>
      </w:r>
    </w:p>
    <w:p>
      <w:pPr>
        <w:pStyle w:val="7"/>
        <w:keepNext w:val="0"/>
        <w:keepLines w:val="0"/>
        <w:pageBreakBefore w:val="0"/>
        <w:widowControl w:val="0"/>
        <w:numPr>
          <w:ilvl w:val="0"/>
          <w:numId w:val="354"/>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股权登记机关的确定。股权</w:t>
      </w:r>
      <w:r>
        <w:rPr>
          <w:rFonts w:hint="eastAsia" w:ascii="仿宋_GB2312" w:hAnsi="仿宋" w:eastAsia="仿宋_GB2312" w:cs="仿宋"/>
          <w:color w:val="000000"/>
          <w:sz w:val="28"/>
          <w:szCs w:val="28"/>
          <w:lang w:eastAsia="zh-CN"/>
        </w:rPr>
        <w:t>证书</w:t>
      </w:r>
      <w:r>
        <w:rPr>
          <w:rFonts w:hint="eastAsia" w:ascii="仿宋_GB2312" w:hAnsi="仿宋" w:eastAsia="仿宋_GB2312" w:cs="仿宋"/>
          <w:color w:val="000000"/>
          <w:sz w:val="28"/>
          <w:szCs w:val="28"/>
        </w:rPr>
        <w:t>，一般由成员所在的集体经济组织</w:t>
      </w:r>
      <w:r>
        <w:rPr>
          <w:rFonts w:hint="eastAsia" w:ascii="仿宋_GB2312" w:hAnsi="仿宋" w:eastAsia="仿宋_GB2312" w:cs="仿宋"/>
          <w:color w:val="000000"/>
          <w:sz w:val="28"/>
          <w:szCs w:val="28"/>
          <w:lang w:eastAsia="zh-CN"/>
        </w:rPr>
        <w:t>发放，</w:t>
      </w:r>
      <w:r>
        <w:rPr>
          <w:rFonts w:hint="eastAsia" w:ascii="仿宋_GB2312" w:hAnsi="仿宋" w:eastAsia="仿宋_GB2312" w:cs="仿宋"/>
          <w:color w:val="000000"/>
          <w:sz w:val="28"/>
          <w:szCs w:val="28"/>
        </w:rPr>
        <w:t>农业部门作为股权证制定机关及股权备案机关、所在镇（街道）政府作为确认机关。</w:t>
      </w:r>
    </w:p>
    <w:p>
      <w:pPr>
        <w:pStyle w:val="7"/>
        <w:keepNext w:val="0"/>
        <w:keepLines w:val="0"/>
        <w:pageBreakBefore w:val="0"/>
        <w:widowControl w:val="0"/>
        <w:numPr>
          <w:ilvl w:val="0"/>
          <w:numId w:val="354"/>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权利主体的确权登记。在进行股权登记时，一般做法为折股量化到人，确权登记到户。</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第九十八条  农村集体产权制度改革的操作流程</w:t>
      </w:r>
    </w:p>
    <w:p>
      <w:pPr>
        <w:pStyle w:val="7"/>
        <w:keepNext w:val="0"/>
        <w:keepLines w:val="0"/>
        <w:pageBreakBefore w:val="0"/>
        <w:widowControl w:val="0"/>
        <w:numPr>
          <w:ilvl w:val="0"/>
          <w:numId w:val="355"/>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接受委托、初查村情。与意向改革村社进行对接、了解村社情况，签订专项法律服务合同。</w:t>
      </w:r>
    </w:p>
    <w:p>
      <w:pPr>
        <w:pStyle w:val="7"/>
        <w:keepNext w:val="0"/>
        <w:keepLines w:val="0"/>
        <w:pageBreakBefore w:val="0"/>
        <w:widowControl w:val="0"/>
        <w:numPr>
          <w:ilvl w:val="0"/>
          <w:numId w:val="355"/>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成立集体产权制度改革工作组。指导村（社区）成立集体产权制度改革的工作组，落实村（社区）改革力量，为改革做好准备。与此同时，做好改革工作组成员成立的会议记录及张贴公示工作。</w:t>
      </w:r>
    </w:p>
    <w:p>
      <w:pPr>
        <w:pStyle w:val="7"/>
        <w:keepNext w:val="0"/>
        <w:keepLines w:val="0"/>
        <w:pageBreakBefore w:val="0"/>
        <w:widowControl w:val="0"/>
        <w:numPr>
          <w:ilvl w:val="0"/>
          <w:numId w:val="355"/>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制定集体产权制度改革实施方案。指导村（社区）做好集体产权制度改革的工作部署，制作改革实施方案，初步确定改革的基准日，并做好基准日的公示工作。</w:t>
      </w:r>
    </w:p>
    <w:p>
      <w:pPr>
        <w:pStyle w:val="7"/>
        <w:keepNext w:val="0"/>
        <w:keepLines w:val="0"/>
        <w:pageBreakBefore w:val="0"/>
        <w:widowControl w:val="0"/>
        <w:numPr>
          <w:ilvl w:val="0"/>
          <w:numId w:val="355"/>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制定集体经济组织成员资格认定方案。指导村（社区）做好集体经济组织成员资格认定工作，制定资格认定方案。依据资格认定方案初步确定本村的集体经济组织成员名单并做好公示工作。</w:t>
      </w:r>
    </w:p>
    <w:p>
      <w:pPr>
        <w:pStyle w:val="7"/>
        <w:keepNext w:val="0"/>
        <w:keepLines w:val="0"/>
        <w:pageBreakBefore w:val="0"/>
        <w:widowControl w:val="0"/>
        <w:numPr>
          <w:ilvl w:val="0"/>
          <w:numId w:val="355"/>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制定集体资产的清产核资情况。指导村（社区）对于集体经济组织现有的资产进行清查，必要时可以聘请会计师事务所参与清产核资，对于经营性资产做好价值评估，并与资源性资产、非经营性资产、债权债务等资产一同进行汇总，做好张榜公示工作。</w:t>
      </w:r>
    </w:p>
    <w:p>
      <w:pPr>
        <w:pStyle w:val="7"/>
        <w:keepNext w:val="0"/>
        <w:keepLines w:val="0"/>
        <w:pageBreakBefore w:val="0"/>
        <w:widowControl w:val="0"/>
        <w:numPr>
          <w:ilvl w:val="0"/>
          <w:numId w:val="355"/>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制定集体经营性资产股份合作改革方案。以村（社区）的集体经济组织成员资格认定方案及其具体名单、村（社区）的清产核资情况为前提，制定村（社区）集体经营性资产股份合作改革方案，并进一步确定具体的持股名单和份额，做好张榜公示工作。</w:t>
      </w:r>
    </w:p>
    <w:p>
      <w:pPr>
        <w:pStyle w:val="7"/>
        <w:keepNext w:val="0"/>
        <w:keepLines w:val="0"/>
        <w:pageBreakBefore w:val="0"/>
        <w:widowControl w:val="0"/>
        <w:numPr>
          <w:ilvl w:val="0"/>
          <w:numId w:val="355"/>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村民户代表会议—— 对“四个方案”进行集中表决。召开村民户代表会议，对于形成的改革实施方案、资格认定方案、清产核资情况、经营性资产股份合作改革方案这四个方案进行表决，并做好表决结果的统计、公示、备案工作。</w:t>
      </w:r>
    </w:p>
    <w:p>
      <w:pPr>
        <w:pStyle w:val="7"/>
        <w:keepNext w:val="0"/>
        <w:keepLines w:val="0"/>
        <w:pageBreakBefore w:val="0"/>
        <w:widowControl w:val="0"/>
        <w:numPr>
          <w:ilvl w:val="0"/>
          <w:numId w:val="355"/>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村（社区）股份经济合作社章程的制定及表决通过。指导村（社区）根据本村实际情况制定《股份经济合作社章程》，并召开成员大会表决通过章程。设计成员代表推选办法，选举产生股份经济合作社的成员代表，做好表决结果的统计、公示、备案工作。</w:t>
      </w:r>
    </w:p>
    <w:p>
      <w:pPr>
        <w:pStyle w:val="7"/>
        <w:keepNext w:val="0"/>
        <w:keepLines w:val="0"/>
        <w:pageBreakBefore w:val="0"/>
        <w:widowControl w:val="0"/>
        <w:numPr>
          <w:ilvl w:val="0"/>
          <w:numId w:val="355"/>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股份经济合作社成立大会暨第一届成员代表第一次会议。成员代表表决通过经济合作社选举办法并选举产生第一届理事会、监事会成员，将选举结果进行统计、做好公示及备案工作。向市政府申请颁发股份经济合作社的《集体经济组织证明书》、牌匾、印章等。</w:t>
      </w:r>
    </w:p>
    <w:p>
      <w:pPr>
        <w:pStyle w:val="7"/>
        <w:keepNext w:val="0"/>
        <w:keepLines w:val="0"/>
        <w:pageBreakBefore w:val="0"/>
        <w:widowControl w:val="0"/>
        <w:numPr>
          <w:ilvl w:val="0"/>
          <w:numId w:val="355"/>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工作总结、材料归档。做好改革的工作情况总结及材料整理归档工作，保留完整的改革经验。</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第九十九条  </w:t>
      </w:r>
      <w:r>
        <w:rPr>
          <w:rFonts w:hint="eastAsia" w:ascii="仿宋_GB2312" w:hAnsi="仿宋" w:eastAsia="仿宋_GB2312" w:cs="仿宋"/>
          <w:color w:val="000000"/>
          <w:sz w:val="28"/>
          <w:szCs w:val="28"/>
          <w:lang w:val="zh-CN"/>
        </w:rPr>
        <w:t>制定集体产权制度改革实施方案</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eastAsia="zh-CN" w:bidi="zh-CN"/>
        </w:rPr>
        <w:t>集体产权制度改革实施方案作为各改革村（社区）对于改革工作的总体部署文件，需要从集体经济组织成员界定、集体资产清产核资、经营性资产折股量化、设立股份经济合作社等核心环节出发，定下改革的总体基调。</w:t>
      </w:r>
    </w:p>
    <w:p>
      <w:pPr>
        <w:pStyle w:val="7"/>
        <w:keepNext w:val="0"/>
        <w:keepLines w:val="0"/>
        <w:pageBreakBefore w:val="0"/>
        <w:widowControl w:val="0"/>
        <w:numPr>
          <w:ilvl w:val="0"/>
          <w:numId w:val="356"/>
        </w:numPr>
        <w:wordWrap/>
        <w:bidi w:val="0"/>
        <w:spacing w:beforeLines="0" w:after="0" w:afterLines="0" w:line="500" w:lineRule="exact"/>
        <w:ind w:firstLine="604"/>
        <w:jc w:val="both"/>
        <w:rPr>
          <w:rFonts w:hint="eastAsia" w:ascii="仿宋_GB2312" w:hAnsi="仿宋" w:eastAsia="仿宋_GB2312" w:cs="仿宋"/>
          <w:b/>
          <w:bCs/>
          <w:color w:val="000000"/>
          <w:sz w:val="28"/>
          <w:szCs w:val="28"/>
        </w:rPr>
      </w:pPr>
      <w:r>
        <w:rPr>
          <w:rFonts w:hint="eastAsia" w:ascii="仿宋_GB2312" w:hAnsi="仿宋" w:eastAsia="仿宋_GB2312" w:cs="仿宋"/>
          <w:b/>
          <w:bCs/>
          <w:color w:val="000000"/>
          <w:sz w:val="28"/>
          <w:szCs w:val="28"/>
          <w:lang w:eastAsia="zh-CN" w:bidi="zh-CN"/>
        </w:rPr>
        <w:t>有条件的村（社区），可召开集体产权制度改革的动员推进会</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eastAsia="zh-CN" w:bidi="zh-CN"/>
        </w:rPr>
        <w:t>在集体产权制度改革工作组成立的基础上，改革的指导律师在与村（社区）对接改革工作时，要注意对改革工作的步骤、流程及各步骤环节的大致内容做好解释工作，有条件的可以召开大范围的改革动员推进会，向村两委、工作组成员、村民代表乃至全体村民进行集体产权制度改革工作的宣讲，介绍改革流程。</w:t>
      </w:r>
    </w:p>
    <w:p>
      <w:pPr>
        <w:pStyle w:val="7"/>
        <w:keepNext w:val="0"/>
        <w:keepLines w:val="0"/>
        <w:pageBreakBefore w:val="0"/>
        <w:widowControl w:val="0"/>
        <w:numPr>
          <w:ilvl w:val="0"/>
          <w:numId w:val="356"/>
        </w:numPr>
        <w:wordWrap/>
        <w:bidi w:val="0"/>
        <w:spacing w:beforeLines="0" w:after="0" w:afterLines="0" w:line="500" w:lineRule="exact"/>
        <w:ind w:firstLine="604"/>
        <w:jc w:val="both"/>
        <w:rPr>
          <w:rFonts w:hint="eastAsia" w:ascii="仿宋_GB2312" w:hAnsi="仿宋" w:eastAsia="仿宋_GB2312" w:cs="仿宋"/>
          <w:b/>
          <w:bCs/>
          <w:color w:val="000000"/>
          <w:sz w:val="28"/>
          <w:szCs w:val="28"/>
        </w:rPr>
      </w:pPr>
      <w:r>
        <w:rPr>
          <w:rFonts w:hint="eastAsia" w:ascii="仿宋_GB2312" w:hAnsi="仿宋" w:eastAsia="仿宋_GB2312" w:cs="仿宋"/>
          <w:b/>
          <w:bCs/>
          <w:color w:val="000000"/>
          <w:sz w:val="28"/>
          <w:szCs w:val="28"/>
          <w:lang w:eastAsia="zh-CN" w:bidi="zh-CN"/>
        </w:rPr>
        <w:t>初步确定集体经济组织成员资格认定的基准日</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eastAsia="zh-CN" w:bidi="zh-CN"/>
        </w:rPr>
        <w:t>在制定集体产权制度改革实施方案的过程中，需要与集体产权制度改革工作组共同协商本村（社区）集体经济组织成员资格的基准日，召开村民代表大会对于基准日进行表决，将表决结果进行张榜公示。（基准日的最终确定需要经过村民大会表决通过）</w:t>
      </w:r>
    </w:p>
    <w:p>
      <w:pPr>
        <w:pStyle w:val="7"/>
        <w:keepNext w:val="0"/>
        <w:keepLines w:val="0"/>
        <w:pageBreakBefore w:val="0"/>
        <w:widowControl w:val="0"/>
        <w:numPr>
          <w:ilvl w:val="0"/>
          <w:numId w:val="356"/>
        </w:numPr>
        <w:wordWrap/>
        <w:bidi w:val="0"/>
        <w:spacing w:beforeLines="0" w:after="0" w:afterLines="0" w:line="500" w:lineRule="exact"/>
        <w:ind w:firstLine="604"/>
        <w:jc w:val="both"/>
        <w:rPr>
          <w:rFonts w:hint="eastAsia" w:ascii="仿宋_GB2312" w:hAnsi="仿宋" w:eastAsia="仿宋_GB2312" w:cs="仿宋"/>
          <w:b/>
          <w:bCs/>
          <w:color w:val="000000"/>
          <w:sz w:val="28"/>
          <w:szCs w:val="28"/>
        </w:rPr>
      </w:pPr>
      <w:r>
        <w:rPr>
          <w:rFonts w:hint="eastAsia" w:ascii="仿宋_GB2312" w:hAnsi="仿宋" w:eastAsia="仿宋_GB2312" w:cs="仿宋"/>
          <w:b/>
          <w:bCs/>
          <w:color w:val="000000"/>
          <w:sz w:val="28"/>
          <w:szCs w:val="28"/>
          <w:lang w:eastAsia="zh-CN" w:bidi="zh-CN"/>
        </w:rPr>
        <w:t>初步确定集体经济组织的成员资格管理模式及股权管理模式</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eastAsia="zh-CN" w:bidi="zh-CN"/>
        </w:rPr>
        <w:t>集体产权制度改革中集体经济组织对于改革形成的股权主要存在三种模式。主要为固态管理模式、静态管理模式及动静结合管理模式，在制定集体产权制改革实施方案的过程中应当初步确定本村（社区）的股权管理模式，并召开村民代表大会对于基准日进行表决，将表决结果进行张榜公示。（成员资格管理模式及股权管理模式的最终确定需要经过村民大会表决通过）</w:t>
      </w:r>
    </w:p>
    <w:p>
      <w:pPr>
        <w:pStyle w:val="5"/>
        <w:keepNext w:val="0"/>
        <w:keepLines w:val="0"/>
        <w:pageBreakBefore w:val="0"/>
        <w:widowControl w:val="0"/>
        <w:wordWrap/>
        <w:bidi w:val="0"/>
        <w:spacing w:before="0" w:after="0" w:line="500" w:lineRule="exact"/>
        <w:ind w:firstLine="56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第一百条  制定集体经济组织成员资格认定方案步骤</w:t>
      </w:r>
    </w:p>
    <w:p>
      <w:pPr>
        <w:pStyle w:val="7"/>
        <w:keepNext w:val="0"/>
        <w:keepLines w:val="0"/>
        <w:pageBreakBefore w:val="0"/>
        <w:widowControl w:val="0"/>
        <w:numPr>
          <w:ilvl w:val="0"/>
          <w:numId w:val="357"/>
        </w:numPr>
        <w:wordWrap/>
        <w:bidi w:val="0"/>
        <w:spacing w:beforeLines="0" w:after="0" w:afterLines="0" w:line="500" w:lineRule="exact"/>
        <w:ind w:firstLine="604"/>
        <w:jc w:val="both"/>
        <w:rPr>
          <w:rFonts w:hint="eastAsia" w:ascii="仿宋_GB2312" w:hAnsi="仿宋" w:eastAsia="仿宋_GB2312" w:cs="仿宋"/>
          <w:b/>
          <w:bCs/>
          <w:color w:val="000000"/>
          <w:sz w:val="28"/>
          <w:szCs w:val="28"/>
        </w:rPr>
      </w:pPr>
      <w:r>
        <w:rPr>
          <w:rFonts w:hint="eastAsia" w:ascii="仿宋_GB2312" w:hAnsi="仿宋" w:eastAsia="仿宋_GB2312" w:cs="仿宋"/>
          <w:b/>
          <w:bCs/>
          <w:color w:val="000000"/>
          <w:sz w:val="28"/>
          <w:szCs w:val="28"/>
          <w:lang w:val="zh-CN" w:eastAsia="zh-CN" w:bidi="zh-CN"/>
        </w:rPr>
        <w:t>贯彻集体经济组织成员资格认定的基准日</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集体产权制度改革实施方案已经初步确定了集体经济组织成员资格认定的基准日，当前阶段需要进一步贯彻、落实成员资格认定的基准日，并在成员资格认定方案中予以写明。</w:t>
      </w:r>
    </w:p>
    <w:p>
      <w:pPr>
        <w:pStyle w:val="7"/>
        <w:keepNext w:val="0"/>
        <w:keepLines w:val="0"/>
        <w:pageBreakBefore w:val="0"/>
        <w:widowControl w:val="0"/>
        <w:numPr>
          <w:ilvl w:val="0"/>
          <w:numId w:val="357"/>
        </w:numPr>
        <w:wordWrap/>
        <w:bidi w:val="0"/>
        <w:spacing w:beforeLines="0" w:after="0" w:afterLines="0" w:line="500" w:lineRule="exact"/>
        <w:ind w:firstLine="604"/>
        <w:jc w:val="both"/>
        <w:rPr>
          <w:rFonts w:hint="eastAsia" w:ascii="仿宋_GB2312" w:hAnsi="仿宋" w:eastAsia="仿宋_GB2312" w:cs="仿宋"/>
          <w:b/>
          <w:bCs/>
          <w:color w:val="000000"/>
          <w:sz w:val="28"/>
          <w:szCs w:val="28"/>
        </w:rPr>
      </w:pPr>
      <w:r>
        <w:rPr>
          <w:rFonts w:hint="eastAsia" w:ascii="仿宋_GB2312" w:hAnsi="仿宋" w:eastAsia="仿宋_GB2312" w:cs="仿宋"/>
          <w:b/>
          <w:bCs/>
          <w:color w:val="000000"/>
          <w:sz w:val="28"/>
          <w:szCs w:val="28"/>
          <w:lang w:val="zh-CN" w:eastAsia="zh-CN" w:bidi="zh-CN"/>
        </w:rPr>
        <w:t>调取本村（社区）在公安机关的户籍人口信息</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以基准日为截止日，到属地公安机关调取户籍在本村的人口信息，以该份调查结果作为制定本村集体经济组织成员名单的基本材料。</w:t>
      </w:r>
    </w:p>
    <w:p>
      <w:pPr>
        <w:pStyle w:val="7"/>
        <w:keepNext w:val="0"/>
        <w:keepLines w:val="0"/>
        <w:pageBreakBefore w:val="0"/>
        <w:widowControl w:val="0"/>
        <w:numPr>
          <w:ilvl w:val="0"/>
          <w:numId w:val="357"/>
        </w:numPr>
        <w:wordWrap/>
        <w:bidi w:val="0"/>
        <w:spacing w:beforeLines="0" w:after="0" w:afterLines="0" w:line="500" w:lineRule="exact"/>
        <w:ind w:firstLine="604"/>
        <w:jc w:val="both"/>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lang w:val="zh-CN" w:eastAsia="zh-CN" w:bidi="zh-CN"/>
        </w:rPr>
        <w:t>梳理本村集体经济组织成员的基本情形</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集体经济组织成员的基本身份情况包括：原农业合作社成员、入赘婿、外嫁女、嫁入女、本村村民的子女、移居海外（包括港澳台地区）、再婚妻子、大中专学生、服刑人员、服兵役人员、在职干部、外出经商、务工、丧偶和离婚妇女、寄户、空挂户、回乡退养人员、死亡等众多情形，为此需要对于本村村民的身份情况进行对照、做好甄别工作，为制定认定标准做好工作。</w:t>
      </w:r>
    </w:p>
    <w:p>
      <w:pPr>
        <w:pStyle w:val="7"/>
        <w:keepNext w:val="0"/>
        <w:keepLines w:val="0"/>
        <w:pageBreakBefore w:val="0"/>
        <w:widowControl w:val="0"/>
        <w:numPr>
          <w:ilvl w:val="0"/>
          <w:numId w:val="357"/>
        </w:numPr>
        <w:wordWrap/>
        <w:bidi w:val="0"/>
        <w:spacing w:beforeLines="0" w:after="0" w:afterLines="0" w:line="500" w:lineRule="exact"/>
        <w:ind w:firstLine="604"/>
        <w:jc w:val="both"/>
        <w:rPr>
          <w:rFonts w:hint="eastAsia" w:ascii="仿宋_GB2312" w:hAnsi="仿宋" w:eastAsia="仿宋_GB2312" w:cs="仿宋"/>
          <w:b/>
          <w:bCs/>
          <w:color w:val="000000"/>
          <w:sz w:val="28"/>
          <w:szCs w:val="28"/>
        </w:rPr>
      </w:pPr>
      <w:r>
        <w:rPr>
          <w:rFonts w:hint="eastAsia" w:ascii="仿宋_GB2312" w:hAnsi="仿宋" w:eastAsia="仿宋_GB2312" w:cs="仿宋"/>
          <w:b/>
          <w:bCs/>
          <w:color w:val="000000"/>
          <w:sz w:val="28"/>
          <w:szCs w:val="28"/>
          <w:lang w:val="zh-CN" w:eastAsia="zh-CN" w:bidi="zh-CN"/>
        </w:rPr>
        <w:t>成员资格管理模式的确定</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成员资格管理模式分为固态管理、动态管理、动静结合三种。</w:t>
      </w:r>
    </w:p>
    <w:p>
      <w:pPr>
        <w:pStyle w:val="7"/>
        <w:keepNext w:val="0"/>
        <w:keepLines w:val="0"/>
        <w:pageBreakBefore w:val="0"/>
        <w:widowControl w:val="0"/>
        <w:numPr>
          <w:ilvl w:val="0"/>
          <w:numId w:val="358"/>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固态管理是指改革村（社区）在此次改革中一旦确定了成员资格及名单，今后便不再变化、调整具体名单；</w:t>
      </w:r>
    </w:p>
    <w:p>
      <w:pPr>
        <w:pStyle w:val="7"/>
        <w:keepNext w:val="0"/>
        <w:keepLines w:val="0"/>
        <w:pageBreakBefore w:val="0"/>
        <w:widowControl w:val="0"/>
        <w:numPr>
          <w:ilvl w:val="0"/>
          <w:numId w:val="358"/>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动态管理是指本集体经济组织一旦发生成员的进出、增减变动情况，及时对于成员名单进行调整；</w:t>
      </w:r>
    </w:p>
    <w:p>
      <w:pPr>
        <w:pStyle w:val="7"/>
        <w:keepNext w:val="0"/>
        <w:keepLines w:val="0"/>
        <w:pageBreakBefore w:val="0"/>
        <w:widowControl w:val="0"/>
        <w:numPr>
          <w:ilvl w:val="0"/>
          <w:numId w:val="358"/>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动静结合是指在一段时间内（如十年）进行固态管理，不再变化、调整具体成员资格及名单，直至该段时间经过，重新再确认集体经济组织成员资格及名单。</w:t>
      </w:r>
    </w:p>
    <w:p>
      <w:pPr>
        <w:pStyle w:val="7"/>
        <w:keepNext w:val="0"/>
        <w:keepLines w:val="0"/>
        <w:pageBreakBefore w:val="0"/>
        <w:widowControl w:val="0"/>
        <w:numPr>
          <w:ilvl w:val="0"/>
          <w:numId w:val="357"/>
        </w:numPr>
        <w:wordWrap/>
        <w:bidi w:val="0"/>
        <w:spacing w:beforeLines="0" w:after="0" w:afterLines="0" w:line="500" w:lineRule="exact"/>
        <w:ind w:firstLine="604"/>
        <w:jc w:val="both"/>
        <w:rPr>
          <w:rFonts w:hint="eastAsia" w:ascii="仿宋_GB2312" w:hAnsi="仿宋" w:eastAsia="仿宋_GB2312" w:cs="仿宋"/>
          <w:b/>
          <w:bCs/>
          <w:color w:val="000000"/>
          <w:sz w:val="28"/>
          <w:szCs w:val="28"/>
        </w:rPr>
      </w:pPr>
      <w:r>
        <w:rPr>
          <w:rFonts w:hint="eastAsia" w:ascii="仿宋_GB2312" w:hAnsi="仿宋" w:eastAsia="仿宋_GB2312" w:cs="仿宋"/>
          <w:b/>
          <w:bCs/>
          <w:color w:val="000000"/>
          <w:sz w:val="28"/>
          <w:szCs w:val="28"/>
          <w:lang w:val="zh-CN" w:eastAsia="zh-CN" w:bidi="zh-CN"/>
        </w:rPr>
        <w:t>确定集体经济组织成员的认定标准及具体名单</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在初步确定本村村民的身份情况后，针对各个情形开始制定成员资格认定的标准，在初步确认成员的认定标准后，开始着手制定本村集体经济组织的成员名单。</w:t>
      </w:r>
    </w:p>
    <w:p>
      <w:pPr>
        <w:pStyle w:val="5"/>
        <w:keepNext w:val="0"/>
        <w:keepLines w:val="0"/>
        <w:pageBreakBefore w:val="0"/>
        <w:widowControl w:val="0"/>
        <w:wordWrap/>
        <w:bidi w:val="0"/>
        <w:spacing w:before="0" w:after="0" w:line="500" w:lineRule="exact"/>
        <w:ind w:firstLine="562" w:firstLineChars="200"/>
        <w:outlineLvl w:val="0"/>
        <w:rPr>
          <w:rFonts w:hint="eastAsia" w:ascii="仿宋_GB2312" w:hAnsi="仿宋" w:eastAsia="仿宋_GB2312" w:cs="仿宋"/>
          <w:color w:val="000000"/>
          <w:sz w:val="28"/>
          <w:szCs w:val="28"/>
        </w:rPr>
      </w:pPr>
      <w:bookmarkStart w:id="660" w:name="_Toc15355"/>
      <w:r>
        <w:rPr>
          <w:rFonts w:hint="eastAsia" w:ascii="仿宋_GB2312" w:hAnsi="仿宋" w:eastAsia="仿宋_GB2312" w:cs="仿宋"/>
          <w:color w:val="000000"/>
          <w:sz w:val="28"/>
          <w:szCs w:val="28"/>
        </w:rPr>
        <w:t>第一百零一条  制定集体资产清产核资情况步骤</w:t>
      </w:r>
      <w:bookmarkEnd w:id="660"/>
    </w:p>
    <w:p>
      <w:pPr>
        <w:pStyle w:val="7"/>
        <w:keepNext w:val="0"/>
        <w:keepLines w:val="0"/>
        <w:pageBreakBefore w:val="0"/>
        <w:widowControl w:val="0"/>
        <w:numPr>
          <w:ilvl w:val="0"/>
          <w:numId w:val="359"/>
        </w:numPr>
        <w:wordWrap/>
        <w:bidi w:val="0"/>
        <w:spacing w:beforeLines="0" w:after="0" w:afterLines="0" w:line="500" w:lineRule="exact"/>
        <w:ind w:firstLine="604"/>
        <w:jc w:val="both"/>
        <w:rPr>
          <w:rFonts w:hint="eastAsia" w:ascii="仿宋_GB2312" w:hAnsi="仿宋" w:eastAsia="仿宋_GB2312" w:cs="仿宋"/>
          <w:b/>
          <w:bCs/>
          <w:color w:val="000000"/>
          <w:sz w:val="28"/>
          <w:szCs w:val="28"/>
        </w:rPr>
      </w:pPr>
      <w:r>
        <w:rPr>
          <w:rFonts w:hint="eastAsia" w:ascii="仿宋_GB2312" w:hAnsi="仿宋" w:eastAsia="仿宋_GB2312" w:cs="仿宋"/>
          <w:b/>
          <w:bCs/>
          <w:color w:val="000000"/>
          <w:sz w:val="28"/>
          <w:szCs w:val="28"/>
          <w:lang w:val="zh-CN" w:eastAsia="zh-CN" w:bidi="zh-CN"/>
        </w:rPr>
        <w:t>确认清产核资的基准日</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确认村（社区）进行集体资产清查的基准日，在具体清查过程中，需要以该时间为截止日，记录该时点下各类资产的状况。</w:t>
      </w:r>
    </w:p>
    <w:p>
      <w:pPr>
        <w:pStyle w:val="7"/>
        <w:keepNext w:val="0"/>
        <w:keepLines w:val="0"/>
        <w:pageBreakBefore w:val="0"/>
        <w:widowControl w:val="0"/>
        <w:numPr>
          <w:ilvl w:val="0"/>
          <w:numId w:val="359"/>
        </w:numPr>
        <w:wordWrap/>
        <w:bidi w:val="0"/>
        <w:spacing w:beforeLines="0" w:after="0" w:afterLines="0" w:line="500" w:lineRule="exact"/>
        <w:ind w:firstLine="604"/>
        <w:jc w:val="both"/>
        <w:rPr>
          <w:rFonts w:hint="eastAsia" w:ascii="仿宋_GB2312" w:hAnsi="仿宋" w:eastAsia="仿宋_GB2312" w:cs="仿宋"/>
          <w:b/>
          <w:bCs/>
          <w:color w:val="000000"/>
          <w:sz w:val="28"/>
          <w:szCs w:val="28"/>
        </w:rPr>
      </w:pPr>
      <w:r>
        <w:rPr>
          <w:rFonts w:hint="eastAsia" w:ascii="仿宋_GB2312" w:hAnsi="仿宋" w:eastAsia="仿宋_GB2312" w:cs="仿宋"/>
          <w:b/>
          <w:bCs/>
          <w:color w:val="000000"/>
          <w:sz w:val="28"/>
          <w:szCs w:val="28"/>
          <w:lang w:val="zh-CN" w:eastAsia="zh-CN" w:bidi="zh-CN"/>
        </w:rPr>
        <w:t>统计集体现金存款、债权债务及“三资”情况</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集体资产需要由点及面的做好清查工作，先总体上对于本村（社区）的集体现金存款、债权债务情况、经营性资产、资源性资产、非经营性资产（公益性资产）等各类资产进行逐一清点列举，并按资产的特点有选择的查明资产的金额、数量、价值、位置、类别等基本信息。有条件的村（社区）可以聘请专业会计师事务所进行清产核资工作。</w:t>
      </w:r>
    </w:p>
    <w:p>
      <w:pPr>
        <w:pStyle w:val="7"/>
        <w:keepNext w:val="0"/>
        <w:keepLines w:val="0"/>
        <w:pageBreakBefore w:val="0"/>
        <w:widowControl w:val="0"/>
        <w:numPr>
          <w:ilvl w:val="0"/>
          <w:numId w:val="359"/>
        </w:numPr>
        <w:wordWrap/>
        <w:bidi w:val="0"/>
        <w:spacing w:beforeLines="0" w:after="0" w:afterLines="0" w:line="500" w:lineRule="exact"/>
        <w:ind w:firstLine="604"/>
        <w:jc w:val="both"/>
        <w:rPr>
          <w:rFonts w:hint="eastAsia" w:ascii="仿宋_GB2312" w:hAnsi="仿宋" w:eastAsia="仿宋_GB2312" w:cs="仿宋"/>
          <w:b/>
          <w:bCs/>
          <w:color w:val="000000"/>
          <w:sz w:val="28"/>
          <w:szCs w:val="28"/>
        </w:rPr>
      </w:pPr>
      <w:r>
        <w:rPr>
          <w:rFonts w:hint="eastAsia" w:ascii="仿宋_GB2312" w:hAnsi="仿宋" w:eastAsia="仿宋_GB2312" w:cs="仿宋"/>
          <w:b/>
          <w:bCs/>
          <w:color w:val="000000"/>
          <w:sz w:val="28"/>
          <w:szCs w:val="28"/>
          <w:lang w:val="zh-CN" w:eastAsia="zh-CN" w:bidi="zh-CN"/>
        </w:rPr>
        <w:t>重点清查经营性资产，并做好价值评估工作</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对于集体经营性资产、未承包到户的资源性资产、债权债务、现金作为重点清查对象。集体产权制度改革应做好集体经营性资产的价值评估，并针对其他用于经营的集体资产，也需要纳入集体经营性资产的范畴中进行改革。其他资产分清类别、位置、数量等基本信息并记录在案即可。</w:t>
      </w:r>
    </w:p>
    <w:p>
      <w:pPr>
        <w:pStyle w:val="7"/>
        <w:keepNext w:val="0"/>
        <w:keepLines w:val="0"/>
        <w:pageBreakBefore w:val="0"/>
        <w:widowControl w:val="0"/>
        <w:numPr>
          <w:ilvl w:val="0"/>
          <w:numId w:val="359"/>
        </w:numPr>
        <w:wordWrap/>
        <w:bidi w:val="0"/>
        <w:spacing w:beforeLines="0" w:after="0" w:afterLines="0" w:line="500" w:lineRule="exact"/>
        <w:ind w:firstLine="604"/>
        <w:jc w:val="both"/>
        <w:rPr>
          <w:rFonts w:hint="eastAsia" w:ascii="仿宋_GB2312" w:hAnsi="仿宋" w:eastAsia="仿宋_GB2312" w:cs="仿宋"/>
          <w:b/>
          <w:bCs/>
          <w:color w:val="000000"/>
          <w:sz w:val="28"/>
          <w:szCs w:val="28"/>
        </w:rPr>
      </w:pPr>
      <w:r>
        <w:rPr>
          <w:rFonts w:hint="eastAsia" w:ascii="仿宋_GB2312" w:hAnsi="仿宋" w:eastAsia="仿宋_GB2312" w:cs="仿宋"/>
          <w:b/>
          <w:bCs/>
          <w:color w:val="000000"/>
          <w:sz w:val="28"/>
          <w:szCs w:val="28"/>
          <w:lang w:val="zh-CN" w:eastAsia="zh-CN" w:bidi="zh-CN"/>
        </w:rPr>
        <w:t>集体经营性资产的基本评估方法</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包括农民集体所有的用于经营的房屋、建筑物、机器设备、工具器具、农业基础设施（包括小型水利工程）、集体投资兴办的企业以及其所持有的其他经济组织的资产份额、无形资产等，针对集体经营性资产的评估有需要根据改革村（社区）是否聘请会计师事务所参与清查来适用不同的评估方式。</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聘请会计师事务所进行集体资产清查的村（社区），在会计报告的基础上，将实际用于经营的非经营性资产（如对外出租的学校房屋）以及用于经营的资源性资产（如对外出租的集体土地）评估价值后纳入经营性资产的范畴，并最终进行经营性资产的折股量化工作。</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未聘请会计师事务所进行集体资产清产的村（社区），需要自行对于经营性资产进行价值评估。由于集体经营性资产的清查目的为明确资产价值并作为折股量化的依据，并不追求对于资产的现时价值进行精确评估，因此改革律师在参与集体产权制度改革中，针对集体经营性资产的评估主要采用以下方法：</w:t>
      </w:r>
    </w:p>
    <w:p>
      <w:pPr>
        <w:pStyle w:val="7"/>
        <w:keepNext w:val="0"/>
        <w:keepLines w:val="0"/>
        <w:pageBreakBefore w:val="0"/>
        <w:widowControl w:val="0"/>
        <w:numPr>
          <w:ilvl w:val="0"/>
          <w:numId w:val="360"/>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根据经营性资产入账价值进行价值评估。一部分经营性资产系通过对外采购所得，为此仅需依照采购时的入账价值并做适度调整作为评估价值即可。</w:t>
      </w:r>
    </w:p>
    <w:p>
      <w:pPr>
        <w:pStyle w:val="7"/>
        <w:keepNext w:val="0"/>
        <w:keepLines w:val="0"/>
        <w:pageBreakBefore w:val="0"/>
        <w:widowControl w:val="0"/>
        <w:numPr>
          <w:ilvl w:val="0"/>
          <w:numId w:val="360"/>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利用市场价值法进行价值评估。一部分经营性资产无入账价值可供参考，为此需要参照市场上同等规格的产品进行价值评估。</w:t>
      </w:r>
    </w:p>
    <w:p>
      <w:pPr>
        <w:pStyle w:val="7"/>
        <w:keepNext w:val="0"/>
        <w:keepLines w:val="0"/>
        <w:pageBreakBefore w:val="0"/>
        <w:widowControl w:val="0"/>
        <w:numPr>
          <w:ilvl w:val="0"/>
          <w:numId w:val="360"/>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参照当地征地拆迁补偿方案进行价值评估。一部分经营性资产实质上属于征地补偿拆迁是需要补偿的项目（如对外出租经营的土地），因此参照当地征地拆迁补偿方案确定的价值进行评估即可。</w:t>
      </w:r>
    </w:p>
    <w:p>
      <w:pPr>
        <w:pStyle w:val="7"/>
        <w:keepNext w:val="0"/>
        <w:keepLines w:val="0"/>
        <w:pageBreakBefore w:val="0"/>
        <w:widowControl w:val="0"/>
        <w:numPr>
          <w:ilvl w:val="0"/>
          <w:numId w:val="360"/>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按照一般生活经验，由改革工作组讨论确定价值。部分经营性资产无法按照上述方式进行评估，为此可以由本村集体产权制度改革工作组，依据日常生活经验，集体讨论确定该部分资产的大致价值。</w:t>
      </w:r>
    </w:p>
    <w:p>
      <w:pPr>
        <w:pStyle w:val="7"/>
        <w:keepNext w:val="0"/>
        <w:keepLines w:val="0"/>
        <w:pageBreakBefore w:val="0"/>
        <w:widowControl w:val="0"/>
        <w:numPr>
          <w:ilvl w:val="0"/>
          <w:numId w:val="359"/>
        </w:numPr>
        <w:wordWrap/>
        <w:bidi w:val="0"/>
        <w:spacing w:beforeLines="0" w:after="0" w:afterLines="0" w:line="500" w:lineRule="exact"/>
        <w:ind w:firstLine="604"/>
        <w:jc w:val="both"/>
        <w:rPr>
          <w:rFonts w:hint="eastAsia" w:ascii="仿宋_GB2312" w:hAnsi="仿宋" w:eastAsia="仿宋_GB2312" w:cs="仿宋"/>
          <w:b/>
          <w:bCs/>
          <w:color w:val="000000"/>
          <w:sz w:val="28"/>
          <w:szCs w:val="28"/>
        </w:rPr>
      </w:pPr>
      <w:r>
        <w:rPr>
          <w:rFonts w:hint="eastAsia" w:ascii="仿宋_GB2312" w:hAnsi="仿宋" w:eastAsia="仿宋_GB2312" w:cs="仿宋"/>
          <w:b/>
          <w:bCs/>
          <w:color w:val="000000"/>
          <w:sz w:val="28"/>
          <w:szCs w:val="28"/>
          <w:lang w:val="zh-CN" w:eastAsia="zh-CN" w:bidi="zh-CN"/>
        </w:rPr>
        <w:t>改革村（社区）的债权债务问题的处理</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对于本村（社区）对外的债权债务应当予以记载，若因债权债务纠纷无法具体确定价值的，应注明情况，并明确表示该部分争议债权债务在确定后纳入改革后成立的股份经济合作社中。</w:t>
      </w:r>
    </w:p>
    <w:p>
      <w:pPr>
        <w:pStyle w:val="5"/>
        <w:keepNext w:val="0"/>
        <w:keepLines w:val="0"/>
        <w:pageBreakBefore w:val="0"/>
        <w:widowControl w:val="0"/>
        <w:wordWrap/>
        <w:bidi w:val="0"/>
        <w:spacing w:before="0" w:after="0" w:line="500" w:lineRule="exact"/>
        <w:ind w:firstLine="562" w:firstLineChars="200"/>
        <w:outlineLvl w:val="0"/>
        <w:rPr>
          <w:rFonts w:hint="eastAsia" w:ascii="仿宋_GB2312" w:hAnsi="仿宋" w:eastAsia="仿宋_GB2312" w:cs="仿宋"/>
          <w:color w:val="000000"/>
          <w:sz w:val="28"/>
          <w:szCs w:val="28"/>
        </w:rPr>
      </w:pPr>
      <w:bookmarkStart w:id="661" w:name="_Toc12061"/>
      <w:r>
        <w:rPr>
          <w:rFonts w:hint="eastAsia" w:ascii="仿宋_GB2312" w:hAnsi="仿宋" w:eastAsia="仿宋_GB2312" w:cs="仿宋"/>
          <w:color w:val="000000"/>
          <w:sz w:val="28"/>
          <w:szCs w:val="28"/>
        </w:rPr>
        <w:t>第一百零二条  制定集体经营性资产股份合作改革方案</w:t>
      </w:r>
      <w:bookmarkEnd w:id="661"/>
    </w:p>
    <w:p>
      <w:pPr>
        <w:pStyle w:val="7"/>
        <w:keepNext w:val="0"/>
        <w:keepLines w:val="0"/>
        <w:pageBreakBefore w:val="0"/>
        <w:widowControl w:val="0"/>
        <w:numPr>
          <w:ilvl w:val="0"/>
          <w:numId w:val="361"/>
        </w:numPr>
        <w:wordWrap/>
        <w:bidi w:val="0"/>
        <w:spacing w:beforeLines="0" w:after="0" w:afterLines="0" w:line="500" w:lineRule="exact"/>
        <w:ind w:firstLine="604"/>
        <w:jc w:val="both"/>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lang w:val="zh-CN" w:eastAsia="zh-CN" w:bidi="zh-CN"/>
        </w:rPr>
        <w:t>改革原则：</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集体产权制度改革的折股量化工作需要秉持以下几个方面的原则：</w:t>
      </w:r>
    </w:p>
    <w:p>
      <w:pPr>
        <w:pStyle w:val="7"/>
        <w:keepNext w:val="0"/>
        <w:keepLines w:val="0"/>
        <w:pageBreakBefore w:val="0"/>
        <w:widowControl w:val="0"/>
        <w:numPr>
          <w:ilvl w:val="0"/>
          <w:numId w:val="362"/>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“村民自治、民主决策”、“社会保障”、“公开公正”、“可持续发展”等基本原则；</w:t>
      </w:r>
    </w:p>
    <w:p>
      <w:pPr>
        <w:pStyle w:val="7"/>
        <w:keepNext w:val="0"/>
        <w:keepLines w:val="0"/>
        <w:pageBreakBefore w:val="0"/>
        <w:widowControl w:val="0"/>
        <w:numPr>
          <w:ilvl w:val="0"/>
          <w:numId w:val="362"/>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“营利共享、风险共担”的股权分配原则；</w:t>
      </w:r>
    </w:p>
    <w:p>
      <w:pPr>
        <w:pStyle w:val="7"/>
        <w:keepNext w:val="0"/>
        <w:keepLines w:val="0"/>
        <w:pageBreakBefore w:val="0"/>
        <w:widowControl w:val="0"/>
        <w:numPr>
          <w:ilvl w:val="0"/>
          <w:numId w:val="362"/>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“确权到人、登记到户”的股权登记原则。</w:t>
      </w:r>
    </w:p>
    <w:p>
      <w:pPr>
        <w:pStyle w:val="5"/>
        <w:keepNext w:val="0"/>
        <w:keepLines w:val="0"/>
        <w:pageBreakBefore w:val="0"/>
        <w:widowControl w:val="0"/>
        <w:numPr>
          <w:ilvl w:val="0"/>
          <w:numId w:val="361"/>
        </w:numPr>
        <w:wordWrap/>
        <w:bidi w:val="0"/>
        <w:spacing w:before="0" w:after="0" w:line="500" w:lineRule="exact"/>
        <w:ind w:firstLine="56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rPr>
        <w:t>股权管理模式</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集体产权制度改革工作中，各改革村（社区）应当确定折股量化后的股权管理模式，具体的股权管理模式分为固态管理、动态管理、动静结合三种。</w:t>
      </w:r>
    </w:p>
    <w:p>
      <w:pPr>
        <w:pStyle w:val="7"/>
        <w:keepNext w:val="0"/>
        <w:keepLines w:val="0"/>
        <w:pageBreakBefore w:val="0"/>
        <w:widowControl w:val="0"/>
        <w:numPr>
          <w:ilvl w:val="0"/>
          <w:numId w:val="363"/>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固态管理是指改革村（社区）在此次改革中一旦确定了成员原始股权分配比例及数量，今后便不再进行原始股的变化调整（成员的自主交易、抵押担保等后续事宜引起的原始股变化需要进行登记调整）；</w:t>
      </w:r>
    </w:p>
    <w:p>
      <w:pPr>
        <w:pStyle w:val="7"/>
        <w:keepNext w:val="0"/>
        <w:keepLines w:val="0"/>
        <w:pageBreakBefore w:val="0"/>
        <w:widowControl w:val="0"/>
        <w:numPr>
          <w:ilvl w:val="0"/>
          <w:numId w:val="363"/>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动态管理是指本集体经济组织一旦发生成员的进出、增减变动情况，及时对于成员原始股权分配比例及数量进行分配调整；</w:t>
      </w:r>
    </w:p>
    <w:p>
      <w:pPr>
        <w:pStyle w:val="7"/>
        <w:keepNext w:val="0"/>
        <w:keepLines w:val="0"/>
        <w:pageBreakBefore w:val="0"/>
        <w:widowControl w:val="0"/>
        <w:numPr>
          <w:ilvl w:val="0"/>
          <w:numId w:val="363"/>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动静结合是指在一段时间内（如十年）进行固态管理，不再变化调整成员原始股权分配比例及数量，直至该段时间经过，重新确认集体经济组织成员原始股权分配比例及数量。</w:t>
      </w:r>
    </w:p>
    <w:p>
      <w:pPr>
        <w:pStyle w:val="5"/>
        <w:keepNext w:val="0"/>
        <w:keepLines w:val="0"/>
        <w:pageBreakBefore w:val="0"/>
        <w:widowControl w:val="0"/>
        <w:numPr>
          <w:ilvl w:val="0"/>
          <w:numId w:val="361"/>
        </w:numPr>
        <w:wordWrap/>
        <w:bidi w:val="0"/>
        <w:spacing w:before="0" w:after="0" w:line="500" w:lineRule="exact"/>
        <w:ind w:firstLine="562"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rPr>
        <w:t>股权设置事宜</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股权设置事宜包括两个方面，即股权数量与股权类型。</w:t>
      </w:r>
    </w:p>
    <w:p>
      <w:pPr>
        <w:pStyle w:val="7"/>
        <w:keepNext w:val="0"/>
        <w:keepLines w:val="0"/>
        <w:pageBreakBefore w:val="0"/>
        <w:widowControl w:val="0"/>
        <w:numPr>
          <w:ilvl w:val="0"/>
          <w:numId w:val="364"/>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股权数量是指每个股东所享有的原始股权具体为多少股，在实践中要考虑股权今后存在转让、抵押等变动流转的情况。</w:t>
      </w:r>
    </w:p>
    <w:p>
      <w:pPr>
        <w:pStyle w:val="7"/>
        <w:keepNext w:val="0"/>
        <w:keepLines w:val="0"/>
        <w:pageBreakBefore w:val="0"/>
        <w:widowControl w:val="0"/>
        <w:numPr>
          <w:ilvl w:val="0"/>
          <w:numId w:val="364"/>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股权类型是指改革村（社区）根据自身情况并结合本村（社区）的成员情况，具体设置本村股权种类，具体包括集体股、个人基本股、劳龄股、奖励股、贡献股、福利股等，相关股权介绍如下：</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eastAsia="zh-CN" w:bidi="zh-CN"/>
        </w:rPr>
        <w:t>（1）</w:t>
      </w:r>
      <w:r>
        <w:rPr>
          <w:rFonts w:hint="eastAsia" w:ascii="仿宋_GB2312" w:hAnsi="仿宋" w:eastAsia="仿宋_GB2312" w:cs="仿宋"/>
          <w:color w:val="000000"/>
          <w:sz w:val="28"/>
          <w:szCs w:val="28"/>
          <w:lang w:val="zh-CN" w:eastAsia="zh-CN" w:bidi="zh-CN"/>
        </w:rPr>
        <w:t>集体股是指集体经济组织保留一定比例的股权比例，用于发展壮大本集体经济组织，及集体股仅仅享有分红权，并不享有投票、选举、处置的权利，集体股享有的分红应专项用于转增资本、壮大集体经济实力、弥补亏损，投入集体文教、卫生等公共服务，建设公益设施及发放集体福利费用等，此外，一旦本村（社区）发生有偿退出集体经济组织、成员资格丧失等股权回赎事宜，或者集体经济组织成员因诉讼等原因而需多分配股权时，集体股的设置将保证总股数不变的前提下，有效实现个人基本股的增减变动，并对股权单位价值产生影响。</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值得注意的是，农业部经济管理司建议各村（社区）如非必要建议不要设置集体股，如要设置集体股，其比例不宜超过20%。</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eastAsia="zh-CN" w:bidi="zh-CN"/>
        </w:rPr>
        <w:t>（2）</w:t>
      </w:r>
      <w:r>
        <w:rPr>
          <w:rFonts w:hint="eastAsia" w:ascii="仿宋_GB2312" w:hAnsi="仿宋" w:eastAsia="仿宋_GB2312" w:cs="仿宋"/>
          <w:color w:val="000000"/>
          <w:sz w:val="28"/>
          <w:szCs w:val="28"/>
          <w:lang w:val="zh-CN" w:eastAsia="zh-CN" w:bidi="zh-CN"/>
        </w:rPr>
        <w:t>个人基本股是指在本村（社区）此次集体产权制度改革中，按照成员资格认定方案享有成员资格的村民，予以分配一定比例的股权。个人基本股可以统一设置，亦可以根据成员的具体情况进行区别配置。</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eastAsia="zh-CN" w:bidi="zh-CN"/>
        </w:rPr>
        <w:t>（3）</w:t>
      </w:r>
      <w:r>
        <w:rPr>
          <w:rFonts w:hint="eastAsia" w:ascii="仿宋_GB2312" w:hAnsi="仿宋" w:eastAsia="仿宋_GB2312" w:cs="仿宋"/>
          <w:color w:val="000000"/>
          <w:sz w:val="28"/>
          <w:szCs w:val="28"/>
          <w:lang w:val="zh-CN" w:eastAsia="zh-CN" w:bidi="zh-CN"/>
        </w:rPr>
        <w:t>劳龄股是指在曾对于本村（社区）具有劳动贡献，但是在基准日前死亡的村民，本村（社区）给予其个人劳龄股，并将该股份确认到该村民所在户，有该户内的其他集体经济组织成员自主分配。</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eastAsia="zh-CN" w:bidi="zh-CN"/>
        </w:rPr>
        <w:t>（4）</w:t>
      </w:r>
      <w:r>
        <w:rPr>
          <w:rFonts w:hint="eastAsia" w:ascii="仿宋_GB2312" w:hAnsi="仿宋" w:eastAsia="仿宋_GB2312" w:cs="仿宋"/>
          <w:color w:val="000000"/>
          <w:sz w:val="28"/>
          <w:szCs w:val="28"/>
          <w:lang w:val="zh-CN" w:eastAsia="zh-CN" w:bidi="zh-CN"/>
        </w:rPr>
        <w:t>奖励股是指对于本村（社区）村民遵守计划生育相关政策的独生子女办证户、两女扎户夫妻以及其他依照法律法规规定的家庭，因依法依规却导致对于集体资产股权分配偏少的家庭，通过设置奖励股来平衡上述家庭或可因此造成的不公平。奖励股仅仅享有集体资产的分红权利，不享有投票、选举等其他权利。</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eastAsia="zh-CN" w:bidi="zh-CN"/>
        </w:rPr>
        <w:t>（5）</w:t>
      </w:r>
      <w:r>
        <w:rPr>
          <w:rFonts w:hint="eastAsia" w:ascii="仿宋_GB2312" w:hAnsi="仿宋" w:eastAsia="仿宋_GB2312" w:cs="仿宋"/>
          <w:color w:val="000000"/>
          <w:sz w:val="28"/>
          <w:szCs w:val="28"/>
          <w:lang w:val="zh-CN" w:eastAsia="zh-CN" w:bidi="zh-CN"/>
        </w:rPr>
        <w:t>贡献股是指对于本集体经济组织具有特殊贡献，但无法享有集体股权或享有的股权与其对于村（社区）的贡献程度不服的成员或非成员（如华侨），为了回报这部分人员的贡献，特设置为其设置贡献股。贡献股仅仅享有集体资产的分红权利，不享有投票、选举等其他权利。</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w:t>
      </w:r>
      <w:r>
        <w:rPr>
          <w:rFonts w:hint="eastAsia" w:ascii="仿宋_GB2312" w:hAnsi="仿宋" w:eastAsia="仿宋_GB2312" w:cs="仿宋"/>
          <w:color w:val="000000"/>
          <w:sz w:val="28"/>
          <w:szCs w:val="28"/>
          <w:lang w:eastAsia="zh-CN" w:bidi="zh-CN"/>
        </w:rPr>
        <w:t>6</w:t>
      </w:r>
      <w:r>
        <w:rPr>
          <w:rFonts w:hint="eastAsia" w:ascii="仿宋_GB2312" w:hAnsi="仿宋" w:eastAsia="仿宋_GB2312" w:cs="仿宋"/>
          <w:color w:val="000000"/>
          <w:sz w:val="28"/>
          <w:szCs w:val="28"/>
          <w:lang w:val="zh-CN" w:eastAsia="zh-CN" w:bidi="zh-CN"/>
        </w:rPr>
        <w:t>）福利股是指原先因法律法规或村民内部决议享有集体经济组织福利待遇的人员，通过设置福利股保留其在本村社区的福利待遇。福利股仅仅享有集体资产分红的权利，不享有投票、选举等其他权利。</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上述股权是否设置、设置数量、设置比例皆由各村根据自身情况进行决定。</w:t>
      </w:r>
    </w:p>
    <w:p>
      <w:pPr>
        <w:pStyle w:val="5"/>
        <w:keepNext w:val="0"/>
        <w:keepLines w:val="0"/>
        <w:pageBreakBefore w:val="0"/>
        <w:widowControl w:val="0"/>
        <w:wordWrap/>
        <w:bidi w:val="0"/>
        <w:spacing w:before="0" w:after="0" w:line="500" w:lineRule="exact"/>
        <w:ind w:firstLine="562" w:firstLineChars="200"/>
        <w:outlineLvl w:val="0"/>
        <w:rPr>
          <w:rFonts w:hint="eastAsia" w:ascii="仿宋_GB2312" w:hAnsi="仿宋" w:eastAsia="仿宋_GB2312" w:cs="仿宋"/>
          <w:color w:val="000000"/>
          <w:sz w:val="28"/>
          <w:szCs w:val="28"/>
        </w:rPr>
      </w:pPr>
      <w:bookmarkStart w:id="662" w:name="_Toc11588"/>
      <w:r>
        <w:rPr>
          <w:rFonts w:hint="eastAsia" w:ascii="仿宋_GB2312" w:hAnsi="仿宋" w:eastAsia="仿宋_GB2312" w:cs="仿宋"/>
          <w:color w:val="000000"/>
          <w:sz w:val="28"/>
          <w:szCs w:val="28"/>
        </w:rPr>
        <w:t>第一百零三条  村民户代表会议</w:t>
      </w:r>
      <w:bookmarkEnd w:id="662"/>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在召开本村集体产权制度改革的第一次村民户代表会议前，应当做好充分的准备，各村（社区）需要通过先后召开村两委会议、集体产权制度改革工作组会议、村民代表会议对于本村（社区）的《集体产权制度改革实施方案》、《集体资产清偿核资情况》、《集体经济组织成员资格认定方案》《集体经营性资产股份合作改革方案》四个方案进行讨论，并最终讨论通过“四个方案”的草案。通过充分的讨论，为“四个方案”在全村（社区）的村民会议或户代表会议上的表决能够高票通过打好基础，避免因解释、准备工作不足的导致重复表决的情形出现。在实践中，考虑到农村（社区）人口众多等原因，建议通过召开户代表会议来表决“四份方案”从而最大限度的减少工作量。</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会议准备步骤：</w:t>
      </w:r>
    </w:p>
    <w:p>
      <w:pPr>
        <w:pStyle w:val="7"/>
        <w:keepNext w:val="0"/>
        <w:keepLines w:val="0"/>
        <w:pageBreakBefore w:val="0"/>
        <w:widowControl w:val="0"/>
        <w:numPr>
          <w:ilvl w:val="0"/>
          <w:numId w:val="365"/>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请示开会。由村（社区）向所在镇（街道）政府呈报《关于加快推进农村集体产权制度改革工作的报告》，向镇（街道）政府报告“四个方案”的具体内容，并请示会议时间。镇（街道）政府在接到请示报告后，进行审查并做出《审核意见》同意改革工作的推进。</w:t>
      </w:r>
    </w:p>
    <w:p>
      <w:pPr>
        <w:pStyle w:val="7"/>
        <w:keepNext w:val="0"/>
        <w:keepLines w:val="0"/>
        <w:pageBreakBefore w:val="0"/>
        <w:widowControl w:val="0"/>
        <w:numPr>
          <w:ilvl w:val="0"/>
          <w:numId w:val="365"/>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会议通知。通过在村（社区）公示栏、告示栏等位置张贴村民代表或户代表会议的《召开公告》，有条件的村（社区）可以入户发放《户代表会议通知》并让户内成员签写《签收凭证》。</w:t>
      </w:r>
    </w:p>
    <w:p>
      <w:pPr>
        <w:pStyle w:val="7"/>
        <w:keepNext w:val="0"/>
        <w:keepLines w:val="0"/>
        <w:pageBreakBefore w:val="0"/>
        <w:widowControl w:val="0"/>
        <w:numPr>
          <w:ilvl w:val="0"/>
          <w:numId w:val="365"/>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会议召开形式。召开村民会议或村民户代表会议，会议具体形式可以采取集中召开或分组召开的方式，所谓集中召开是指全体村民或户代表对于“四个方案”一同表决；而所谓分组召开，可以是每个村民小组单独对于“四个方案”进行表决，还可以是“四个方案”拆开表决，每份方案单独表决。集中表决的优点在于减少工作量，而分组表决则有利于减少矛盾集中爆发的可能性。</w:t>
      </w:r>
    </w:p>
    <w:p>
      <w:pPr>
        <w:pStyle w:val="7"/>
        <w:keepNext w:val="0"/>
        <w:keepLines w:val="0"/>
        <w:pageBreakBefore w:val="0"/>
        <w:widowControl w:val="0"/>
        <w:numPr>
          <w:ilvl w:val="0"/>
          <w:numId w:val="365"/>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会议召开具体事项。会议内容正式开始前，需要各参会人员签写《会议签到表》、《成员认定及股份分配情况调查确认表》、《授权委托书》。</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会议正式开始后，相关改革人员向全体村民或户代表解释此次改革的目的意义、并对于“四个方案”进行解释，由工作人员分发《表决票》，参会人员根据自身意愿进行投票。</w:t>
      </w:r>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会议投票结束后，由计票人、监票人进行票决结果的统计，并制成《票决情况统计表》。</w:t>
      </w:r>
    </w:p>
    <w:p>
      <w:pPr>
        <w:pStyle w:val="7"/>
        <w:keepNext w:val="0"/>
        <w:keepLines w:val="0"/>
        <w:pageBreakBefore w:val="0"/>
        <w:widowControl w:val="0"/>
        <w:numPr>
          <w:ilvl w:val="0"/>
          <w:numId w:val="365"/>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会议内容公示、备案。村民会议或户代表会议结束后，对《票决情况统计表》及《村民会议决议内容的公示》在全村范围内一般公示30日，待公示期满后，村（社区）呈报《集体产权制度改革方案的备案申请》向市（县、区）的农业主管部门及所在镇（街道）政府备案表决通过后的“四个方案”。</w:t>
      </w:r>
    </w:p>
    <w:p>
      <w:pPr>
        <w:pStyle w:val="5"/>
        <w:keepNext w:val="0"/>
        <w:keepLines w:val="0"/>
        <w:pageBreakBefore w:val="0"/>
        <w:widowControl w:val="0"/>
        <w:wordWrap/>
        <w:bidi w:val="0"/>
        <w:spacing w:before="0" w:after="0" w:line="500" w:lineRule="exact"/>
        <w:ind w:firstLine="562" w:firstLineChars="200"/>
        <w:outlineLvl w:val="0"/>
        <w:rPr>
          <w:rFonts w:hint="eastAsia" w:ascii="仿宋_GB2312" w:hAnsi="仿宋" w:eastAsia="仿宋_GB2312" w:cs="仿宋"/>
          <w:color w:val="000000"/>
          <w:spacing w:val="-6"/>
          <w:sz w:val="28"/>
          <w:szCs w:val="28"/>
          <w:lang w:val="zh-CN"/>
        </w:rPr>
      </w:pPr>
      <w:bookmarkStart w:id="663" w:name="_Toc857"/>
      <w:r>
        <w:rPr>
          <w:rFonts w:hint="eastAsia" w:ascii="仿宋_GB2312" w:hAnsi="仿宋" w:eastAsia="仿宋_GB2312" w:cs="仿宋"/>
          <w:color w:val="000000"/>
          <w:sz w:val="28"/>
          <w:szCs w:val="28"/>
          <w:lang w:val="zh-CN"/>
        </w:rPr>
        <w:t>第一百零四条</w:t>
      </w:r>
      <w:r>
        <w:rPr>
          <w:rFonts w:hint="eastAsia" w:ascii="仿宋_GB2312" w:hAnsi="仿宋" w:eastAsia="仿宋_GB2312" w:cs="仿宋"/>
          <w:color w:val="000000"/>
          <w:sz w:val="28"/>
          <w:szCs w:val="28"/>
        </w:rPr>
        <w:t xml:space="preserve">  </w:t>
      </w:r>
      <w:r>
        <w:rPr>
          <w:rFonts w:hint="eastAsia" w:ascii="仿宋_GB2312" w:hAnsi="仿宋" w:eastAsia="仿宋_GB2312" w:cs="仿宋"/>
          <w:color w:val="000000"/>
          <w:spacing w:val="-6"/>
          <w:sz w:val="28"/>
          <w:szCs w:val="28"/>
          <w:lang w:val="zh-CN"/>
        </w:rPr>
        <w:t>村（社区）股份经济合作社章程的制定及表决通过</w:t>
      </w:r>
      <w:bookmarkEnd w:id="663"/>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股份经济合作社作为集体经济组织的新型组织形式，真正实现了集体经济组织从主体虚化到实体化的转变。《民法典》将股份经济合作社确定为特别法人，却又为明确规定其组织架构及运作形式，因此，《股份经济合作社章程》的设计即要区别于公司又需要借鉴公司运行架构的成熟经验。《股份经济合作社章程》作为股份经济合作社的“宪法性文件”，对于该文件的制定需要进行多方面的考虑，现就该阶段需要进行工作概述如下：</w:t>
      </w:r>
    </w:p>
    <w:p>
      <w:pPr>
        <w:pStyle w:val="7"/>
        <w:keepNext w:val="0"/>
        <w:keepLines w:val="0"/>
        <w:pageBreakBefore w:val="0"/>
        <w:widowControl w:val="0"/>
        <w:numPr>
          <w:ilvl w:val="0"/>
          <w:numId w:val="366"/>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时间把握。由于集体产权制度改革的“四个方案”表决通过后一般需要公示30日，为了加快集体产权制度改革工作，应当抓紧时间，在这30个工作日内完成章程草案的定稿，在“四个方案”公示期满后，进一步召开成员户代表会议，对于章程草案等相关事项进行表决。</w:t>
      </w:r>
    </w:p>
    <w:p>
      <w:pPr>
        <w:pStyle w:val="7"/>
        <w:keepNext w:val="0"/>
        <w:keepLines w:val="0"/>
        <w:pageBreakBefore w:val="0"/>
        <w:widowControl w:val="0"/>
        <w:numPr>
          <w:ilvl w:val="0"/>
          <w:numId w:val="366"/>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章程制定。制定本村股份经济合作社章程需要从股份经济合作社的职责、资产、股权设置、股权登记、股权流转、成员权利义务、组织机构、资产经营与管理、财务管理和收益分配等多个方面对于股份经济合作社的经营、管理运作设计。合理设立成员大会、理事会、监事会等组织机构，负责股份经济合作社的经营决策；合理设计成员及成员代表参与股份经济合作社议决事的工作运行机制，确保股份经济合作社经营、管理事项的民主表决；合理赋予成员及成员代表参与股份经济合作社日常经营的权利，保障民主表决及民主监督的有效实行。股份经济合作社章程应当经成员大会最终表决通过而生效。</w:t>
      </w:r>
    </w:p>
    <w:p>
      <w:pPr>
        <w:pStyle w:val="7"/>
        <w:keepNext w:val="0"/>
        <w:keepLines w:val="0"/>
        <w:pageBreakBefore w:val="0"/>
        <w:widowControl w:val="0"/>
        <w:numPr>
          <w:ilvl w:val="0"/>
          <w:numId w:val="366"/>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召开村民代表大会。召开村民代表大会审议《集体产权制度改革相关说明》、《集体产权制度改革相关工作计划》、《章程》（草案）、《成员代表推选办法》（草案）等材料，并取得村民代表大会的集体同意。</w:t>
      </w:r>
    </w:p>
    <w:p>
      <w:pPr>
        <w:pStyle w:val="7"/>
        <w:keepNext w:val="0"/>
        <w:keepLines w:val="0"/>
        <w:pageBreakBefore w:val="0"/>
        <w:widowControl w:val="0"/>
        <w:numPr>
          <w:ilvl w:val="0"/>
          <w:numId w:val="366"/>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章程、成员代表推选办法的请示。村党支部、村委会行文向镇政府（街道办事处）请示本村集体产权制度改革的工作计划及相关说明，并将成员代表大会审议通过的《股份经济合作社章程》及《成员代表推选办法》向镇政府（街道办事处）进行报告。</w:t>
      </w:r>
    </w:p>
    <w:p>
      <w:pPr>
        <w:pStyle w:val="7"/>
        <w:keepNext w:val="0"/>
        <w:keepLines w:val="0"/>
        <w:pageBreakBefore w:val="0"/>
        <w:widowControl w:val="0"/>
        <w:numPr>
          <w:ilvl w:val="0"/>
          <w:numId w:val="366"/>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镇政府（街道办事处）做好批复工作。对于村里提出《关于加快推进农村集体产权制度改革工作的报告》，镇里审核相关内容后作出批复意见。</w:t>
      </w:r>
    </w:p>
    <w:p>
      <w:pPr>
        <w:pStyle w:val="7"/>
        <w:keepNext w:val="0"/>
        <w:keepLines w:val="0"/>
        <w:pageBreakBefore w:val="0"/>
        <w:widowControl w:val="0"/>
        <w:numPr>
          <w:ilvl w:val="0"/>
          <w:numId w:val="366"/>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确定成员代表候选人名单，并做好请示工作。根据已经成员代表大会表决通过的《成员代表推选办法》的相关规定，由《成员代表推选》办法确定的提名机构（一般为村党支部、村两委等）对本村的成员代表候选人进行提名，亦可根据本村情况决定是否赋予本村村民自荐的权利。在成员代表候选人名单确定后，由村（社区）将成员名单向镇政府（街道办事处）进行报批请示。</w:t>
      </w:r>
    </w:p>
    <w:p>
      <w:pPr>
        <w:pStyle w:val="7"/>
        <w:keepNext w:val="0"/>
        <w:keepLines w:val="0"/>
        <w:pageBreakBefore w:val="0"/>
        <w:widowControl w:val="0"/>
        <w:numPr>
          <w:ilvl w:val="0"/>
          <w:numId w:val="366"/>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镇政府（街道办事处）做好成员候选人名单的批复工作批复。镇政府（街道办事处）对于村（社区）呈报的《股份经济合作社第一届成员代表候选人名单的报告》进行审核后作出批复意见。</w:t>
      </w:r>
    </w:p>
    <w:p>
      <w:pPr>
        <w:pStyle w:val="7"/>
        <w:keepNext w:val="0"/>
        <w:keepLines w:val="0"/>
        <w:pageBreakBefore w:val="0"/>
        <w:widowControl w:val="0"/>
        <w:numPr>
          <w:ilvl w:val="0"/>
          <w:numId w:val="366"/>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做好成员户代表会议的会议通知。村（社区）布置力量做好成员户代表会议召开的通知事宜，主要内容包括张贴会议《召开公告》、入户送达《会议通知》并由各户人员填写《签收凭证》。</w:t>
      </w:r>
    </w:p>
    <w:p>
      <w:pPr>
        <w:pStyle w:val="7"/>
        <w:keepNext w:val="0"/>
        <w:keepLines w:val="0"/>
        <w:pageBreakBefore w:val="0"/>
        <w:widowControl w:val="0"/>
        <w:numPr>
          <w:ilvl w:val="0"/>
          <w:numId w:val="366"/>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成员户代表会议的召开、表决。根据各村以往的会议表决情况及方式，做好参会人员的签到工作，会上应介绍《股份经济合作社章程》（草案）、《股份经济合作社第一届成员代表候选人名单》的相关内容，并让参与人员进行表决，对于表决结果进行统计。对于上述事项予以记录，并做会议记录。</w:t>
      </w:r>
    </w:p>
    <w:p>
      <w:pPr>
        <w:pStyle w:val="7"/>
        <w:keepNext w:val="0"/>
        <w:keepLines w:val="0"/>
        <w:pageBreakBefore w:val="0"/>
        <w:widowControl w:val="0"/>
        <w:numPr>
          <w:ilvl w:val="0"/>
          <w:numId w:val="366"/>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会议票决结果的公示及其报告备案。对于此次会议关于章程及成员代表名单的表决情况进行汇总，并做好公示工作，公示期一般为7日。公示期满后，向镇政府（街道办事处）以及农业主管部门做好备案工作。</w:t>
      </w:r>
    </w:p>
    <w:p>
      <w:pPr>
        <w:pStyle w:val="5"/>
        <w:keepNext w:val="0"/>
        <w:keepLines w:val="0"/>
        <w:pageBreakBefore w:val="0"/>
        <w:widowControl w:val="0"/>
        <w:wordWrap/>
        <w:bidi w:val="0"/>
        <w:spacing w:before="0" w:after="0" w:line="500" w:lineRule="exact"/>
        <w:ind w:firstLine="562" w:firstLineChars="200"/>
        <w:outlineLvl w:val="0"/>
        <w:rPr>
          <w:rFonts w:hint="eastAsia" w:ascii="仿宋_GB2312" w:hAnsi="仿宋" w:eastAsia="仿宋_GB2312" w:cs="仿宋"/>
          <w:color w:val="000000"/>
          <w:sz w:val="28"/>
          <w:szCs w:val="28"/>
        </w:rPr>
      </w:pPr>
      <w:bookmarkStart w:id="664" w:name="_Toc18919"/>
      <w:r>
        <w:rPr>
          <w:rFonts w:hint="eastAsia" w:ascii="仿宋_GB2312" w:hAnsi="仿宋" w:eastAsia="仿宋_GB2312" w:cs="仿宋"/>
          <w:color w:val="000000"/>
          <w:sz w:val="28"/>
          <w:szCs w:val="28"/>
        </w:rPr>
        <w:t>第一百零五条  股份经济合作社成立大会</w:t>
      </w:r>
      <w:bookmarkEnd w:id="664"/>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股份经济合作社成立大会系集体产权制度改革成果的收获阶段，成立大会上需要对于股份经济合作社的权力机构进行选举，搭建股份经济合作社的运作机构，最终达到将集体经济组织实体化的目的。在此，需要对于股份经济合作社的成立程序进行安排介绍。</w:t>
      </w:r>
    </w:p>
    <w:p>
      <w:pPr>
        <w:pStyle w:val="7"/>
        <w:keepNext w:val="0"/>
        <w:keepLines w:val="0"/>
        <w:pageBreakBefore w:val="0"/>
        <w:widowControl w:val="0"/>
        <w:numPr>
          <w:ilvl w:val="0"/>
          <w:numId w:val="367"/>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理事会、监事会候选人名单的请示。依据《股份经济合作社章程》的相关规定，理事会、监事会候选人由村（社区）党支部等单位进行提名，若有条件的可以由村委会提名或村民自荐的方式确定候选人。候选人名单确定完成后，由村（社区）向镇政府（街道办事处）进行请示。</w:t>
      </w:r>
    </w:p>
    <w:p>
      <w:pPr>
        <w:pStyle w:val="7"/>
        <w:keepNext w:val="0"/>
        <w:keepLines w:val="0"/>
        <w:pageBreakBefore w:val="0"/>
        <w:widowControl w:val="0"/>
        <w:numPr>
          <w:ilvl w:val="0"/>
          <w:numId w:val="367"/>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镇政府（街道办事处）对理事会、监事会候选人名单的批复。镇政府（街道办事处）审核请示内容，并做出批复意见。</w:t>
      </w:r>
    </w:p>
    <w:p>
      <w:pPr>
        <w:pStyle w:val="7"/>
        <w:keepNext w:val="0"/>
        <w:keepLines w:val="0"/>
        <w:pageBreakBefore w:val="0"/>
        <w:widowControl w:val="0"/>
        <w:numPr>
          <w:ilvl w:val="0"/>
          <w:numId w:val="367"/>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申请对股份经济合作社授牌授印。各村（社区）向农业主管部门审核改革进度，并申请对新成立的股份经济合作社进行授牌授印，农业主管部门在收到申请后，需要出席村（社区）的成立大会，并在大会上向新成立的股份经济合作社进行授牌授印。</w:t>
      </w:r>
    </w:p>
    <w:p>
      <w:pPr>
        <w:pStyle w:val="7"/>
        <w:keepNext w:val="0"/>
        <w:keepLines w:val="0"/>
        <w:pageBreakBefore w:val="0"/>
        <w:widowControl w:val="0"/>
        <w:numPr>
          <w:ilvl w:val="0"/>
          <w:numId w:val="367"/>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筹备成立大会的召开事宜。告知各成员代表参加成立大会，并制作成立大会议程，让各代表熟知参会的相关事宜。</w:t>
      </w:r>
    </w:p>
    <w:p>
      <w:pPr>
        <w:pStyle w:val="7"/>
        <w:keepNext w:val="0"/>
        <w:keepLines w:val="0"/>
        <w:pageBreakBefore w:val="0"/>
        <w:widowControl w:val="0"/>
        <w:numPr>
          <w:ilvl w:val="0"/>
          <w:numId w:val="367"/>
        </w:numPr>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lang w:val="zh-CN" w:eastAsia="zh-CN" w:bidi="zh-CN"/>
        </w:rPr>
        <w:t>正式召开成立大会，并做好表决的统计工作。成立大会上分发表决票，表决《股份经济合作社选举办法》，并由成员代表选举产生股份经济合作社的理事会、监事会成员，将表决结果进行汇总。农业主管部门及镇政府（街道办事处）相关领导为改革完成的村（社区）颁发《集体经济组织证明书》、股份经济合作社的牌匾及印章也一并在会上颁发。</w:t>
      </w:r>
    </w:p>
    <w:p>
      <w:pPr>
        <w:pStyle w:val="7"/>
        <w:keepNext w:val="0"/>
        <w:keepLines w:val="0"/>
        <w:pageBreakBefore w:val="0"/>
        <w:widowControl w:val="0"/>
        <w:numPr>
          <w:ilvl w:val="0"/>
          <w:numId w:val="367"/>
        </w:numPr>
        <w:wordWrap/>
        <w:bidi w:val="0"/>
        <w:spacing w:beforeLines="0" w:after="0" w:afterLines="0" w:line="500" w:lineRule="exact"/>
        <w:ind w:firstLine="602"/>
        <w:jc w:val="both"/>
        <w:rPr>
          <w:rFonts w:hint="eastAsia" w:ascii="仿宋_GB2312" w:hAnsi="仿宋" w:eastAsia="仿宋_GB2312" w:cs="仿宋"/>
          <w:color w:val="000000"/>
          <w:sz w:val="28"/>
          <w:szCs w:val="28"/>
          <w:lang w:val="zh-CN" w:eastAsia="zh-CN" w:bidi="zh-CN"/>
        </w:rPr>
      </w:pPr>
      <w:r>
        <w:rPr>
          <w:rFonts w:hint="eastAsia" w:ascii="仿宋_GB2312" w:hAnsi="仿宋" w:eastAsia="仿宋_GB2312" w:cs="仿宋"/>
          <w:color w:val="000000"/>
          <w:sz w:val="28"/>
          <w:szCs w:val="28"/>
          <w:lang w:val="zh-CN" w:eastAsia="zh-CN" w:bidi="zh-CN"/>
        </w:rPr>
        <w:t>会议表决结果及选举结果公示、备案。将表决的汇总统计情况及会议决议结果进行公示，并将会议结果向农业主管部门、镇政府（街道办事处）进行备案。</w:t>
      </w:r>
      <w:bookmarkStart w:id="665" w:name="第四章_附则"/>
      <w:bookmarkEnd w:id="665"/>
      <w:bookmarkStart w:id="666" w:name="_bookmark50"/>
      <w:bookmarkEnd w:id="666"/>
    </w:p>
    <w:p>
      <w:pPr>
        <w:keepNext w:val="0"/>
        <w:keepLines w:val="0"/>
        <w:pageBreakBefore w:val="0"/>
        <w:widowControl w:val="0"/>
        <w:wordWrap/>
        <w:bidi w:val="0"/>
        <w:spacing w:after="0" w:line="500" w:lineRule="exact"/>
        <w:jc w:val="center"/>
        <w:rPr>
          <w:rFonts w:hint="eastAsia" w:ascii="黑体" w:hAnsi="黑体" w:eastAsia="黑体" w:cs="黑体"/>
          <w:color w:val="000000"/>
          <w:sz w:val="28"/>
          <w:szCs w:val="28"/>
        </w:rPr>
      </w:pPr>
    </w:p>
    <w:p>
      <w:pPr>
        <w:keepNext w:val="0"/>
        <w:keepLines w:val="0"/>
        <w:pageBreakBefore w:val="0"/>
        <w:widowControl w:val="0"/>
        <w:wordWrap/>
        <w:bidi w:val="0"/>
        <w:spacing w:after="0" w:line="500" w:lineRule="exact"/>
        <w:jc w:val="center"/>
        <w:outlineLvl w:val="0"/>
        <w:rPr>
          <w:rFonts w:hint="eastAsia" w:ascii="黑体" w:hAnsi="黑体" w:eastAsia="黑体" w:cs="黑体"/>
          <w:color w:val="000000"/>
          <w:sz w:val="28"/>
          <w:szCs w:val="28"/>
        </w:rPr>
      </w:pPr>
      <w:bookmarkStart w:id="667" w:name="_Toc11402"/>
      <w:r>
        <w:rPr>
          <w:rFonts w:hint="eastAsia" w:ascii="黑体" w:hAnsi="黑体" w:eastAsia="黑体" w:cs="黑体"/>
          <w:color w:val="000000"/>
          <w:sz w:val="28"/>
          <w:szCs w:val="28"/>
        </w:rPr>
        <w:t>第四章   附则</w:t>
      </w:r>
      <w:bookmarkEnd w:id="667"/>
    </w:p>
    <w:p>
      <w:pPr>
        <w:pStyle w:val="7"/>
        <w:keepNext w:val="0"/>
        <w:keepLines w:val="0"/>
        <w:pageBreakBefore w:val="0"/>
        <w:widowControl w:val="0"/>
        <w:wordWrap/>
        <w:bidi w:val="0"/>
        <w:spacing w:beforeLines="0" w:after="0" w:afterLines="0" w:line="500" w:lineRule="exact"/>
        <w:ind w:firstLine="602"/>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本指引根据 2021 年 </w:t>
      </w:r>
      <w:r>
        <w:rPr>
          <w:rFonts w:hint="eastAsia" w:ascii="仿宋_GB2312" w:hAnsi="仿宋" w:eastAsia="仿宋_GB2312" w:cs="仿宋"/>
          <w:color w:val="000000"/>
          <w:sz w:val="28"/>
          <w:szCs w:val="28"/>
          <w:lang w:eastAsia="zh-CN"/>
        </w:rPr>
        <w:t>6</w:t>
      </w:r>
      <w:r>
        <w:rPr>
          <w:rFonts w:hint="eastAsia" w:ascii="仿宋_GB2312" w:hAnsi="仿宋" w:eastAsia="仿宋_GB2312" w:cs="仿宋"/>
          <w:color w:val="000000"/>
          <w:sz w:val="28"/>
          <w:szCs w:val="28"/>
        </w:rPr>
        <w:t xml:space="preserve">月 </w:t>
      </w:r>
      <w:r>
        <w:rPr>
          <w:rFonts w:hint="eastAsia" w:ascii="仿宋_GB2312" w:hAnsi="仿宋" w:eastAsia="仿宋_GB2312" w:cs="仿宋"/>
          <w:color w:val="000000"/>
          <w:sz w:val="28"/>
          <w:szCs w:val="28"/>
          <w:lang w:eastAsia="zh-CN"/>
        </w:rPr>
        <w:t>30</w:t>
      </w:r>
      <w:r>
        <w:rPr>
          <w:rFonts w:hint="eastAsia" w:ascii="仿宋_GB2312" w:hAnsi="仿宋" w:eastAsia="仿宋_GB2312" w:cs="仿宋"/>
          <w:color w:val="000000"/>
          <w:sz w:val="28"/>
          <w:szCs w:val="28"/>
        </w:rPr>
        <w:t>日之前国家颁布实施的法律、行政法规、规章、司法解释及其他相关文件的规定，结合当前律师办理涉农实务操作方法制定。若国家的法律、法规及规范性文件发生变化，应以新的法律、法规及规范性文件为依据。</w:t>
      </w:r>
    </w:p>
    <w:p>
      <w:pPr>
        <w:keepNext w:val="0"/>
        <w:keepLines w:val="0"/>
        <w:pageBreakBefore w:val="0"/>
        <w:widowControl w:val="0"/>
        <w:wordWrap/>
        <w:bidi w:val="0"/>
        <w:spacing w:after="0" w:line="500" w:lineRule="exact"/>
        <w:jc w:val="center"/>
        <w:rPr>
          <w:rFonts w:hint="eastAsia" w:ascii="方正小标宋简体" w:hAnsi="方正小标宋简体" w:eastAsia="方正小标宋简体" w:cs="方正小标宋简体"/>
          <w:color w:val="000000"/>
          <w:sz w:val="40"/>
          <w:szCs w:val="40"/>
        </w:rPr>
      </w:pPr>
      <w:r>
        <w:rPr>
          <w:rFonts w:hint="eastAsia" w:ascii="方正小标宋简体" w:hAnsi="方正小标宋简体" w:eastAsia="方正小标宋简体" w:cs="方正小标宋简体"/>
          <w:color w:val="000000"/>
          <w:sz w:val="40"/>
          <w:szCs w:val="40"/>
        </w:rPr>
        <w:br w:type="page"/>
      </w:r>
    </w:p>
    <w:p>
      <w:pPr>
        <w:keepNext w:val="0"/>
        <w:keepLines w:val="0"/>
        <w:pageBreakBefore w:val="0"/>
        <w:widowControl w:val="0"/>
        <w:wordWrap/>
        <w:bidi w:val="0"/>
        <w:spacing w:after="0" w:line="500" w:lineRule="exact"/>
        <w:jc w:val="center"/>
        <w:rPr>
          <w:rFonts w:hint="eastAsia" w:ascii="方正小标宋简体" w:hAnsi="方正小标宋简体" w:eastAsia="方正小标宋简体" w:cs="方正小标宋简体"/>
          <w:color w:val="000000"/>
          <w:sz w:val="40"/>
          <w:szCs w:val="40"/>
        </w:rPr>
      </w:pPr>
    </w:p>
    <w:p>
      <w:pPr>
        <w:keepNext w:val="0"/>
        <w:keepLines w:val="0"/>
        <w:pageBreakBefore w:val="0"/>
        <w:widowControl w:val="0"/>
        <w:wordWrap/>
        <w:bidi w:val="0"/>
        <w:spacing w:after="0" w:line="500" w:lineRule="exact"/>
        <w:jc w:val="center"/>
        <w:rPr>
          <w:rFonts w:hint="eastAsia" w:ascii="方正小标宋简体" w:hAnsi="方正小标宋简体" w:eastAsia="方正小标宋简体" w:cs="方正小标宋简体"/>
          <w:color w:val="000000"/>
          <w:sz w:val="40"/>
          <w:szCs w:val="40"/>
        </w:rPr>
      </w:pPr>
    </w:p>
    <w:p>
      <w:pPr>
        <w:keepNext w:val="0"/>
        <w:keepLines w:val="0"/>
        <w:pageBreakBefore w:val="0"/>
        <w:widowControl w:val="0"/>
        <w:wordWrap/>
        <w:bidi w:val="0"/>
        <w:spacing w:after="0" w:line="500" w:lineRule="exact"/>
        <w:jc w:val="center"/>
        <w:rPr>
          <w:rFonts w:hint="eastAsia" w:ascii="方正小标宋简体" w:hAnsi="方正小标宋简体" w:eastAsia="方正小标宋简体" w:cs="方正小标宋简体"/>
          <w:color w:val="000000"/>
          <w:sz w:val="40"/>
          <w:szCs w:val="40"/>
        </w:rPr>
      </w:pPr>
    </w:p>
    <w:p>
      <w:pPr>
        <w:keepNext w:val="0"/>
        <w:keepLines w:val="0"/>
        <w:pageBreakBefore w:val="0"/>
        <w:widowControl w:val="0"/>
        <w:wordWrap/>
        <w:bidi w:val="0"/>
        <w:spacing w:after="0" w:line="500" w:lineRule="exact"/>
        <w:jc w:val="center"/>
        <w:rPr>
          <w:rFonts w:hint="eastAsia" w:ascii="方正小标宋简体" w:hAnsi="方正小标宋简体" w:eastAsia="方正小标宋简体" w:cs="方正小标宋简体"/>
          <w:color w:val="000000"/>
          <w:sz w:val="40"/>
          <w:szCs w:val="40"/>
        </w:rPr>
      </w:pPr>
    </w:p>
    <w:p>
      <w:pPr>
        <w:keepNext w:val="0"/>
        <w:keepLines w:val="0"/>
        <w:pageBreakBefore w:val="0"/>
        <w:widowControl w:val="0"/>
        <w:wordWrap/>
        <w:bidi w:val="0"/>
        <w:spacing w:after="0" w:line="500" w:lineRule="exact"/>
        <w:jc w:val="center"/>
        <w:rPr>
          <w:rFonts w:hint="eastAsia" w:ascii="方正小标宋简体" w:hAnsi="方正小标宋简体" w:eastAsia="方正小标宋简体" w:cs="方正小标宋简体"/>
          <w:color w:val="000000"/>
          <w:sz w:val="40"/>
          <w:szCs w:val="40"/>
        </w:rPr>
      </w:pPr>
    </w:p>
    <w:p>
      <w:pPr>
        <w:keepNext w:val="0"/>
        <w:keepLines w:val="0"/>
        <w:pageBreakBefore w:val="0"/>
        <w:widowControl w:val="0"/>
        <w:wordWrap/>
        <w:bidi w:val="0"/>
        <w:spacing w:after="0" w:line="500" w:lineRule="exact"/>
        <w:jc w:val="center"/>
        <w:rPr>
          <w:rFonts w:hint="eastAsia" w:ascii="方正小标宋简体" w:hAnsi="方正小标宋简体" w:eastAsia="方正小标宋简体" w:cs="方正小标宋简体"/>
          <w:color w:val="000000"/>
          <w:sz w:val="40"/>
          <w:szCs w:val="40"/>
        </w:rPr>
      </w:pPr>
    </w:p>
    <w:p>
      <w:pPr>
        <w:keepNext w:val="0"/>
        <w:keepLines w:val="0"/>
        <w:pageBreakBefore w:val="0"/>
        <w:widowControl w:val="0"/>
        <w:wordWrap/>
        <w:bidi w:val="0"/>
        <w:spacing w:after="0" w:line="500" w:lineRule="exact"/>
        <w:jc w:val="center"/>
        <w:rPr>
          <w:rFonts w:hint="eastAsia" w:ascii="方正小标宋简体" w:hAnsi="方正小标宋简体" w:eastAsia="方正小标宋简体" w:cs="方正小标宋简体"/>
          <w:color w:val="000000"/>
          <w:sz w:val="48"/>
          <w:szCs w:val="48"/>
        </w:rPr>
      </w:pPr>
      <w:r>
        <w:rPr>
          <w:sz w:val="40"/>
        </w:rPr>
        <mc:AlternateContent>
          <mc:Choice Requires="wps">
            <w:drawing>
              <wp:anchor distT="0" distB="0" distL="114300" distR="114300" simplePos="0" relativeHeight="251748352" behindDoc="0" locked="0" layoutInCell="1" allowOverlap="1">
                <wp:simplePos x="0" y="0"/>
                <wp:positionH relativeFrom="column">
                  <wp:posOffset>-519430</wp:posOffset>
                </wp:positionH>
                <wp:positionV relativeFrom="paragraph">
                  <wp:posOffset>3957955</wp:posOffset>
                </wp:positionV>
                <wp:extent cx="1714500" cy="1167130"/>
                <wp:effectExtent l="0" t="0" r="0" b="13970"/>
                <wp:wrapNone/>
                <wp:docPr id="100" name="文本框 100"/>
                <wp:cNvGraphicFramePr/>
                <a:graphic xmlns:a="http://schemas.openxmlformats.org/drawingml/2006/main">
                  <a:graphicData uri="http://schemas.microsoft.com/office/word/2010/wordprocessingShape">
                    <wps:wsp>
                      <wps:cNvSpPr txBox="1"/>
                      <wps:spPr>
                        <a:xfrm>
                          <a:off x="0" y="0"/>
                          <a:ext cx="1714500" cy="1167130"/>
                        </a:xfrm>
                        <a:prstGeom prst="rect">
                          <a:avLst/>
                        </a:prstGeom>
                        <a:solidFill>
                          <a:srgbClr val="FFFFFF"/>
                        </a:solidFill>
                        <a:ln>
                          <a:noFill/>
                        </a:ln>
                      </wps:spPr>
                      <wps:txbx>
                        <w:txbxContent>
                          <w:p/>
                        </w:txbxContent>
                      </wps:txbx>
                      <wps:bodyPr upright="1"/>
                    </wps:wsp>
                  </a:graphicData>
                </a:graphic>
              </wp:anchor>
            </w:drawing>
          </mc:Choice>
          <mc:Fallback>
            <w:pict>
              <v:shape id="_x0000_s1026" o:spid="_x0000_s1026" o:spt="202" type="#_x0000_t202" style="position:absolute;left:0pt;margin-left:-40.9pt;margin-top:311.65pt;height:91.9pt;width:135pt;z-index:251748352;mso-width-relative:page;mso-height-relative:page;" fillcolor="#FFFFFF" filled="t" stroked="f" coordsize="21600,21600" o:gfxdata="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8KhAJ2QAAAAsBAAAPAAAAAAAAAAEAIAAAACIAAABkcnMvZG93bnJl&#10;di54bWxQSwECFAAUAAAACACHTuJArS98AsMBAAB8AwAADgAAAAAAAAABACAAAAAoAQAAZHJzL2Uy&#10;b0RvYy54bWxQSwUGAAAAAAYABgBZAQAAXQUAAAAA&#10;">
                <v:fill on="t" focussize="0,0"/>
                <v:stroke on="f"/>
                <v:imagedata o:title=""/>
                <o:lock v:ext="edit" aspectratio="f"/>
                <v:textbox>
                  <w:txbxContent>
                    <w:p/>
                  </w:txbxContent>
                </v:textbox>
              </v:shape>
            </w:pict>
          </mc:Fallback>
        </mc:AlternateContent>
      </w:r>
      <w:r>
        <w:rPr>
          <w:sz w:val="40"/>
        </w:rPr>
        <mc:AlternateContent>
          <mc:Choice Requires="wps">
            <w:drawing>
              <wp:anchor distT="0" distB="0" distL="114300" distR="114300" simplePos="0" relativeHeight="251747328" behindDoc="0" locked="0" layoutInCell="1" allowOverlap="1">
                <wp:simplePos x="0" y="0"/>
                <wp:positionH relativeFrom="column">
                  <wp:posOffset>3571875</wp:posOffset>
                </wp:positionH>
                <wp:positionV relativeFrom="paragraph">
                  <wp:posOffset>4364355</wp:posOffset>
                </wp:positionV>
                <wp:extent cx="1544955" cy="666750"/>
                <wp:effectExtent l="0" t="0" r="17145" b="0"/>
                <wp:wrapNone/>
                <wp:docPr id="101" name="文本框 101"/>
                <wp:cNvGraphicFramePr/>
                <a:graphic xmlns:a="http://schemas.openxmlformats.org/drawingml/2006/main">
                  <a:graphicData uri="http://schemas.microsoft.com/office/word/2010/wordprocessingShape">
                    <wps:wsp>
                      <wps:cNvSpPr txBox="1"/>
                      <wps:spPr>
                        <a:xfrm>
                          <a:off x="0" y="0"/>
                          <a:ext cx="1544955" cy="666750"/>
                        </a:xfrm>
                        <a:prstGeom prst="rect">
                          <a:avLst/>
                        </a:prstGeom>
                        <a:solidFill>
                          <a:srgbClr val="FFFFFF"/>
                        </a:solidFill>
                        <a:ln>
                          <a:noFill/>
                        </a:ln>
                      </wps:spPr>
                      <wps:txbx>
                        <w:txbxContent>
                          <w:p/>
                        </w:txbxContent>
                      </wps:txbx>
                      <wps:bodyPr upright="1"/>
                    </wps:wsp>
                  </a:graphicData>
                </a:graphic>
              </wp:anchor>
            </w:drawing>
          </mc:Choice>
          <mc:Fallback>
            <w:pict>
              <v:shape id="_x0000_s1026" o:spid="_x0000_s1026" o:spt="202" type="#_x0000_t202" style="position:absolute;left:0pt;margin-left:281.25pt;margin-top:343.65pt;height:52.5pt;width:121.65pt;z-index:251747328;mso-width-relative:page;mso-height-relative:page;" fillcolor="#FFFFFF" filled="t" stroked="f" coordsize="21600,21600" o:gfxdata="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1IqDENkAAAALAQAADwAAAAAAAAABACAAAAAiAAAAZHJzL2Rvd25y&#10;ZXYueG1sUEsBAhQAFAAAAAgAh07iQGK2dDXEAQAAewMAAA4AAAAAAAAAAQAgAAAAKAEAAGRycy9l&#10;Mm9Eb2MueG1sUEsFBgAAAAAGAAYAWQEAAF4FAAAAAA==&#10;">
                <v:fill on="t" focussize="0,0"/>
                <v:stroke on="f"/>
                <v:imagedata o:title=""/>
                <o:lock v:ext="edit" aspectratio="f"/>
                <v:textbox>
                  <w:txbxContent>
                    <w:p/>
                  </w:txbxContent>
                </v:textbox>
              </v:shape>
            </w:pict>
          </mc:Fallback>
        </mc:AlternateContent>
      </w:r>
      <w:r>
        <w:rPr>
          <w:sz w:val="40"/>
          <w:szCs w:val="21"/>
        </w:rPr>
        <mc:AlternateContent>
          <mc:Choice Requires="wps">
            <w:drawing>
              <wp:anchor distT="0" distB="0" distL="114300" distR="114300" simplePos="0" relativeHeight="251702272" behindDoc="0" locked="0" layoutInCell="1" allowOverlap="1">
                <wp:simplePos x="0" y="0"/>
                <wp:positionH relativeFrom="column">
                  <wp:posOffset>-570230</wp:posOffset>
                </wp:positionH>
                <wp:positionV relativeFrom="paragraph">
                  <wp:posOffset>5478145</wp:posOffset>
                </wp:positionV>
                <wp:extent cx="1512570" cy="786130"/>
                <wp:effectExtent l="4445" t="4445" r="6985" b="9525"/>
                <wp:wrapNone/>
                <wp:docPr id="97" name="矩形 97"/>
                <wp:cNvGraphicFramePr/>
                <a:graphic xmlns:a="http://schemas.openxmlformats.org/drawingml/2006/main">
                  <a:graphicData uri="http://schemas.microsoft.com/office/word/2010/wordprocessingShape">
                    <wps:wsp>
                      <wps:cNvSpPr/>
                      <wps:spPr>
                        <a:xfrm>
                          <a:off x="0" y="0"/>
                          <a:ext cx="1512570" cy="786130"/>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44.9pt;margin-top:431.35pt;height:61.9pt;width:119.1pt;z-index:251702272;mso-width-relative:page;mso-height-relative:page;" fillcolor="#FFFFFF" filled="t" stroked="t" coordsize="21600,21600" o:gfxdata="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o4vc3ZAAAACwEAAA8AAAAAAAAAAQAgAAAAIgAAAGRycy9kb3ducmV2Lnht&#10;bFBLAQIUABQAAAAIAIdO4kDwWKJk+AEAACAEAAAOAAAAAAAAAAEAIAAAACgBAABkcnMvZTJvRG9j&#10;LnhtbFBLBQYAAAAABgAGAFkBAACSBQAAAAA=&#10;">
                <v:fill on="t" focussize="0,0"/>
                <v:stroke color="#FFFFFF" joinstyle="miter"/>
                <v:imagedata o:title=""/>
                <o:lock v:ext="edit" aspectratio="f"/>
              </v:rect>
            </w:pict>
          </mc:Fallback>
        </mc:AlternateContent>
      </w:r>
      <w:r>
        <w:rPr>
          <w:rFonts w:hint="eastAsia" w:ascii="方正小标宋简体" w:hAnsi="方正小标宋简体" w:eastAsia="方正小标宋简体" w:cs="方正小标宋简体"/>
          <w:color w:val="000000"/>
          <w:sz w:val="48"/>
          <w:szCs w:val="48"/>
        </w:rPr>
        <w:br w:type="page"/>
      </w:r>
    </w:p>
    <w:p>
      <w:pPr>
        <w:keepNext w:val="0"/>
        <w:keepLines w:val="0"/>
        <w:pageBreakBefore w:val="0"/>
        <w:widowControl w:val="0"/>
        <w:wordWrap/>
        <w:bidi w:val="0"/>
        <w:spacing w:after="0" w:line="500" w:lineRule="exact"/>
        <w:jc w:val="center"/>
        <w:rPr>
          <w:rFonts w:hint="eastAsia" w:ascii="方正小标宋简体" w:hAnsi="方正小标宋简体" w:eastAsia="方正小标宋简体" w:cs="方正小标宋简体"/>
          <w:color w:val="000000"/>
          <w:sz w:val="48"/>
          <w:szCs w:val="48"/>
        </w:rPr>
      </w:pPr>
    </w:p>
    <w:p>
      <w:pPr>
        <w:keepNext w:val="0"/>
        <w:keepLines w:val="0"/>
        <w:pageBreakBefore w:val="0"/>
        <w:widowControl w:val="0"/>
        <w:wordWrap/>
        <w:bidi w:val="0"/>
        <w:spacing w:after="0" w:line="500" w:lineRule="exact"/>
        <w:jc w:val="center"/>
        <w:rPr>
          <w:rFonts w:hint="eastAsia" w:ascii="方正小标宋简体" w:hAnsi="方正小标宋简体" w:eastAsia="方正小标宋简体" w:cs="方正小标宋简体"/>
          <w:color w:val="000000"/>
          <w:sz w:val="48"/>
          <w:szCs w:val="48"/>
        </w:rPr>
      </w:pPr>
    </w:p>
    <w:p>
      <w:pPr>
        <w:keepNext w:val="0"/>
        <w:keepLines w:val="0"/>
        <w:pageBreakBefore w:val="0"/>
        <w:widowControl w:val="0"/>
        <w:wordWrap/>
        <w:bidi w:val="0"/>
        <w:spacing w:after="0" w:line="500" w:lineRule="exact"/>
        <w:jc w:val="center"/>
        <w:rPr>
          <w:rFonts w:hint="eastAsia" w:ascii="方正小标宋简体" w:hAnsi="方正小标宋简体" w:eastAsia="方正小标宋简体" w:cs="方正小标宋简体"/>
          <w:color w:val="000000"/>
          <w:sz w:val="48"/>
          <w:szCs w:val="48"/>
        </w:rPr>
      </w:pPr>
    </w:p>
    <w:p>
      <w:pPr>
        <w:keepNext w:val="0"/>
        <w:keepLines w:val="0"/>
        <w:pageBreakBefore w:val="0"/>
        <w:widowControl w:val="0"/>
        <w:wordWrap/>
        <w:bidi w:val="0"/>
        <w:spacing w:after="0" w:line="500" w:lineRule="exact"/>
        <w:jc w:val="center"/>
        <w:rPr>
          <w:rFonts w:hint="eastAsia" w:ascii="方正小标宋简体" w:hAnsi="方正小标宋简体" w:eastAsia="方正小标宋简体" w:cs="方正小标宋简体"/>
          <w:color w:val="000000"/>
          <w:sz w:val="48"/>
          <w:szCs w:val="48"/>
        </w:rPr>
      </w:pPr>
    </w:p>
    <w:p>
      <w:pPr>
        <w:keepNext w:val="0"/>
        <w:keepLines w:val="0"/>
        <w:pageBreakBefore w:val="0"/>
        <w:widowControl w:val="0"/>
        <w:wordWrap/>
        <w:bidi w:val="0"/>
        <w:spacing w:after="0" w:line="240" w:lineRule="auto"/>
        <w:jc w:val="center"/>
        <w:outlineLvl w:val="0"/>
        <w:rPr>
          <w:rFonts w:hint="eastAsia" w:ascii="方正小标宋简体" w:hAnsi="方正小标宋简体" w:eastAsia="方正小标宋简体" w:cs="方正小标宋简体"/>
          <w:color w:val="000000"/>
          <w:sz w:val="48"/>
          <w:szCs w:val="48"/>
        </w:rPr>
      </w:pPr>
      <w:bookmarkStart w:id="668" w:name="_Toc28592"/>
      <w:r>
        <w:rPr>
          <w:rFonts w:hint="eastAsia" w:ascii="方正小标宋简体" w:hAnsi="方正小标宋简体" w:eastAsia="方正小标宋简体" w:cs="方正小标宋简体"/>
          <w:color w:val="000000"/>
          <w:sz w:val="48"/>
          <w:szCs w:val="48"/>
        </w:rPr>
        <w:fldChar w:fldCharType="begin"/>
      </w:r>
      <w:r>
        <w:rPr>
          <w:rFonts w:hint="eastAsia" w:ascii="方正小标宋简体" w:hAnsi="方正小标宋简体" w:eastAsia="方正小标宋简体" w:cs="方正小标宋简体"/>
          <w:color w:val="000000"/>
          <w:sz w:val="48"/>
          <w:szCs w:val="48"/>
        </w:rPr>
        <w:instrText xml:space="preserve"> HYPERLINK "https://alphalawyer.cn/ilawregu-search/api/v1/lawregu/redict/84ca8810a19405aa8688c49eebfeb635" </w:instrText>
      </w:r>
      <w:r>
        <w:rPr>
          <w:rFonts w:hint="eastAsia" w:ascii="方正小标宋简体" w:hAnsi="方正小标宋简体" w:eastAsia="方正小标宋简体" w:cs="方正小标宋简体"/>
          <w:color w:val="000000"/>
          <w:sz w:val="48"/>
          <w:szCs w:val="48"/>
        </w:rPr>
        <w:fldChar w:fldCharType="separate"/>
      </w:r>
      <w:r>
        <w:rPr>
          <w:rFonts w:hint="eastAsia" w:ascii="方正小标宋简体" w:hAnsi="方正小标宋简体" w:eastAsia="方正小标宋简体" w:cs="方正小标宋简体"/>
          <w:color w:val="000000"/>
          <w:sz w:val="48"/>
          <w:szCs w:val="48"/>
        </w:rPr>
        <w:t>破产案件管理人团队建设及管理</w:t>
      </w:r>
      <w:bookmarkEnd w:id="668"/>
    </w:p>
    <w:p>
      <w:pPr>
        <w:keepNext w:val="0"/>
        <w:keepLines w:val="0"/>
        <w:pageBreakBefore w:val="0"/>
        <w:widowControl w:val="0"/>
        <w:wordWrap/>
        <w:bidi w:val="0"/>
        <w:spacing w:after="0" w:line="240" w:lineRule="auto"/>
        <w:jc w:val="center"/>
        <w:outlineLvl w:val="0"/>
        <w:rPr>
          <w:rFonts w:hint="eastAsia" w:ascii="方正小标宋简体" w:hAnsi="方正小标宋简体" w:eastAsia="方正小标宋简体" w:cs="方正小标宋简体"/>
          <w:color w:val="000000"/>
          <w:sz w:val="48"/>
          <w:szCs w:val="48"/>
        </w:rPr>
      </w:pPr>
      <w:bookmarkStart w:id="669" w:name="_Toc31549"/>
      <w:r>
        <w:rPr>
          <w:rFonts w:hint="eastAsia" w:ascii="方正小标宋简体" w:hAnsi="方正小标宋简体" w:eastAsia="方正小标宋简体" w:cs="方正小标宋简体"/>
          <w:color w:val="000000"/>
          <w:sz w:val="48"/>
          <w:szCs w:val="48"/>
        </w:rPr>
        <w:t>操作指引</w:t>
      </w:r>
      <w:r>
        <w:rPr>
          <w:rFonts w:hint="eastAsia" w:ascii="方正小标宋简体" w:hAnsi="方正小标宋简体" w:eastAsia="方正小标宋简体" w:cs="方正小标宋简体"/>
          <w:color w:val="000000"/>
          <w:sz w:val="48"/>
          <w:szCs w:val="48"/>
        </w:rPr>
        <w:fldChar w:fldCharType="end"/>
      </w:r>
      <w:bookmarkEnd w:id="669"/>
    </w:p>
    <w:p>
      <w:pPr>
        <w:keepNext w:val="0"/>
        <w:keepLines w:val="0"/>
        <w:pageBreakBefore w:val="0"/>
        <w:widowControl w:val="0"/>
        <w:wordWrap/>
        <w:bidi w:val="0"/>
        <w:spacing w:after="0" w:line="500" w:lineRule="exact"/>
        <w:jc w:val="center"/>
        <w:rPr>
          <w:rFonts w:ascii="方正小标宋简体" w:hAnsi="方正小标宋简体" w:eastAsia="方正小标宋简体" w:cs="方正小标宋简体"/>
          <w:color w:val="000000"/>
          <w:sz w:val="48"/>
          <w:szCs w:val="48"/>
        </w:rPr>
      </w:pPr>
      <w:r>
        <w:rPr>
          <w:rFonts w:hint="eastAsia" w:ascii="方正小标宋简体" w:hAnsi="方正小标宋简体" w:eastAsia="方正小标宋简体" w:cs="方正小标宋简体"/>
          <w:color w:val="000000"/>
          <w:sz w:val="48"/>
          <w:szCs w:val="48"/>
        </w:rPr>
        <w:br w:type="page"/>
      </w:r>
    </w:p>
    <w:p>
      <w:pPr>
        <w:keepNext w:val="0"/>
        <w:keepLines w:val="0"/>
        <w:pageBreakBefore w:val="0"/>
        <w:widowControl w:val="0"/>
        <w:wordWrap/>
        <w:bidi w:val="0"/>
        <w:spacing w:after="0" w:line="500" w:lineRule="exact"/>
        <w:jc w:val="center"/>
        <w:rPr>
          <w:rFonts w:hint="eastAsia" w:ascii="方正小标宋简体" w:hAnsi="方正小标宋简体" w:eastAsia="方正小标宋简体" w:cs="方正小标宋简体"/>
          <w:color w:val="000000"/>
          <w:spacing w:val="-6"/>
          <w:sz w:val="40"/>
          <w:szCs w:val="40"/>
        </w:rPr>
      </w:pPr>
      <w:r>
        <w:rPr>
          <w:sz w:val="40"/>
        </w:rPr>
        <mc:AlternateContent>
          <mc:Choice Requires="wps">
            <w:drawing>
              <wp:anchor distT="0" distB="0" distL="114300" distR="114300" simplePos="0" relativeHeight="251749376" behindDoc="0" locked="0" layoutInCell="1" allowOverlap="1">
                <wp:simplePos x="0" y="0"/>
                <wp:positionH relativeFrom="column">
                  <wp:posOffset>-519430</wp:posOffset>
                </wp:positionH>
                <wp:positionV relativeFrom="paragraph">
                  <wp:posOffset>5862955</wp:posOffset>
                </wp:positionV>
                <wp:extent cx="1714500" cy="1167130"/>
                <wp:effectExtent l="0" t="0" r="0" b="13970"/>
                <wp:wrapNone/>
                <wp:docPr id="96" name="文本框 96"/>
                <wp:cNvGraphicFramePr/>
                <a:graphic xmlns:a="http://schemas.openxmlformats.org/drawingml/2006/main">
                  <a:graphicData uri="http://schemas.microsoft.com/office/word/2010/wordprocessingShape">
                    <wps:wsp>
                      <wps:cNvSpPr txBox="1"/>
                      <wps:spPr>
                        <a:xfrm>
                          <a:off x="0" y="0"/>
                          <a:ext cx="1714500" cy="1167130"/>
                        </a:xfrm>
                        <a:prstGeom prst="rect">
                          <a:avLst/>
                        </a:prstGeom>
                        <a:solidFill>
                          <a:srgbClr val="FFFFFF"/>
                        </a:solidFill>
                        <a:ln>
                          <a:noFill/>
                        </a:ln>
                      </wps:spPr>
                      <wps:txbx>
                        <w:txbxContent>
                          <w:p/>
                        </w:txbxContent>
                      </wps:txbx>
                      <wps:bodyPr upright="1"/>
                    </wps:wsp>
                  </a:graphicData>
                </a:graphic>
              </wp:anchor>
            </w:drawing>
          </mc:Choice>
          <mc:Fallback>
            <w:pict>
              <v:shape id="_x0000_s1026" o:spid="_x0000_s1026" o:spt="202" type="#_x0000_t202" style="position:absolute;left:0pt;margin-left:-40.9pt;margin-top:461.65pt;height:91.9pt;width:135pt;z-index:251749376;mso-width-relative:page;mso-height-relative:page;" fillcolor="#FFFFFF" filled="t" stroked="f" coordsize="21600,21600" o:gfxdata="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0G8UwtoAAAAMAQAADwAAAAAAAAABACAAAAAiAAAAZHJzL2Rvd25y&#10;ZXYueG1sUEsBAhQAFAAAAAgAh07iQNETRKjDAQAAegMAAA4AAAAAAAAAAQAgAAAAKQEAAGRycy9l&#10;Mm9Eb2MueG1sUEsFBgAAAAAGAAYAWQEAAF4FAAAAAA==&#10;">
                <v:fill on="t" focussize="0,0"/>
                <v:stroke on="f"/>
                <v:imagedata o:title=""/>
                <o:lock v:ext="edit" aspectratio="f"/>
                <v:textbox>
                  <w:txbxContent>
                    <w:p/>
                  </w:txbxContent>
                </v:textbox>
              </v:shape>
            </w:pict>
          </mc:Fallback>
        </mc:AlternateContent>
      </w:r>
      <w:r>
        <w:rPr>
          <w:sz w:val="40"/>
          <w:szCs w:val="21"/>
        </w:rPr>
        <mc:AlternateContent>
          <mc:Choice Requires="wps">
            <w:drawing>
              <wp:anchor distT="0" distB="0" distL="114300" distR="114300" simplePos="0" relativeHeight="251687936" behindDoc="0" locked="0" layoutInCell="1" allowOverlap="1">
                <wp:simplePos x="0" y="0"/>
                <wp:positionH relativeFrom="column">
                  <wp:posOffset>-305435</wp:posOffset>
                </wp:positionH>
                <wp:positionV relativeFrom="paragraph">
                  <wp:posOffset>7581900</wp:posOffset>
                </wp:positionV>
                <wp:extent cx="1512570" cy="786130"/>
                <wp:effectExtent l="4445" t="4445" r="6985" b="9525"/>
                <wp:wrapNone/>
                <wp:docPr id="93" name="矩形 93"/>
                <wp:cNvGraphicFramePr/>
                <a:graphic xmlns:a="http://schemas.openxmlformats.org/drawingml/2006/main">
                  <a:graphicData uri="http://schemas.microsoft.com/office/word/2010/wordprocessingShape">
                    <wps:wsp>
                      <wps:cNvSpPr/>
                      <wps:spPr>
                        <a:xfrm>
                          <a:off x="0" y="0"/>
                          <a:ext cx="1512570" cy="786130"/>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4.05pt;margin-top:597pt;height:61.9pt;width:119.1pt;z-index:251687936;mso-width-relative:page;mso-height-relative:page;" fillcolor="#FFFFFF" filled="t" stroked="t" coordsize="21600,21600" o:gfxdata="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mcz8h2QAAAA0BAAAPAAAAAAAAAAEAIAAAACIAAABkcnMvZG93bnJldi54&#10;bWxQSwECFAAUAAAACACHTuJANkBAT/kBAAAgBAAADgAAAAAAAAABACAAAAAoAQAAZHJzL2Uyb0Rv&#10;Yy54bWxQSwUGAAAAAAYABgBZAQAAkwUAAAAA&#10;">
                <v:fill on="t" focussize="0,0"/>
                <v:stroke color="#FFFFFF" joinstyle="miter"/>
                <v:imagedata o:title=""/>
                <o:lock v:ext="edit" aspectratio="f"/>
              </v:rect>
            </w:pict>
          </mc:Fallback>
        </mc:AlternateContent>
      </w:r>
      <w:r>
        <w:rPr>
          <w:rFonts w:hint="eastAsia" w:ascii="方正小标宋简体" w:hAnsi="方正小标宋简体" w:eastAsia="方正小标宋简体" w:cs="方正小标宋简体"/>
          <w:color w:val="000000"/>
          <w:sz w:val="40"/>
          <w:szCs w:val="40"/>
        </w:rPr>
        <w:br w:type="page"/>
      </w:r>
      <w:r>
        <w:rPr>
          <w:rFonts w:hint="eastAsia" w:ascii="方正小标宋简体" w:hAnsi="方正小标宋简体" w:eastAsia="方正小标宋简体" w:cs="方正小标宋简体"/>
          <w:color w:val="000000"/>
          <w:spacing w:val="-6"/>
          <w:sz w:val="40"/>
          <w:szCs w:val="40"/>
        </w:rPr>
        <w:t>目    录</w:t>
      </w:r>
    </w:p>
    <w:p>
      <w:pPr>
        <w:keepNext w:val="0"/>
        <w:keepLines w:val="0"/>
        <w:pageBreakBefore w:val="0"/>
        <w:widowControl w:val="0"/>
        <w:wordWrap/>
        <w:bidi w:val="0"/>
        <w:spacing w:after="0" w:line="500" w:lineRule="exact"/>
        <w:jc w:val="center"/>
        <w:rPr>
          <w:rFonts w:hint="eastAsia" w:ascii="方正小标宋简体" w:hAnsi="方正小标宋简体" w:eastAsia="方正小标宋简体" w:cs="方正小标宋简体"/>
          <w:color w:val="000000"/>
          <w:spacing w:val="-6"/>
          <w:sz w:val="40"/>
          <w:szCs w:val="40"/>
        </w:rPr>
      </w:pPr>
    </w:p>
    <w:p>
      <w:pPr>
        <w:keepNext w:val="0"/>
        <w:keepLines w:val="0"/>
        <w:pageBreakBefore w:val="0"/>
        <w:widowControl w:val="0"/>
        <w:kinsoku/>
        <w:wordWrap/>
        <w:overflowPunct/>
        <w:topLinePunct w:val="0"/>
        <w:autoSpaceDE/>
        <w:autoSpaceDN/>
        <w:bidi w:val="0"/>
        <w:adjustRightInd/>
        <w:snapToGrid/>
        <w:spacing w:after="0" w:line="460" w:lineRule="exact"/>
        <w:ind w:firstLine="560" w:firstLineChars="200"/>
        <w:jc w:val="both"/>
        <w:textAlignment w:val="auto"/>
        <w:outlineLvl w:val="0"/>
        <w:rPr>
          <w:rFonts w:hint="eastAsia" w:ascii="仿宋_GB2312" w:hAnsi="仿宋" w:eastAsia="仿宋_GB2312" w:cs="仿宋"/>
          <w:color w:val="000000"/>
          <w:sz w:val="28"/>
          <w:szCs w:val="28"/>
        </w:rPr>
      </w:pPr>
      <w:bookmarkStart w:id="670" w:name="_Toc22277"/>
      <w:r>
        <w:rPr>
          <w:rStyle w:val="30"/>
          <w:rFonts w:ascii="仿宋_GB2312" w:hAnsi="仿宋" w:eastAsia="仿宋_GB2312" w:cs="仿宋"/>
          <w:b w:val="0"/>
          <w:bCs w:val="0"/>
          <w:color w:val="000000"/>
          <w:sz w:val="28"/>
          <w:szCs w:val="28"/>
        </w:rPr>
        <w:t>第一条</w:t>
      </w:r>
      <w:r>
        <w:rPr>
          <w:rStyle w:val="30"/>
          <w:rFonts w:hint="default" w:ascii="仿宋_GB2312" w:hAnsi="仿宋" w:eastAsia="仿宋_GB2312" w:cs="仿宋"/>
          <w:b w:val="0"/>
          <w:bCs w:val="0"/>
          <w:color w:val="000000"/>
          <w:sz w:val="28"/>
          <w:szCs w:val="28"/>
        </w:rPr>
        <w:t xml:space="preserve">  </w:t>
      </w:r>
      <w:r>
        <w:rPr>
          <w:rFonts w:hint="eastAsia" w:ascii="仿宋_GB2312" w:hAnsi="仿宋" w:eastAsia="仿宋_GB2312" w:cs="仿宋"/>
          <w:color w:val="000000"/>
          <w:sz w:val="28"/>
          <w:szCs w:val="28"/>
        </w:rPr>
        <w:t>宗 旨</w:t>
      </w:r>
      <w:bookmarkEnd w:id="670"/>
      <w:r>
        <w:rPr>
          <w:rFonts w:hint="eastAsia" w:ascii="仿宋_GB2312" w:hAnsi="仿宋" w:eastAsia="仿宋_GB2312" w:cs="仿宋"/>
          <w:color w:val="000000"/>
          <w:sz w:val="28"/>
          <w:szCs w:val="28"/>
        </w:rPr>
        <w:t xml:space="preserve"> </w:t>
      </w:r>
    </w:p>
    <w:p>
      <w:pPr>
        <w:keepNext w:val="0"/>
        <w:keepLines w:val="0"/>
        <w:pageBreakBefore w:val="0"/>
        <w:widowControl w:val="0"/>
        <w:kinsoku/>
        <w:wordWrap/>
        <w:overflowPunct/>
        <w:topLinePunct w:val="0"/>
        <w:autoSpaceDE/>
        <w:autoSpaceDN/>
        <w:bidi w:val="0"/>
        <w:adjustRightInd/>
        <w:snapToGrid/>
        <w:spacing w:after="0" w:line="460" w:lineRule="exact"/>
        <w:ind w:firstLine="560" w:firstLineChars="200"/>
        <w:jc w:val="both"/>
        <w:textAlignment w:val="auto"/>
        <w:outlineLvl w:val="0"/>
        <w:rPr>
          <w:rFonts w:hint="eastAsia" w:ascii="仿宋_GB2312" w:hAnsi="仿宋" w:eastAsia="仿宋_GB2312" w:cs="仿宋"/>
          <w:color w:val="000000"/>
          <w:sz w:val="28"/>
          <w:szCs w:val="28"/>
        </w:rPr>
      </w:pPr>
      <w:bookmarkStart w:id="671" w:name="_Toc4113"/>
      <w:r>
        <w:rPr>
          <w:rFonts w:hint="eastAsia" w:ascii="仿宋_GB2312" w:hAnsi="仿宋" w:eastAsia="仿宋_GB2312" w:cs="仿宋"/>
          <w:color w:val="000000"/>
          <w:sz w:val="28"/>
          <w:szCs w:val="28"/>
        </w:rPr>
        <w:t>第二条  效 力</w:t>
      </w:r>
      <w:bookmarkEnd w:id="671"/>
      <w:r>
        <w:rPr>
          <w:rFonts w:hint="eastAsia" w:ascii="仿宋_GB2312" w:hAnsi="仿宋" w:eastAsia="仿宋_GB2312" w:cs="仿宋"/>
          <w:color w:val="000000"/>
          <w:sz w:val="28"/>
          <w:szCs w:val="28"/>
        </w:rPr>
        <w:t xml:space="preserve"> </w:t>
      </w:r>
    </w:p>
    <w:p>
      <w:pPr>
        <w:keepNext w:val="0"/>
        <w:keepLines w:val="0"/>
        <w:pageBreakBefore w:val="0"/>
        <w:widowControl w:val="0"/>
        <w:kinsoku/>
        <w:wordWrap/>
        <w:overflowPunct/>
        <w:topLinePunct w:val="0"/>
        <w:autoSpaceDE/>
        <w:autoSpaceDN/>
        <w:bidi w:val="0"/>
        <w:adjustRightInd/>
        <w:snapToGrid/>
        <w:spacing w:after="0" w:line="460" w:lineRule="exact"/>
        <w:ind w:firstLine="560" w:firstLineChars="200"/>
        <w:jc w:val="both"/>
        <w:textAlignment w:val="auto"/>
        <w:outlineLvl w:val="0"/>
        <w:rPr>
          <w:rFonts w:hint="eastAsia" w:ascii="仿宋_GB2312" w:hAnsi="仿宋" w:eastAsia="仿宋_GB2312" w:cs="仿宋"/>
          <w:color w:val="000000"/>
          <w:sz w:val="28"/>
          <w:szCs w:val="28"/>
        </w:rPr>
      </w:pPr>
      <w:bookmarkStart w:id="672" w:name="_Toc26797"/>
      <w:r>
        <w:rPr>
          <w:rFonts w:hint="eastAsia" w:ascii="仿宋_GB2312" w:hAnsi="仿宋" w:eastAsia="仿宋_GB2312" w:cs="仿宋"/>
          <w:color w:val="000000"/>
          <w:sz w:val="28"/>
          <w:szCs w:val="28"/>
        </w:rPr>
        <w:t>第三条  适用范围</w:t>
      </w:r>
      <w:bookmarkEnd w:id="672"/>
      <w:r>
        <w:rPr>
          <w:rFonts w:hint="eastAsia" w:ascii="仿宋_GB2312" w:hAnsi="仿宋" w:eastAsia="仿宋_GB2312" w:cs="仿宋"/>
          <w:color w:val="000000"/>
          <w:sz w:val="28"/>
          <w:szCs w:val="28"/>
        </w:rPr>
        <w:t xml:space="preserve"> </w:t>
      </w:r>
    </w:p>
    <w:p>
      <w:pPr>
        <w:keepNext w:val="0"/>
        <w:keepLines w:val="0"/>
        <w:pageBreakBefore w:val="0"/>
        <w:widowControl w:val="0"/>
        <w:kinsoku/>
        <w:wordWrap/>
        <w:overflowPunct/>
        <w:topLinePunct w:val="0"/>
        <w:autoSpaceDE/>
        <w:autoSpaceDN/>
        <w:bidi w:val="0"/>
        <w:adjustRightInd/>
        <w:snapToGrid/>
        <w:spacing w:after="0" w:line="460" w:lineRule="exact"/>
        <w:ind w:firstLine="560" w:firstLineChars="200"/>
        <w:jc w:val="both"/>
        <w:textAlignment w:val="auto"/>
        <w:outlineLvl w:val="0"/>
        <w:rPr>
          <w:rFonts w:hint="eastAsia" w:ascii="仿宋_GB2312" w:hAnsi="仿宋" w:eastAsia="仿宋_GB2312" w:cs="仿宋"/>
          <w:color w:val="000000"/>
          <w:sz w:val="28"/>
          <w:szCs w:val="28"/>
        </w:rPr>
      </w:pPr>
      <w:bookmarkStart w:id="673" w:name="_Toc22731"/>
      <w:r>
        <w:rPr>
          <w:rFonts w:hint="eastAsia" w:ascii="仿宋_GB2312" w:hAnsi="仿宋" w:eastAsia="仿宋_GB2312" w:cs="仿宋"/>
          <w:color w:val="000000"/>
          <w:sz w:val="28"/>
          <w:szCs w:val="28"/>
        </w:rPr>
        <w:t>第四条  管理组织</w:t>
      </w:r>
      <w:bookmarkEnd w:id="673"/>
      <w:r>
        <w:rPr>
          <w:rFonts w:hint="eastAsia" w:ascii="仿宋_GB2312" w:hAnsi="仿宋" w:eastAsia="仿宋_GB2312" w:cs="仿宋"/>
          <w:color w:val="000000"/>
          <w:sz w:val="28"/>
          <w:szCs w:val="28"/>
        </w:rPr>
        <w:t xml:space="preserve"> </w:t>
      </w:r>
    </w:p>
    <w:p>
      <w:pPr>
        <w:keepNext w:val="0"/>
        <w:keepLines w:val="0"/>
        <w:pageBreakBefore w:val="0"/>
        <w:widowControl w:val="0"/>
        <w:kinsoku/>
        <w:wordWrap/>
        <w:overflowPunct/>
        <w:topLinePunct w:val="0"/>
        <w:autoSpaceDE/>
        <w:autoSpaceDN/>
        <w:bidi w:val="0"/>
        <w:adjustRightInd/>
        <w:snapToGrid/>
        <w:spacing w:after="0" w:line="460" w:lineRule="exact"/>
        <w:ind w:firstLine="560" w:firstLineChars="200"/>
        <w:jc w:val="both"/>
        <w:textAlignment w:val="auto"/>
        <w:outlineLvl w:val="0"/>
        <w:rPr>
          <w:rFonts w:hint="eastAsia" w:ascii="仿宋_GB2312" w:hAnsi="仿宋" w:eastAsia="仿宋_GB2312" w:cs="仿宋"/>
          <w:color w:val="000000"/>
          <w:sz w:val="28"/>
          <w:szCs w:val="28"/>
        </w:rPr>
      </w:pPr>
      <w:bookmarkStart w:id="674" w:name="_Toc19213"/>
      <w:r>
        <w:rPr>
          <w:rFonts w:hint="eastAsia" w:ascii="仿宋_GB2312" w:hAnsi="仿宋" w:eastAsia="仿宋_GB2312" w:cs="仿宋"/>
          <w:color w:val="000000"/>
          <w:sz w:val="28"/>
          <w:szCs w:val="28"/>
        </w:rPr>
        <w:t>第五条  负责人</w:t>
      </w:r>
      <w:bookmarkEnd w:id="674"/>
      <w:r>
        <w:rPr>
          <w:rFonts w:hint="eastAsia" w:ascii="仿宋_GB2312" w:hAnsi="仿宋" w:eastAsia="仿宋_GB2312" w:cs="仿宋"/>
          <w:color w:val="000000"/>
          <w:sz w:val="28"/>
          <w:szCs w:val="28"/>
        </w:rPr>
        <w:t xml:space="preserve"> </w:t>
      </w:r>
    </w:p>
    <w:p>
      <w:pPr>
        <w:keepNext w:val="0"/>
        <w:keepLines w:val="0"/>
        <w:pageBreakBefore w:val="0"/>
        <w:widowControl w:val="0"/>
        <w:kinsoku/>
        <w:wordWrap/>
        <w:overflowPunct/>
        <w:topLinePunct w:val="0"/>
        <w:autoSpaceDE/>
        <w:autoSpaceDN/>
        <w:bidi w:val="0"/>
        <w:adjustRightInd/>
        <w:snapToGrid/>
        <w:spacing w:after="0" w:line="460" w:lineRule="exact"/>
        <w:ind w:firstLine="560" w:firstLineChars="200"/>
        <w:jc w:val="both"/>
        <w:textAlignment w:val="auto"/>
        <w:outlineLvl w:val="0"/>
        <w:rPr>
          <w:rFonts w:hint="eastAsia" w:ascii="仿宋_GB2312" w:hAnsi="仿宋" w:eastAsia="仿宋_GB2312" w:cs="仿宋"/>
          <w:color w:val="000000"/>
          <w:sz w:val="28"/>
          <w:szCs w:val="28"/>
        </w:rPr>
      </w:pPr>
      <w:bookmarkStart w:id="675" w:name="_Toc23333"/>
      <w:r>
        <w:rPr>
          <w:rFonts w:hint="eastAsia" w:ascii="仿宋_GB2312" w:hAnsi="仿宋" w:eastAsia="仿宋_GB2312" w:cs="仿宋"/>
          <w:color w:val="000000"/>
          <w:sz w:val="28"/>
          <w:szCs w:val="28"/>
        </w:rPr>
        <w:t>第六条  从业人员</w:t>
      </w:r>
      <w:bookmarkEnd w:id="675"/>
      <w:r>
        <w:rPr>
          <w:rFonts w:hint="eastAsia" w:ascii="仿宋_GB2312" w:hAnsi="仿宋" w:eastAsia="仿宋_GB2312" w:cs="仿宋"/>
          <w:color w:val="000000"/>
          <w:sz w:val="28"/>
          <w:szCs w:val="28"/>
        </w:rPr>
        <w:t xml:space="preserve"> </w:t>
      </w:r>
    </w:p>
    <w:p>
      <w:pPr>
        <w:keepNext w:val="0"/>
        <w:keepLines w:val="0"/>
        <w:pageBreakBefore w:val="0"/>
        <w:widowControl w:val="0"/>
        <w:kinsoku/>
        <w:wordWrap/>
        <w:overflowPunct/>
        <w:topLinePunct w:val="0"/>
        <w:autoSpaceDE/>
        <w:autoSpaceDN/>
        <w:bidi w:val="0"/>
        <w:adjustRightInd/>
        <w:snapToGrid/>
        <w:spacing w:after="0" w:line="460" w:lineRule="exact"/>
        <w:ind w:firstLine="560" w:firstLineChars="200"/>
        <w:jc w:val="both"/>
        <w:textAlignment w:val="auto"/>
        <w:outlineLvl w:val="0"/>
        <w:rPr>
          <w:rFonts w:hint="eastAsia" w:ascii="仿宋_GB2312" w:hAnsi="仿宋" w:eastAsia="仿宋_GB2312" w:cs="仿宋"/>
          <w:color w:val="000000"/>
          <w:sz w:val="28"/>
          <w:szCs w:val="28"/>
        </w:rPr>
      </w:pPr>
      <w:bookmarkStart w:id="676" w:name="_Toc10807"/>
      <w:r>
        <w:rPr>
          <w:rFonts w:hint="eastAsia" w:ascii="仿宋_GB2312" w:hAnsi="仿宋" w:eastAsia="仿宋_GB2312" w:cs="仿宋"/>
          <w:color w:val="000000"/>
          <w:sz w:val="28"/>
          <w:szCs w:val="28"/>
        </w:rPr>
        <w:t>第七条  管理人资格</w:t>
      </w:r>
      <w:bookmarkEnd w:id="676"/>
      <w:r>
        <w:rPr>
          <w:rFonts w:hint="eastAsia" w:ascii="仿宋_GB2312" w:hAnsi="仿宋" w:eastAsia="仿宋_GB2312" w:cs="仿宋"/>
          <w:color w:val="000000"/>
          <w:sz w:val="28"/>
          <w:szCs w:val="28"/>
        </w:rPr>
        <w:t xml:space="preserve">  </w:t>
      </w:r>
    </w:p>
    <w:p>
      <w:pPr>
        <w:keepNext w:val="0"/>
        <w:keepLines w:val="0"/>
        <w:pageBreakBefore w:val="0"/>
        <w:widowControl w:val="0"/>
        <w:kinsoku/>
        <w:wordWrap/>
        <w:overflowPunct/>
        <w:topLinePunct w:val="0"/>
        <w:autoSpaceDE/>
        <w:autoSpaceDN/>
        <w:bidi w:val="0"/>
        <w:adjustRightInd/>
        <w:snapToGrid/>
        <w:spacing w:after="0" w:line="460" w:lineRule="exact"/>
        <w:ind w:firstLine="560" w:firstLineChars="200"/>
        <w:jc w:val="both"/>
        <w:textAlignment w:val="auto"/>
        <w:outlineLvl w:val="0"/>
        <w:rPr>
          <w:rStyle w:val="30"/>
          <w:rFonts w:ascii="仿宋_GB2312" w:hAnsi="仿宋" w:eastAsia="仿宋_GB2312" w:cs="仿宋"/>
          <w:b w:val="0"/>
          <w:bCs w:val="0"/>
          <w:color w:val="000000"/>
          <w:sz w:val="28"/>
          <w:szCs w:val="28"/>
        </w:rPr>
      </w:pPr>
      <w:bookmarkStart w:id="677" w:name="_Toc25377"/>
      <w:r>
        <w:rPr>
          <w:rFonts w:hint="eastAsia" w:ascii="仿宋_GB2312" w:hAnsi="仿宋" w:eastAsia="仿宋_GB2312" w:cs="仿宋"/>
          <w:color w:val="000000"/>
          <w:sz w:val="28"/>
          <w:szCs w:val="28"/>
        </w:rPr>
        <w:t>第八条  团队建设</w:t>
      </w:r>
      <w:bookmarkEnd w:id="677"/>
      <w:r>
        <w:rPr>
          <w:rStyle w:val="30"/>
          <w:rFonts w:ascii="仿宋_GB2312" w:hAnsi="仿宋" w:eastAsia="仿宋_GB2312" w:cs="仿宋"/>
          <w:b w:val="0"/>
          <w:bCs w:val="0"/>
          <w:color w:val="000000"/>
          <w:sz w:val="28"/>
          <w:szCs w:val="28"/>
        </w:rPr>
        <w:t xml:space="preserve">  </w:t>
      </w:r>
    </w:p>
    <w:p>
      <w:pPr>
        <w:pStyle w:val="8"/>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outlineLvl w:val="0"/>
        <w:rPr>
          <w:rStyle w:val="30"/>
          <w:rFonts w:ascii="仿宋_GB2312" w:hAnsi="仿宋" w:eastAsia="仿宋_GB2312" w:cs="仿宋"/>
          <w:b w:val="0"/>
          <w:bCs w:val="0"/>
          <w:color w:val="000000"/>
          <w:sz w:val="28"/>
          <w:szCs w:val="28"/>
        </w:rPr>
      </w:pPr>
      <w:bookmarkStart w:id="678" w:name="_Toc6520"/>
      <w:r>
        <w:rPr>
          <w:rFonts w:hint="eastAsia" w:ascii="仿宋_GB2312" w:hAnsi="仿宋" w:eastAsia="仿宋_GB2312" w:cs="仿宋"/>
          <w:color w:val="000000"/>
          <w:sz w:val="28"/>
          <w:szCs w:val="28"/>
        </w:rPr>
        <w:t>第九条  团队管理</w:t>
      </w:r>
      <w:bookmarkEnd w:id="678"/>
      <w:r>
        <w:rPr>
          <w:rStyle w:val="30"/>
          <w:rFonts w:ascii="仿宋_GB2312" w:hAnsi="仿宋" w:eastAsia="仿宋_GB2312" w:cs="仿宋"/>
          <w:b w:val="0"/>
          <w:bCs w:val="0"/>
          <w:color w:val="000000"/>
          <w:sz w:val="28"/>
          <w:szCs w:val="28"/>
        </w:rPr>
        <w:t xml:space="preserve"> </w:t>
      </w:r>
    </w:p>
    <w:p>
      <w:pPr>
        <w:pStyle w:val="8"/>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outlineLvl w:val="0"/>
        <w:rPr>
          <w:rFonts w:hint="eastAsia" w:ascii="仿宋_GB2312" w:hAnsi="仿宋" w:eastAsia="仿宋_GB2312" w:cs="仿宋"/>
          <w:color w:val="000000"/>
          <w:sz w:val="28"/>
          <w:szCs w:val="28"/>
        </w:rPr>
      </w:pPr>
      <w:bookmarkStart w:id="679" w:name="_Toc6369"/>
      <w:r>
        <w:rPr>
          <w:rFonts w:hint="eastAsia" w:ascii="仿宋_GB2312" w:hAnsi="仿宋" w:eastAsia="仿宋_GB2312" w:cs="仿宋"/>
          <w:color w:val="000000"/>
          <w:sz w:val="28"/>
          <w:szCs w:val="28"/>
        </w:rPr>
        <w:t>第十条  交流与培训</w:t>
      </w:r>
      <w:bookmarkEnd w:id="679"/>
      <w:r>
        <w:rPr>
          <w:rFonts w:hint="eastAsia" w:ascii="仿宋_GB2312" w:hAnsi="仿宋" w:eastAsia="仿宋_GB2312" w:cs="仿宋"/>
          <w:color w:val="000000"/>
          <w:sz w:val="28"/>
          <w:szCs w:val="28"/>
        </w:rPr>
        <w:t xml:space="preserve">  </w:t>
      </w:r>
    </w:p>
    <w:p>
      <w:pPr>
        <w:keepNext w:val="0"/>
        <w:keepLines w:val="0"/>
        <w:pageBreakBefore w:val="0"/>
        <w:widowControl w:val="0"/>
        <w:kinsoku/>
        <w:wordWrap/>
        <w:overflowPunct/>
        <w:topLinePunct w:val="0"/>
        <w:autoSpaceDE/>
        <w:autoSpaceDN/>
        <w:bidi w:val="0"/>
        <w:adjustRightInd/>
        <w:snapToGrid/>
        <w:spacing w:after="0" w:line="460" w:lineRule="exact"/>
        <w:ind w:firstLine="560" w:firstLineChars="200"/>
        <w:jc w:val="both"/>
        <w:textAlignment w:val="auto"/>
        <w:outlineLvl w:val="0"/>
        <w:rPr>
          <w:rFonts w:hint="eastAsia" w:ascii="仿宋_GB2312" w:hAnsi="仿宋" w:eastAsia="仿宋_GB2312" w:cs="仿宋"/>
          <w:color w:val="000000"/>
          <w:sz w:val="28"/>
          <w:szCs w:val="28"/>
        </w:rPr>
      </w:pPr>
      <w:bookmarkStart w:id="680" w:name="_Toc25173"/>
      <w:r>
        <w:rPr>
          <w:rFonts w:hint="eastAsia" w:ascii="仿宋_GB2312" w:hAnsi="仿宋" w:eastAsia="仿宋_GB2312" w:cs="仿宋"/>
          <w:color w:val="000000"/>
          <w:sz w:val="28"/>
          <w:szCs w:val="28"/>
        </w:rPr>
        <w:t>第十一条  业务承办</w:t>
      </w:r>
      <w:bookmarkEnd w:id="680"/>
      <w:r>
        <w:rPr>
          <w:rFonts w:hint="eastAsia" w:ascii="仿宋_GB2312" w:hAnsi="仿宋" w:eastAsia="仿宋_GB2312" w:cs="仿宋"/>
          <w:color w:val="000000"/>
          <w:sz w:val="28"/>
          <w:szCs w:val="28"/>
        </w:rPr>
        <w:t xml:space="preserve"> </w:t>
      </w:r>
    </w:p>
    <w:p>
      <w:pPr>
        <w:keepNext w:val="0"/>
        <w:keepLines w:val="0"/>
        <w:pageBreakBefore w:val="0"/>
        <w:widowControl w:val="0"/>
        <w:tabs>
          <w:tab w:val="left" w:pos="844"/>
        </w:tabs>
        <w:kinsoku/>
        <w:wordWrap/>
        <w:overflowPunct/>
        <w:topLinePunct w:val="0"/>
        <w:autoSpaceDE/>
        <w:autoSpaceDN/>
        <w:bidi w:val="0"/>
        <w:adjustRightInd/>
        <w:snapToGrid/>
        <w:spacing w:after="0" w:line="460" w:lineRule="exact"/>
        <w:ind w:firstLine="560" w:firstLineChars="200"/>
        <w:jc w:val="both"/>
        <w:textAlignment w:val="auto"/>
        <w:outlineLvl w:val="0"/>
        <w:rPr>
          <w:rFonts w:hint="eastAsia" w:ascii="仿宋_GB2312" w:hAnsi="仿宋" w:eastAsia="仿宋_GB2312" w:cs="仿宋"/>
          <w:color w:val="000000"/>
          <w:sz w:val="28"/>
          <w:szCs w:val="28"/>
        </w:rPr>
      </w:pPr>
      <w:bookmarkStart w:id="681" w:name="_Toc29647"/>
      <w:r>
        <w:rPr>
          <w:rFonts w:hint="eastAsia" w:ascii="仿宋_GB2312" w:hAnsi="仿宋" w:eastAsia="仿宋_GB2312" w:cs="仿宋"/>
          <w:color w:val="000000"/>
          <w:sz w:val="28"/>
          <w:szCs w:val="28"/>
        </w:rPr>
        <w:t>第十二条  人员指派</w:t>
      </w:r>
      <w:bookmarkEnd w:id="681"/>
      <w:r>
        <w:rPr>
          <w:rFonts w:hint="eastAsia" w:ascii="仿宋_GB2312" w:hAnsi="仿宋" w:eastAsia="仿宋_GB2312" w:cs="仿宋"/>
          <w:color w:val="000000"/>
          <w:sz w:val="28"/>
          <w:szCs w:val="28"/>
        </w:rPr>
        <w:t xml:space="preserve"> </w:t>
      </w:r>
    </w:p>
    <w:p>
      <w:pPr>
        <w:pStyle w:val="8"/>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outlineLvl w:val="0"/>
        <w:rPr>
          <w:rFonts w:hint="eastAsia" w:ascii="仿宋_GB2312" w:hAnsi="仿宋" w:eastAsia="仿宋_GB2312" w:cs="仿宋"/>
          <w:color w:val="000000"/>
          <w:sz w:val="28"/>
          <w:szCs w:val="28"/>
        </w:rPr>
      </w:pPr>
      <w:bookmarkStart w:id="682" w:name="_Toc22334"/>
      <w:r>
        <w:rPr>
          <w:rFonts w:hint="eastAsia" w:ascii="仿宋_GB2312" w:hAnsi="仿宋" w:eastAsia="仿宋_GB2312" w:cs="仿宋"/>
          <w:color w:val="000000"/>
          <w:sz w:val="28"/>
          <w:szCs w:val="28"/>
        </w:rPr>
        <w:t>第十三条  业务合作</w:t>
      </w:r>
      <w:bookmarkEnd w:id="682"/>
      <w:r>
        <w:rPr>
          <w:rFonts w:hint="eastAsia" w:ascii="仿宋_GB2312" w:hAnsi="仿宋" w:eastAsia="仿宋_GB2312" w:cs="仿宋"/>
          <w:color w:val="000000"/>
          <w:sz w:val="28"/>
          <w:szCs w:val="28"/>
        </w:rPr>
        <w:t xml:space="preserve"> </w:t>
      </w:r>
    </w:p>
    <w:p>
      <w:pPr>
        <w:keepNext w:val="0"/>
        <w:keepLines w:val="0"/>
        <w:pageBreakBefore w:val="0"/>
        <w:widowControl w:val="0"/>
        <w:kinsoku/>
        <w:wordWrap/>
        <w:overflowPunct/>
        <w:topLinePunct w:val="0"/>
        <w:autoSpaceDE/>
        <w:autoSpaceDN/>
        <w:bidi w:val="0"/>
        <w:adjustRightInd/>
        <w:snapToGrid/>
        <w:spacing w:after="0" w:line="460" w:lineRule="exact"/>
        <w:ind w:firstLine="560" w:firstLineChars="200"/>
        <w:jc w:val="both"/>
        <w:textAlignment w:val="auto"/>
        <w:outlineLvl w:val="0"/>
        <w:rPr>
          <w:rFonts w:hint="eastAsia" w:ascii="仿宋_GB2312" w:hAnsi="仿宋" w:eastAsia="仿宋_GB2312" w:cs="仿宋"/>
          <w:color w:val="000000"/>
          <w:sz w:val="28"/>
          <w:szCs w:val="28"/>
        </w:rPr>
      </w:pPr>
      <w:bookmarkStart w:id="683" w:name="_Toc32586"/>
      <w:r>
        <w:rPr>
          <w:rFonts w:hint="eastAsia" w:ascii="仿宋_GB2312" w:hAnsi="仿宋" w:eastAsia="仿宋_GB2312" w:cs="仿宋"/>
          <w:color w:val="000000"/>
          <w:sz w:val="28"/>
          <w:szCs w:val="28"/>
        </w:rPr>
        <w:t>第十四条  业务制度</w:t>
      </w:r>
      <w:bookmarkEnd w:id="683"/>
      <w:r>
        <w:rPr>
          <w:rFonts w:hint="eastAsia" w:ascii="仿宋_GB2312" w:hAnsi="仿宋" w:eastAsia="仿宋_GB2312" w:cs="仿宋"/>
          <w:color w:val="000000"/>
          <w:sz w:val="28"/>
          <w:szCs w:val="28"/>
        </w:rPr>
        <w:t xml:space="preserve">  </w:t>
      </w:r>
    </w:p>
    <w:p>
      <w:pPr>
        <w:keepNext w:val="0"/>
        <w:keepLines w:val="0"/>
        <w:pageBreakBefore w:val="0"/>
        <w:widowControl w:val="0"/>
        <w:tabs>
          <w:tab w:val="left" w:pos="844"/>
        </w:tabs>
        <w:kinsoku/>
        <w:wordWrap/>
        <w:overflowPunct/>
        <w:topLinePunct w:val="0"/>
        <w:autoSpaceDE/>
        <w:autoSpaceDN/>
        <w:bidi w:val="0"/>
        <w:adjustRightInd/>
        <w:snapToGrid/>
        <w:spacing w:after="0" w:line="460" w:lineRule="exact"/>
        <w:ind w:firstLine="560" w:firstLineChars="200"/>
        <w:jc w:val="both"/>
        <w:textAlignment w:val="auto"/>
        <w:outlineLvl w:val="0"/>
        <w:rPr>
          <w:rFonts w:hint="eastAsia" w:ascii="仿宋_GB2312" w:hAnsi="仿宋" w:eastAsia="仿宋_GB2312" w:cs="仿宋"/>
          <w:color w:val="000000"/>
          <w:sz w:val="28"/>
          <w:szCs w:val="28"/>
        </w:rPr>
      </w:pPr>
      <w:bookmarkStart w:id="684" w:name="_Toc593"/>
      <w:r>
        <w:rPr>
          <w:rFonts w:hint="eastAsia" w:ascii="仿宋_GB2312" w:hAnsi="仿宋" w:eastAsia="仿宋_GB2312" w:cs="仿宋"/>
          <w:color w:val="000000"/>
          <w:sz w:val="28"/>
          <w:szCs w:val="28"/>
        </w:rPr>
        <w:t>第十五条  业务方案</w:t>
      </w:r>
      <w:bookmarkEnd w:id="684"/>
      <w:r>
        <w:rPr>
          <w:rFonts w:hint="eastAsia" w:ascii="仿宋_GB2312" w:hAnsi="仿宋" w:eastAsia="仿宋_GB2312" w:cs="仿宋"/>
          <w:color w:val="000000"/>
          <w:sz w:val="28"/>
          <w:szCs w:val="28"/>
        </w:rPr>
        <w:t xml:space="preserve"> </w:t>
      </w:r>
    </w:p>
    <w:p>
      <w:pPr>
        <w:keepNext w:val="0"/>
        <w:keepLines w:val="0"/>
        <w:pageBreakBefore w:val="0"/>
        <w:widowControl w:val="0"/>
        <w:tabs>
          <w:tab w:val="left" w:pos="844"/>
        </w:tabs>
        <w:kinsoku/>
        <w:wordWrap/>
        <w:overflowPunct/>
        <w:topLinePunct w:val="0"/>
        <w:autoSpaceDE/>
        <w:autoSpaceDN/>
        <w:bidi w:val="0"/>
        <w:adjustRightInd/>
        <w:snapToGrid/>
        <w:spacing w:after="0" w:line="460" w:lineRule="exact"/>
        <w:ind w:firstLine="560" w:firstLineChars="200"/>
        <w:jc w:val="both"/>
        <w:textAlignment w:val="auto"/>
        <w:outlineLvl w:val="0"/>
        <w:rPr>
          <w:rStyle w:val="30"/>
          <w:rFonts w:ascii="仿宋_GB2312" w:hAnsi="仿宋" w:eastAsia="仿宋_GB2312" w:cs="仿宋"/>
          <w:b w:val="0"/>
          <w:bCs w:val="0"/>
          <w:color w:val="000000"/>
          <w:sz w:val="28"/>
          <w:szCs w:val="28"/>
        </w:rPr>
      </w:pPr>
      <w:bookmarkStart w:id="685" w:name="_Toc28969"/>
      <w:r>
        <w:rPr>
          <w:rFonts w:hint="eastAsia" w:ascii="仿宋_GB2312" w:hAnsi="仿宋" w:eastAsia="仿宋_GB2312" w:cs="仿宋"/>
          <w:color w:val="000000"/>
          <w:sz w:val="28"/>
          <w:szCs w:val="28"/>
        </w:rPr>
        <w:t>第十六条  业务质量</w:t>
      </w:r>
      <w:bookmarkEnd w:id="685"/>
      <w:r>
        <w:rPr>
          <w:rStyle w:val="30"/>
          <w:rFonts w:ascii="仿宋_GB2312" w:hAnsi="仿宋" w:eastAsia="仿宋_GB2312" w:cs="仿宋"/>
          <w:b w:val="0"/>
          <w:bCs w:val="0"/>
          <w:color w:val="000000"/>
          <w:sz w:val="28"/>
          <w:szCs w:val="28"/>
        </w:rPr>
        <w:t xml:space="preserve"> </w:t>
      </w:r>
    </w:p>
    <w:p>
      <w:pPr>
        <w:keepNext w:val="0"/>
        <w:keepLines w:val="0"/>
        <w:pageBreakBefore w:val="0"/>
        <w:widowControl w:val="0"/>
        <w:tabs>
          <w:tab w:val="left" w:pos="844"/>
        </w:tabs>
        <w:kinsoku/>
        <w:wordWrap/>
        <w:overflowPunct/>
        <w:topLinePunct w:val="0"/>
        <w:autoSpaceDE/>
        <w:autoSpaceDN/>
        <w:bidi w:val="0"/>
        <w:adjustRightInd/>
        <w:snapToGrid/>
        <w:spacing w:after="0" w:line="460" w:lineRule="exact"/>
        <w:ind w:firstLine="560" w:firstLineChars="200"/>
        <w:jc w:val="both"/>
        <w:textAlignment w:val="auto"/>
        <w:outlineLvl w:val="0"/>
        <w:rPr>
          <w:rFonts w:hint="eastAsia" w:ascii="仿宋_GB2312" w:hAnsi="仿宋" w:eastAsia="仿宋_GB2312" w:cs="仿宋"/>
          <w:color w:val="000000"/>
          <w:sz w:val="28"/>
          <w:szCs w:val="28"/>
        </w:rPr>
      </w:pPr>
      <w:bookmarkStart w:id="686" w:name="_Toc16520"/>
      <w:r>
        <w:rPr>
          <w:rFonts w:hint="eastAsia" w:ascii="仿宋_GB2312" w:hAnsi="仿宋" w:eastAsia="仿宋_GB2312" w:cs="仿宋"/>
          <w:color w:val="000000"/>
          <w:sz w:val="28"/>
          <w:szCs w:val="28"/>
        </w:rPr>
        <w:t>第十七条  报告与归档</w:t>
      </w:r>
      <w:bookmarkEnd w:id="686"/>
      <w:r>
        <w:rPr>
          <w:rFonts w:hint="eastAsia" w:ascii="仿宋_GB2312" w:hAnsi="仿宋" w:eastAsia="仿宋_GB2312" w:cs="仿宋"/>
          <w:color w:val="000000"/>
          <w:sz w:val="28"/>
          <w:szCs w:val="28"/>
        </w:rPr>
        <w:t xml:space="preserve"> </w:t>
      </w:r>
    </w:p>
    <w:p>
      <w:pPr>
        <w:keepNext w:val="0"/>
        <w:keepLines w:val="0"/>
        <w:pageBreakBefore w:val="0"/>
        <w:widowControl w:val="0"/>
        <w:tabs>
          <w:tab w:val="left" w:pos="844"/>
        </w:tabs>
        <w:kinsoku/>
        <w:wordWrap/>
        <w:overflowPunct/>
        <w:topLinePunct w:val="0"/>
        <w:autoSpaceDE/>
        <w:autoSpaceDN/>
        <w:bidi w:val="0"/>
        <w:adjustRightInd/>
        <w:snapToGrid/>
        <w:spacing w:after="0" w:line="460" w:lineRule="exact"/>
        <w:ind w:firstLine="560" w:firstLineChars="200"/>
        <w:jc w:val="both"/>
        <w:textAlignment w:val="auto"/>
        <w:outlineLvl w:val="0"/>
        <w:rPr>
          <w:rFonts w:hint="eastAsia" w:ascii="仿宋_GB2312" w:hAnsi="仿宋" w:eastAsia="仿宋_GB2312" w:cs="仿宋"/>
          <w:color w:val="000000"/>
          <w:sz w:val="28"/>
          <w:szCs w:val="28"/>
        </w:rPr>
      </w:pPr>
      <w:bookmarkStart w:id="687" w:name="_Toc13218"/>
      <w:r>
        <w:rPr>
          <w:rFonts w:hint="eastAsia" w:ascii="仿宋_GB2312" w:hAnsi="仿宋" w:eastAsia="仿宋_GB2312" w:cs="仿宋"/>
          <w:color w:val="000000"/>
          <w:sz w:val="28"/>
          <w:szCs w:val="28"/>
        </w:rPr>
        <w:t>第十八条  业务考核与分配</w:t>
      </w:r>
      <w:bookmarkEnd w:id="687"/>
      <w:r>
        <w:rPr>
          <w:rFonts w:hint="eastAsia" w:ascii="仿宋_GB2312" w:hAnsi="仿宋" w:eastAsia="仿宋_GB2312" w:cs="仿宋"/>
          <w:color w:val="000000"/>
          <w:sz w:val="28"/>
          <w:szCs w:val="28"/>
        </w:rPr>
        <w:t xml:space="preserve"> </w:t>
      </w:r>
    </w:p>
    <w:p>
      <w:pPr>
        <w:pStyle w:val="8"/>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outlineLvl w:val="0"/>
        <w:rPr>
          <w:rFonts w:hint="eastAsia" w:ascii="仿宋_GB2312" w:hAnsi="仿宋" w:eastAsia="仿宋_GB2312" w:cs="仿宋"/>
          <w:color w:val="000000"/>
          <w:sz w:val="28"/>
          <w:szCs w:val="28"/>
        </w:rPr>
      </w:pPr>
      <w:bookmarkStart w:id="688" w:name="_Toc22497"/>
      <w:r>
        <w:rPr>
          <w:rFonts w:hint="eastAsia" w:ascii="仿宋_GB2312" w:hAnsi="仿宋" w:eastAsia="仿宋_GB2312" w:cs="仿宋"/>
          <w:color w:val="000000"/>
          <w:sz w:val="28"/>
          <w:szCs w:val="28"/>
        </w:rPr>
        <w:t>第十九条  履职风险控制</w:t>
      </w:r>
      <w:bookmarkEnd w:id="688"/>
      <w:r>
        <w:rPr>
          <w:rFonts w:hint="eastAsia" w:ascii="仿宋_GB2312" w:hAnsi="仿宋" w:eastAsia="仿宋_GB2312" w:cs="仿宋"/>
          <w:color w:val="000000"/>
          <w:sz w:val="28"/>
          <w:szCs w:val="28"/>
        </w:rPr>
        <w:t xml:space="preserve"> </w:t>
      </w:r>
    </w:p>
    <w:p>
      <w:pPr>
        <w:keepNext w:val="0"/>
        <w:keepLines w:val="0"/>
        <w:pageBreakBefore w:val="0"/>
        <w:widowControl w:val="0"/>
        <w:kinsoku/>
        <w:wordWrap/>
        <w:overflowPunct/>
        <w:topLinePunct w:val="0"/>
        <w:autoSpaceDE/>
        <w:autoSpaceDN/>
        <w:bidi w:val="0"/>
        <w:adjustRightInd/>
        <w:snapToGrid/>
        <w:spacing w:after="0" w:line="460" w:lineRule="exact"/>
        <w:ind w:firstLine="560" w:firstLineChars="200"/>
        <w:jc w:val="both"/>
        <w:textAlignment w:val="auto"/>
        <w:outlineLvl w:val="0"/>
        <w:rPr>
          <w:rFonts w:hint="eastAsia" w:ascii="仿宋_GB2312" w:hAnsi="仿宋" w:eastAsia="仿宋_GB2312" w:cs="仿宋"/>
          <w:color w:val="000000"/>
          <w:sz w:val="28"/>
          <w:szCs w:val="28"/>
        </w:rPr>
      </w:pPr>
      <w:bookmarkStart w:id="689" w:name="_Toc20208"/>
      <w:r>
        <w:rPr>
          <w:rFonts w:hint="eastAsia" w:ascii="仿宋_GB2312" w:hAnsi="仿宋" w:eastAsia="仿宋_GB2312" w:cs="仿宋"/>
          <w:color w:val="000000"/>
          <w:sz w:val="28"/>
          <w:szCs w:val="28"/>
        </w:rPr>
        <w:t>第二十条  财务风险控制</w:t>
      </w:r>
      <w:bookmarkEnd w:id="689"/>
      <w:r>
        <w:rPr>
          <w:rFonts w:hint="eastAsia" w:ascii="仿宋_GB2312" w:hAnsi="仿宋" w:eastAsia="仿宋_GB2312" w:cs="仿宋"/>
          <w:color w:val="000000"/>
          <w:sz w:val="28"/>
          <w:szCs w:val="28"/>
        </w:rPr>
        <w:t xml:space="preserve"> </w:t>
      </w:r>
    </w:p>
    <w:p>
      <w:pPr>
        <w:keepNext w:val="0"/>
        <w:keepLines w:val="0"/>
        <w:pageBreakBefore w:val="0"/>
        <w:widowControl w:val="0"/>
        <w:wordWrap/>
        <w:bidi w:val="0"/>
        <w:spacing w:after="0" w:line="500" w:lineRule="exact"/>
        <w:jc w:val="center"/>
        <w:rPr>
          <w:rFonts w:ascii="方正小标宋简体" w:hAnsi="方正小标宋简体" w:eastAsia="方正小标宋简体" w:cs="方正小标宋简体"/>
          <w:color w:val="000000"/>
          <w:sz w:val="40"/>
          <w:szCs w:val="40"/>
        </w:rPr>
      </w:pPr>
      <w:r>
        <w:rPr>
          <w:sz w:val="40"/>
          <w:szCs w:val="21"/>
        </w:rPr>
        <mc:AlternateContent>
          <mc:Choice Requires="wps">
            <w:drawing>
              <wp:anchor distT="0" distB="0" distL="114300" distR="114300" simplePos="0" relativeHeight="251693056" behindDoc="0" locked="0" layoutInCell="1" allowOverlap="1">
                <wp:simplePos x="0" y="0"/>
                <wp:positionH relativeFrom="column">
                  <wp:posOffset>-555625</wp:posOffset>
                </wp:positionH>
                <wp:positionV relativeFrom="paragraph">
                  <wp:posOffset>7856855</wp:posOffset>
                </wp:positionV>
                <wp:extent cx="1512570" cy="786130"/>
                <wp:effectExtent l="4445" t="4445" r="6985" b="9525"/>
                <wp:wrapNone/>
                <wp:docPr id="103" name="矩形 103"/>
                <wp:cNvGraphicFramePr/>
                <a:graphic xmlns:a="http://schemas.openxmlformats.org/drawingml/2006/main">
                  <a:graphicData uri="http://schemas.microsoft.com/office/word/2010/wordprocessingShape">
                    <wps:wsp>
                      <wps:cNvSpPr/>
                      <wps:spPr>
                        <a:xfrm>
                          <a:off x="0" y="0"/>
                          <a:ext cx="1512570" cy="786130"/>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43.75pt;margin-top:618.65pt;height:61.9pt;width:119.1pt;z-index:251693056;mso-width-relative:page;mso-height-relative:page;" fillcolor="#FFFFFF" filled="t" stroked="t" coordsize="21600,21600" o:gfxdata="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xYHuH2gAAAA0BAAAPAAAAAAAAAAEAIAAAACIAAABkcnMvZG93bnJl&#10;di54bWxQSwECFAAUAAAACACHTuJAdkVydvsBAAAiBAAADgAAAAAAAAABACAAAAApAQAAZHJzL2Uy&#10;b0RvYy54bWxQSwUGAAAAAAYABgBZAQAAlgUAAAAA&#10;">
                <v:fill on="t" focussize="0,0"/>
                <v:stroke color="#FFFFFF" joinstyle="miter"/>
                <v:imagedata o:title=""/>
                <o:lock v:ext="edit" aspectratio="f"/>
              </v:rect>
            </w:pict>
          </mc:Fallback>
        </mc:AlternateContent>
      </w:r>
      <w:r>
        <w:rPr>
          <w:rFonts w:hint="eastAsia" w:ascii="方正小标宋简体" w:hAnsi="方正小标宋简体" w:eastAsia="方正小标宋简体" w:cs="方正小标宋简体"/>
          <w:color w:val="000000"/>
          <w:sz w:val="40"/>
          <w:szCs w:val="40"/>
        </w:rPr>
        <w:br w:type="page"/>
      </w:r>
      <w:r>
        <w:rPr>
          <w:rFonts w:hint="eastAsia" w:ascii="方正小标宋简体" w:hAnsi="方正小标宋简体" w:eastAsia="方正小标宋简体" w:cs="方正小标宋简体"/>
          <w:color w:val="000000"/>
          <w:sz w:val="40"/>
          <w:szCs w:val="40"/>
        </w:rPr>
        <w:fldChar w:fldCharType="begin"/>
      </w:r>
      <w:r>
        <w:rPr>
          <w:rFonts w:hint="eastAsia" w:ascii="方正小标宋简体" w:hAnsi="方正小标宋简体" w:eastAsia="方正小标宋简体" w:cs="方正小标宋简体"/>
          <w:color w:val="000000"/>
          <w:sz w:val="40"/>
          <w:szCs w:val="40"/>
        </w:rPr>
        <w:instrText xml:space="preserve"> HYPERLINK "https://alphalawyer.cn/ilawregu-search/api/v1/lawregu/redict/84ca8810a19405aa8688c49eebfeb635" </w:instrText>
      </w:r>
      <w:r>
        <w:rPr>
          <w:rFonts w:hint="eastAsia" w:ascii="方正小标宋简体" w:hAnsi="方正小标宋简体" w:eastAsia="方正小标宋简体" w:cs="方正小标宋简体"/>
          <w:color w:val="000000"/>
          <w:sz w:val="40"/>
          <w:szCs w:val="40"/>
        </w:rPr>
        <w:fldChar w:fldCharType="separate"/>
      </w:r>
      <w:r>
        <w:rPr>
          <w:rFonts w:hint="eastAsia" w:ascii="方正小标宋简体" w:hAnsi="方正小标宋简体" w:eastAsia="方正小标宋简体" w:cs="方正小标宋简体"/>
          <w:color w:val="000000"/>
          <w:spacing w:val="-6"/>
          <w:sz w:val="40"/>
          <w:szCs w:val="40"/>
        </w:rPr>
        <w:t>破产案件管理人团队建设及管理操作指引</w:t>
      </w:r>
      <w:r>
        <w:rPr>
          <w:rFonts w:hint="eastAsia" w:ascii="方正小标宋简体" w:hAnsi="方正小标宋简体" w:eastAsia="方正小标宋简体" w:cs="方正小标宋简体"/>
          <w:color w:val="000000"/>
          <w:sz w:val="40"/>
          <w:szCs w:val="40"/>
        </w:rPr>
        <w:fldChar w:fldCharType="end"/>
      </w:r>
    </w:p>
    <w:p>
      <w:pPr>
        <w:keepNext w:val="0"/>
        <w:keepLines w:val="0"/>
        <w:pageBreakBefore w:val="0"/>
        <w:widowControl w:val="0"/>
        <w:wordWrap/>
        <w:bidi w:val="0"/>
        <w:spacing w:before="227" w:beforeLines="50" w:after="227" w:afterLines="50" w:line="500" w:lineRule="exact"/>
        <w:jc w:val="center"/>
        <w:rPr>
          <w:rFonts w:ascii="仿宋_GB2312" w:hAnsi="华文楷体" w:eastAsia="仿宋_GB2312" w:cs="华文楷体"/>
          <w:color w:val="000000"/>
          <w:sz w:val="28"/>
          <w:szCs w:val="28"/>
        </w:rPr>
      </w:pPr>
    </w:p>
    <w:p>
      <w:pPr>
        <w:keepNext w:val="0"/>
        <w:keepLines w:val="0"/>
        <w:pageBreakBefore w:val="0"/>
        <w:widowControl w:val="0"/>
        <w:wordWrap/>
        <w:bidi w:val="0"/>
        <w:spacing w:after="0" w:line="500" w:lineRule="exact"/>
        <w:ind w:firstLine="562" w:firstLineChars="200"/>
        <w:jc w:val="both"/>
        <w:rPr>
          <w:rFonts w:hint="eastAsia" w:ascii="仿宋_GB2312" w:hAnsi="仿宋" w:eastAsia="仿宋_GB2312" w:cs="仿宋"/>
          <w:b/>
          <w:bCs/>
          <w:color w:val="000000"/>
          <w:sz w:val="28"/>
          <w:szCs w:val="28"/>
        </w:rPr>
      </w:pPr>
      <w:r>
        <w:rPr>
          <w:rStyle w:val="30"/>
          <w:rFonts w:ascii="仿宋_GB2312" w:hAnsi="仿宋" w:eastAsia="仿宋_GB2312" w:cs="仿宋"/>
          <w:color w:val="000000"/>
          <w:sz w:val="28"/>
          <w:szCs w:val="28"/>
        </w:rPr>
        <w:t>第一条</w:t>
      </w:r>
      <w:r>
        <w:rPr>
          <w:rStyle w:val="30"/>
          <w:rFonts w:ascii="仿宋_GB2312" w:hAnsi="仿宋" w:eastAsia="仿宋_GB2312" w:cs="仿宋"/>
          <w:b w:val="0"/>
          <w:bCs w:val="0"/>
          <w:color w:val="000000"/>
          <w:sz w:val="28"/>
          <w:szCs w:val="28"/>
        </w:rPr>
        <w:t xml:space="preserve">  </w:t>
      </w:r>
      <w:r>
        <w:rPr>
          <w:rFonts w:hint="eastAsia" w:ascii="仿宋_GB2312" w:hAnsi="仿宋" w:eastAsia="仿宋_GB2312" w:cs="仿宋"/>
          <w:b/>
          <w:bCs/>
          <w:color w:val="000000"/>
          <w:sz w:val="28"/>
          <w:szCs w:val="28"/>
        </w:rPr>
        <w:t xml:space="preserve">宗 旨 </w:t>
      </w:r>
    </w:p>
    <w:p>
      <w:pPr>
        <w:keepNext w:val="0"/>
        <w:keepLines w:val="0"/>
        <w:pageBreakBefore w:val="0"/>
        <w:widowControl w:val="0"/>
        <w:wordWrap/>
        <w:bidi w:val="0"/>
        <w:spacing w:after="0"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为规范律师事务所和律师履行破产管理人职责，提高服务质量和业务水平，防范执业风险，充分发挥律师事务所及律师在企业破产案件事务中的作用，依据《中华人民共和国企业破产法》《</w:t>
      </w: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"https://alphalawyer.cn/ilawregu-search/api/v1/lawregu/redict/84ca8810a19405aa8688c49eebfeb635"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中华全国律师协会律师担任破产管理人业务操作指引</w:t>
      </w:r>
      <w:r>
        <w:rPr>
          <w:rFonts w:hint="eastAsia" w:ascii="仿宋_GB2312" w:hAnsi="仿宋" w:eastAsia="仿宋_GB2312" w:cs="仿宋"/>
          <w:color w:val="000000"/>
          <w:sz w:val="28"/>
          <w:szCs w:val="28"/>
        </w:rPr>
        <w:fldChar w:fldCharType="end"/>
      </w:r>
      <w:r>
        <w:rPr>
          <w:rFonts w:hint="eastAsia" w:ascii="仿宋_GB2312" w:hAnsi="仿宋" w:eastAsia="仿宋_GB2312" w:cs="仿宋"/>
          <w:color w:val="000000"/>
          <w:sz w:val="28"/>
          <w:szCs w:val="28"/>
        </w:rPr>
        <w:t>》及其他相关法律、行政法规和司法解释的规定，制定本指引。</w:t>
      </w:r>
    </w:p>
    <w:p>
      <w:pPr>
        <w:keepNext w:val="0"/>
        <w:keepLines w:val="0"/>
        <w:pageBreakBefore w:val="0"/>
        <w:widowControl w:val="0"/>
        <w:wordWrap/>
        <w:bidi w:val="0"/>
        <w:spacing w:after="0" w:line="500" w:lineRule="exact"/>
        <w:ind w:firstLine="562" w:firstLineChars="200"/>
        <w:jc w:val="both"/>
        <w:rPr>
          <w:rFonts w:hint="eastAsia" w:ascii="仿宋_GB2312" w:hAnsi="仿宋" w:eastAsia="仿宋_GB2312" w:cs="仿宋"/>
          <w:b/>
          <w:bCs/>
          <w:color w:val="000000"/>
          <w:sz w:val="28"/>
          <w:szCs w:val="28"/>
        </w:rPr>
      </w:pPr>
      <w:r>
        <w:rPr>
          <w:rFonts w:hint="eastAsia" w:ascii="仿宋_GB2312" w:hAnsi="仿宋" w:eastAsia="仿宋_GB2312" w:cs="仿宋"/>
          <w:b/>
          <w:bCs/>
          <w:color w:val="000000"/>
          <w:sz w:val="28"/>
          <w:szCs w:val="28"/>
        </w:rPr>
        <w:t xml:space="preserve">第二条  效 力 </w:t>
      </w:r>
    </w:p>
    <w:p>
      <w:pPr>
        <w:keepNext w:val="0"/>
        <w:keepLines w:val="0"/>
        <w:pageBreakBefore w:val="0"/>
        <w:widowControl w:val="0"/>
        <w:wordWrap/>
        <w:bidi w:val="0"/>
        <w:spacing w:after="0"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本指引为指导性意见，与相关法律、行政法规及司法解释有抵触的，以相关法律、行政法规及司法解释的规定为准。</w:t>
      </w:r>
    </w:p>
    <w:p>
      <w:pPr>
        <w:keepNext w:val="0"/>
        <w:keepLines w:val="0"/>
        <w:pageBreakBefore w:val="0"/>
        <w:widowControl w:val="0"/>
        <w:wordWrap/>
        <w:bidi w:val="0"/>
        <w:spacing w:after="0" w:line="500" w:lineRule="exact"/>
        <w:ind w:firstLine="562" w:firstLineChars="200"/>
        <w:jc w:val="both"/>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第三条  适用范围</w:t>
      </w:r>
      <w:r>
        <w:rPr>
          <w:rFonts w:hint="eastAsia" w:ascii="仿宋_GB2312" w:hAnsi="仿宋" w:eastAsia="仿宋_GB2312" w:cs="仿宋"/>
          <w:color w:val="000000"/>
          <w:sz w:val="28"/>
          <w:szCs w:val="28"/>
        </w:rPr>
        <w:t xml:space="preserve"> </w:t>
      </w:r>
    </w:p>
    <w:p>
      <w:pPr>
        <w:keepNext w:val="0"/>
        <w:keepLines w:val="0"/>
        <w:pageBreakBefore w:val="0"/>
        <w:widowControl w:val="0"/>
        <w:wordWrap/>
        <w:bidi w:val="0"/>
        <w:spacing w:after="0"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拟从事或正在从事破产企业管理人业务的律师事务所、律师及律师事务所相关人员，适用本指引。</w:t>
      </w:r>
    </w:p>
    <w:p>
      <w:pPr>
        <w:keepNext w:val="0"/>
        <w:keepLines w:val="0"/>
        <w:pageBreakBefore w:val="0"/>
        <w:widowControl w:val="0"/>
        <w:wordWrap/>
        <w:bidi w:val="0"/>
        <w:spacing w:after="0" w:line="500" w:lineRule="exact"/>
        <w:ind w:firstLine="562" w:firstLineChars="200"/>
        <w:jc w:val="both"/>
        <w:rPr>
          <w:rFonts w:hint="eastAsia" w:ascii="仿宋_GB2312" w:hAnsi="仿宋" w:eastAsia="仿宋_GB2312" w:cs="仿宋"/>
          <w:b/>
          <w:bCs/>
          <w:color w:val="000000"/>
          <w:sz w:val="28"/>
          <w:szCs w:val="28"/>
        </w:rPr>
      </w:pPr>
      <w:r>
        <w:rPr>
          <w:rFonts w:hint="eastAsia" w:ascii="仿宋_GB2312" w:hAnsi="仿宋" w:eastAsia="仿宋_GB2312" w:cs="仿宋"/>
          <w:b/>
          <w:bCs/>
          <w:color w:val="000000"/>
          <w:sz w:val="28"/>
          <w:szCs w:val="28"/>
        </w:rPr>
        <w:t xml:space="preserve">第四条  管理组织 </w:t>
      </w:r>
    </w:p>
    <w:p>
      <w:pPr>
        <w:keepNext w:val="0"/>
        <w:keepLines w:val="0"/>
        <w:pageBreakBefore w:val="0"/>
        <w:widowControl w:val="0"/>
        <w:wordWrap/>
        <w:bidi w:val="0"/>
        <w:spacing w:after="0"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律师事务所应积极整合本所相关专业人员及管理人业务，组建律所管理人团队或业务部门，实现对从业人员及业务的统一管理。</w:t>
      </w:r>
    </w:p>
    <w:p>
      <w:pPr>
        <w:keepNext w:val="0"/>
        <w:keepLines w:val="0"/>
        <w:pageBreakBefore w:val="0"/>
        <w:widowControl w:val="0"/>
        <w:wordWrap/>
        <w:bidi w:val="0"/>
        <w:spacing w:after="0" w:line="500" w:lineRule="exact"/>
        <w:ind w:firstLine="562" w:firstLineChars="200"/>
        <w:jc w:val="both"/>
        <w:rPr>
          <w:rFonts w:hint="eastAsia" w:ascii="仿宋_GB2312" w:hAnsi="仿宋" w:eastAsia="仿宋_GB2312" w:cs="仿宋"/>
          <w:b/>
          <w:bCs/>
          <w:color w:val="000000"/>
          <w:sz w:val="28"/>
          <w:szCs w:val="28"/>
        </w:rPr>
      </w:pPr>
      <w:r>
        <w:rPr>
          <w:rFonts w:hint="eastAsia" w:ascii="仿宋_GB2312" w:hAnsi="仿宋" w:eastAsia="仿宋_GB2312" w:cs="仿宋"/>
          <w:b/>
          <w:bCs/>
          <w:color w:val="000000"/>
          <w:sz w:val="28"/>
          <w:szCs w:val="28"/>
        </w:rPr>
        <w:t xml:space="preserve">第五条  负责人 </w:t>
      </w:r>
    </w:p>
    <w:p>
      <w:pPr>
        <w:keepNext w:val="0"/>
        <w:keepLines w:val="0"/>
        <w:pageBreakBefore w:val="0"/>
        <w:widowControl w:val="0"/>
        <w:wordWrap/>
        <w:bidi w:val="0"/>
        <w:spacing w:after="0"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律师事务所应当指定负责人负责管理人团队、从业人员及业务的管理工作，主要履行以下职责：</w:t>
      </w:r>
    </w:p>
    <w:p>
      <w:pPr>
        <w:keepNext w:val="0"/>
        <w:keepLines w:val="0"/>
        <w:pageBreakBefore w:val="0"/>
        <w:widowControl w:val="0"/>
        <w:numPr>
          <w:ilvl w:val="0"/>
          <w:numId w:val="368"/>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主持团队相关工作；</w:t>
      </w:r>
    </w:p>
    <w:p>
      <w:pPr>
        <w:keepNext w:val="0"/>
        <w:keepLines w:val="0"/>
        <w:pageBreakBefore w:val="0"/>
        <w:widowControl w:val="0"/>
        <w:numPr>
          <w:ilvl w:val="0"/>
          <w:numId w:val="368"/>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拟定团队的管理计划和方案；</w:t>
      </w:r>
    </w:p>
    <w:p>
      <w:pPr>
        <w:keepNext w:val="0"/>
        <w:keepLines w:val="0"/>
        <w:pageBreakBefore w:val="0"/>
        <w:widowControl w:val="0"/>
        <w:numPr>
          <w:ilvl w:val="0"/>
          <w:numId w:val="368"/>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拟定团队内部管理机构设置方案；</w:t>
      </w:r>
    </w:p>
    <w:p>
      <w:pPr>
        <w:keepNext w:val="0"/>
        <w:keepLines w:val="0"/>
        <w:pageBreakBefore w:val="0"/>
        <w:widowControl w:val="0"/>
        <w:numPr>
          <w:ilvl w:val="0"/>
          <w:numId w:val="368"/>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拟定团队规章制度；</w:t>
      </w:r>
    </w:p>
    <w:p>
      <w:pPr>
        <w:keepNext w:val="0"/>
        <w:keepLines w:val="0"/>
        <w:pageBreakBefore w:val="0"/>
        <w:widowControl w:val="0"/>
        <w:numPr>
          <w:ilvl w:val="0"/>
          <w:numId w:val="368"/>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拟定团队人员名单及分工；</w:t>
      </w:r>
    </w:p>
    <w:p>
      <w:pPr>
        <w:keepNext w:val="0"/>
        <w:keepLines w:val="0"/>
        <w:pageBreakBefore w:val="0"/>
        <w:widowControl w:val="0"/>
        <w:numPr>
          <w:ilvl w:val="0"/>
          <w:numId w:val="368"/>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履行律师事务所授权的其他职责。</w:t>
      </w:r>
    </w:p>
    <w:p>
      <w:pPr>
        <w:keepNext w:val="0"/>
        <w:keepLines w:val="0"/>
        <w:pageBreakBefore w:val="0"/>
        <w:widowControl w:val="0"/>
        <w:wordWrap/>
        <w:bidi w:val="0"/>
        <w:spacing w:after="0" w:line="500" w:lineRule="exact"/>
        <w:ind w:firstLine="562" w:firstLineChars="200"/>
        <w:jc w:val="both"/>
        <w:rPr>
          <w:rFonts w:hint="eastAsia" w:ascii="仿宋_GB2312" w:hAnsi="仿宋" w:eastAsia="仿宋_GB2312" w:cs="仿宋"/>
          <w:b/>
          <w:bCs/>
          <w:color w:val="000000"/>
          <w:sz w:val="28"/>
          <w:szCs w:val="28"/>
        </w:rPr>
      </w:pPr>
      <w:r>
        <w:rPr>
          <w:rFonts w:hint="eastAsia" w:ascii="仿宋_GB2312" w:hAnsi="仿宋" w:eastAsia="仿宋_GB2312" w:cs="仿宋"/>
          <w:b/>
          <w:bCs/>
          <w:color w:val="000000"/>
          <w:sz w:val="28"/>
          <w:szCs w:val="28"/>
        </w:rPr>
        <w:t xml:space="preserve">第六条  从业人员 </w:t>
      </w:r>
    </w:p>
    <w:p>
      <w:pPr>
        <w:keepNext w:val="0"/>
        <w:keepLines w:val="0"/>
        <w:pageBreakBefore w:val="0"/>
        <w:widowControl w:val="0"/>
        <w:wordWrap/>
        <w:bidi w:val="0"/>
        <w:spacing w:after="0"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律师事务所管理人业务从业人员由负责人拟定，经律师事务所审核后确定。律师事务所可任命相关专业人员，协助负责人开展相关工作。</w:t>
      </w:r>
    </w:p>
    <w:p>
      <w:pPr>
        <w:keepNext w:val="0"/>
        <w:keepLines w:val="0"/>
        <w:pageBreakBefore w:val="0"/>
        <w:widowControl w:val="0"/>
        <w:wordWrap/>
        <w:bidi w:val="0"/>
        <w:spacing w:after="0"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管理人业务从业人员应当具有相应的职业技能和履职能力，不宜有下列情形：</w:t>
      </w:r>
    </w:p>
    <w:p>
      <w:pPr>
        <w:keepNext w:val="0"/>
        <w:keepLines w:val="0"/>
        <w:pageBreakBefore w:val="0"/>
        <w:widowControl w:val="0"/>
        <w:numPr>
          <w:ilvl w:val="0"/>
          <w:numId w:val="369"/>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因故意犯罪受过刑事处罚；</w:t>
      </w:r>
    </w:p>
    <w:p>
      <w:pPr>
        <w:keepNext w:val="0"/>
        <w:keepLines w:val="0"/>
        <w:pageBreakBefore w:val="0"/>
        <w:widowControl w:val="0"/>
        <w:numPr>
          <w:ilvl w:val="0"/>
          <w:numId w:val="369"/>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曾被取消、吊销相关专业资格或执业证书；</w:t>
      </w:r>
    </w:p>
    <w:p>
      <w:pPr>
        <w:keepNext w:val="0"/>
        <w:keepLines w:val="0"/>
        <w:pageBreakBefore w:val="0"/>
        <w:widowControl w:val="0"/>
        <w:numPr>
          <w:ilvl w:val="0"/>
          <w:numId w:val="369"/>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因执业、经营中故意或者重大过失行为，受到行政机关、监管机构或者行业自律组织行政处罚或者纪律处分之日起未逾3年；</w:t>
      </w:r>
    </w:p>
    <w:p>
      <w:pPr>
        <w:keepNext w:val="0"/>
        <w:keepLines w:val="0"/>
        <w:pageBreakBefore w:val="0"/>
        <w:widowControl w:val="0"/>
        <w:numPr>
          <w:ilvl w:val="0"/>
          <w:numId w:val="369"/>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因涉嫌违法行为正被相关部门调查；</w:t>
      </w:r>
    </w:p>
    <w:p>
      <w:pPr>
        <w:keepNext w:val="0"/>
        <w:keepLines w:val="0"/>
        <w:pageBreakBefore w:val="0"/>
        <w:widowControl w:val="0"/>
        <w:numPr>
          <w:ilvl w:val="0"/>
          <w:numId w:val="369"/>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执业许可证已被强制或自行申请注销；</w:t>
      </w:r>
    </w:p>
    <w:p>
      <w:pPr>
        <w:keepNext w:val="0"/>
        <w:keepLines w:val="0"/>
        <w:pageBreakBefore w:val="0"/>
        <w:widowControl w:val="0"/>
        <w:numPr>
          <w:ilvl w:val="0"/>
          <w:numId w:val="369"/>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因不适当履行职务或者拒绝接受人民法院指定等原因，被人民法院从管理人名册除名；</w:t>
      </w:r>
    </w:p>
    <w:p>
      <w:pPr>
        <w:keepNext w:val="0"/>
        <w:keepLines w:val="0"/>
        <w:pageBreakBefore w:val="0"/>
        <w:widowControl w:val="0"/>
        <w:numPr>
          <w:ilvl w:val="0"/>
          <w:numId w:val="369"/>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缺乏担任管理人所应具备的专业能力；</w:t>
      </w:r>
    </w:p>
    <w:p>
      <w:pPr>
        <w:keepNext w:val="0"/>
        <w:keepLines w:val="0"/>
        <w:pageBreakBefore w:val="0"/>
        <w:widowControl w:val="0"/>
        <w:numPr>
          <w:ilvl w:val="0"/>
          <w:numId w:val="369"/>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缺乏承担民事责任能力；</w:t>
      </w:r>
    </w:p>
    <w:p>
      <w:pPr>
        <w:keepNext w:val="0"/>
        <w:keepLines w:val="0"/>
        <w:pageBreakBefore w:val="0"/>
        <w:widowControl w:val="0"/>
        <w:numPr>
          <w:ilvl w:val="0"/>
          <w:numId w:val="369"/>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丧失民事行为能力；</w:t>
      </w:r>
    </w:p>
    <w:p>
      <w:pPr>
        <w:keepNext w:val="0"/>
        <w:keepLines w:val="0"/>
        <w:pageBreakBefore w:val="0"/>
        <w:widowControl w:val="0"/>
        <w:numPr>
          <w:ilvl w:val="0"/>
          <w:numId w:val="369"/>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因健康原因无法履行职务；</w:t>
      </w:r>
    </w:p>
    <w:p>
      <w:pPr>
        <w:keepNext w:val="0"/>
        <w:keepLines w:val="0"/>
        <w:pageBreakBefore w:val="0"/>
        <w:widowControl w:val="0"/>
        <w:numPr>
          <w:ilvl w:val="0"/>
          <w:numId w:val="369"/>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有重大债务纠纷；</w:t>
      </w:r>
    </w:p>
    <w:p>
      <w:pPr>
        <w:keepNext w:val="0"/>
        <w:keepLines w:val="0"/>
        <w:pageBreakBefore w:val="0"/>
        <w:widowControl w:val="0"/>
        <w:numPr>
          <w:ilvl w:val="0"/>
          <w:numId w:val="369"/>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履行职务时，因故意或者重大过失导致债权人利益受到损害；</w:t>
      </w:r>
    </w:p>
    <w:p>
      <w:pPr>
        <w:keepNext w:val="0"/>
        <w:keepLines w:val="0"/>
        <w:pageBreakBefore w:val="0"/>
        <w:widowControl w:val="0"/>
        <w:numPr>
          <w:ilvl w:val="0"/>
          <w:numId w:val="369"/>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不服从律协及律师事务所管理；</w:t>
      </w:r>
    </w:p>
    <w:p>
      <w:pPr>
        <w:keepNext w:val="0"/>
        <w:keepLines w:val="0"/>
        <w:pageBreakBefore w:val="0"/>
        <w:widowControl w:val="0"/>
        <w:numPr>
          <w:ilvl w:val="0"/>
          <w:numId w:val="369"/>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存在其他不宜从事管理人业务的情形。</w:t>
      </w:r>
    </w:p>
    <w:p>
      <w:pPr>
        <w:keepNext w:val="0"/>
        <w:keepLines w:val="0"/>
        <w:pageBreakBefore w:val="0"/>
        <w:widowControl w:val="0"/>
        <w:wordWrap/>
        <w:bidi w:val="0"/>
        <w:spacing w:after="0" w:line="500" w:lineRule="exact"/>
        <w:ind w:firstLine="562" w:firstLineChars="200"/>
        <w:jc w:val="both"/>
        <w:rPr>
          <w:rFonts w:hint="eastAsia" w:ascii="仿宋_GB2312" w:hAnsi="仿宋" w:eastAsia="仿宋_GB2312" w:cs="仿宋"/>
          <w:b/>
          <w:bCs/>
          <w:color w:val="000000"/>
          <w:sz w:val="28"/>
          <w:szCs w:val="28"/>
        </w:rPr>
      </w:pPr>
      <w:r>
        <w:rPr>
          <w:rFonts w:hint="eastAsia" w:ascii="仿宋_GB2312" w:hAnsi="仿宋" w:eastAsia="仿宋_GB2312" w:cs="仿宋"/>
          <w:b/>
          <w:bCs/>
          <w:color w:val="000000"/>
          <w:sz w:val="28"/>
          <w:szCs w:val="28"/>
        </w:rPr>
        <w:t xml:space="preserve">第七条  管理人资格  </w:t>
      </w:r>
    </w:p>
    <w:p>
      <w:pPr>
        <w:keepNext w:val="0"/>
        <w:keepLines w:val="0"/>
        <w:pageBreakBefore w:val="0"/>
        <w:widowControl w:val="0"/>
        <w:wordWrap/>
        <w:bidi w:val="0"/>
        <w:spacing w:after="0"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律师事务所应积极申请编入法院管理人名册，参加入册法院的评级、考核活动，依法获取破产案件管理人的指定。</w:t>
      </w:r>
    </w:p>
    <w:p>
      <w:pPr>
        <w:keepNext w:val="0"/>
        <w:keepLines w:val="0"/>
        <w:pageBreakBefore w:val="0"/>
        <w:widowControl w:val="0"/>
        <w:wordWrap/>
        <w:bidi w:val="0"/>
        <w:spacing w:after="0"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因暂未编入法院管理人名册或其他原因，不能直接参与破产案件管理人业务竞争活动的，可依法积极与其他管理人合作，参与破产案件的办理。</w:t>
      </w:r>
    </w:p>
    <w:p>
      <w:pPr>
        <w:keepNext w:val="0"/>
        <w:keepLines w:val="0"/>
        <w:pageBreakBefore w:val="0"/>
        <w:widowControl w:val="0"/>
        <w:wordWrap/>
        <w:bidi w:val="0"/>
        <w:spacing w:after="0"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已编入法院管理人名册的律师事务所，名册成员应与律师事务所管理人团队成员名册保持一致，若成员异动，应及时更新名册。</w:t>
      </w:r>
    </w:p>
    <w:p>
      <w:pPr>
        <w:keepNext w:val="0"/>
        <w:keepLines w:val="0"/>
        <w:pageBreakBefore w:val="0"/>
        <w:widowControl w:val="0"/>
        <w:wordWrap/>
        <w:bidi w:val="0"/>
        <w:spacing w:after="0" w:line="500" w:lineRule="exact"/>
        <w:ind w:firstLine="562" w:firstLineChars="200"/>
        <w:jc w:val="both"/>
        <w:rPr>
          <w:rStyle w:val="30"/>
          <w:rFonts w:ascii="仿宋_GB2312" w:hAnsi="仿宋" w:eastAsia="仿宋_GB2312" w:cs="仿宋"/>
          <w:b w:val="0"/>
          <w:bCs w:val="0"/>
          <w:color w:val="000000"/>
          <w:sz w:val="28"/>
          <w:szCs w:val="28"/>
        </w:rPr>
      </w:pPr>
      <w:r>
        <w:rPr>
          <w:rFonts w:hint="eastAsia" w:ascii="仿宋_GB2312" w:hAnsi="仿宋" w:eastAsia="仿宋_GB2312" w:cs="仿宋"/>
          <w:b/>
          <w:bCs/>
          <w:color w:val="000000"/>
          <w:sz w:val="28"/>
          <w:szCs w:val="28"/>
        </w:rPr>
        <w:t>第八条  团队建设</w:t>
      </w:r>
      <w:r>
        <w:rPr>
          <w:rStyle w:val="30"/>
          <w:rFonts w:ascii="仿宋_GB2312" w:hAnsi="仿宋" w:eastAsia="仿宋_GB2312" w:cs="仿宋"/>
          <w:b w:val="0"/>
          <w:bCs w:val="0"/>
          <w:color w:val="000000"/>
          <w:sz w:val="28"/>
          <w:szCs w:val="28"/>
        </w:rPr>
        <w:t xml:space="preserve">  </w:t>
      </w:r>
    </w:p>
    <w:p>
      <w:pPr>
        <w:keepNext w:val="0"/>
        <w:keepLines w:val="0"/>
        <w:pageBreakBefore w:val="0"/>
        <w:widowControl w:val="0"/>
        <w:wordWrap/>
        <w:bidi w:val="0"/>
        <w:spacing w:after="0"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律师事务所应当加强破产案件管理人团队建设，不断加强团队专业人员、业务能力的培养及管理，积极培育和践行社会主义核心价值观，建立良好的团队文化氛围和正确的价值导向。</w:t>
      </w:r>
    </w:p>
    <w:p>
      <w:pPr>
        <w:pStyle w:val="8"/>
        <w:keepNext w:val="0"/>
        <w:keepLines w:val="0"/>
        <w:pageBreakBefore w:val="0"/>
        <w:widowControl w:val="0"/>
        <w:wordWrap/>
        <w:bidi w:val="0"/>
        <w:spacing w:line="500" w:lineRule="exact"/>
        <w:ind w:firstLine="562" w:firstLineChars="200"/>
        <w:rPr>
          <w:rStyle w:val="30"/>
          <w:rFonts w:ascii="仿宋_GB2312" w:hAnsi="仿宋" w:eastAsia="仿宋_GB2312" w:cs="仿宋"/>
          <w:b w:val="0"/>
          <w:bCs w:val="0"/>
          <w:color w:val="000000"/>
          <w:sz w:val="28"/>
          <w:szCs w:val="28"/>
        </w:rPr>
      </w:pPr>
      <w:r>
        <w:rPr>
          <w:rFonts w:hint="eastAsia" w:ascii="仿宋_GB2312" w:hAnsi="仿宋" w:eastAsia="仿宋_GB2312" w:cs="仿宋"/>
          <w:b/>
          <w:bCs/>
          <w:color w:val="000000"/>
          <w:sz w:val="28"/>
          <w:szCs w:val="28"/>
        </w:rPr>
        <w:t>第九条  团队管理</w:t>
      </w:r>
      <w:r>
        <w:rPr>
          <w:rStyle w:val="30"/>
          <w:rFonts w:ascii="仿宋_GB2312" w:hAnsi="仿宋" w:eastAsia="仿宋_GB2312" w:cs="仿宋"/>
          <w:b w:val="0"/>
          <w:bCs w:val="0"/>
          <w:color w:val="000000"/>
          <w:sz w:val="28"/>
          <w:szCs w:val="28"/>
        </w:rPr>
        <w:t xml:space="preserve"> </w:t>
      </w:r>
    </w:p>
    <w:p>
      <w:pPr>
        <w:pStyle w:val="8"/>
        <w:keepNext w:val="0"/>
        <w:keepLines w:val="0"/>
        <w:pageBreakBefore w:val="0"/>
        <w:widowControl w:val="0"/>
        <w:wordWrap/>
        <w:bidi w:val="0"/>
        <w:spacing w:line="500" w:lineRule="exact"/>
        <w:ind w:firstLine="560" w:firstLineChars="200"/>
        <w:rPr>
          <w:rFonts w:hint="eastAsia" w:ascii="仿宋_GB2312" w:hAnsi="仿宋" w:eastAsia="仿宋_GB2312" w:cs="仿宋"/>
          <w:color w:val="000000"/>
          <w:sz w:val="28"/>
          <w:szCs w:val="28"/>
        </w:rPr>
      </w:pPr>
      <w:r>
        <w:rPr>
          <w:rStyle w:val="30"/>
          <w:rFonts w:ascii="仿宋_GB2312" w:hAnsi="仿宋" w:eastAsia="仿宋_GB2312" w:cs="仿宋"/>
          <w:b w:val="0"/>
          <w:bCs w:val="0"/>
          <w:color w:val="000000"/>
          <w:sz w:val="28"/>
          <w:szCs w:val="28"/>
        </w:rPr>
        <w:t>律师事务所</w:t>
      </w:r>
      <w:r>
        <w:rPr>
          <w:rFonts w:hint="eastAsia" w:ascii="仿宋_GB2312" w:hAnsi="仿宋" w:eastAsia="仿宋_GB2312" w:cs="仿宋"/>
          <w:color w:val="000000"/>
          <w:kern w:val="0"/>
          <w:sz w:val="28"/>
          <w:szCs w:val="28"/>
        </w:rPr>
        <w:t>应结合本所实际情况，</w:t>
      </w:r>
      <w:r>
        <w:rPr>
          <w:rFonts w:hint="eastAsia" w:ascii="仿宋_GB2312" w:hAnsi="仿宋" w:eastAsia="仿宋_GB2312" w:cs="仿宋"/>
          <w:color w:val="000000"/>
          <w:sz w:val="28"/>
          <w:szCs w:val="28"/>
        </w:rPr>
        <w:t>建立长期、稳定的团队管理机制，对管理人团队、从业人员及业务等方面进行</w:t>
      </w:r>
      <w:r>
        <w:rPr>
          <w:rFonts w:hint="eastAsia" w:ascii="仿宋_GB2312" w:hAnsi="仿宋" w:eastAsia="仿宋_GB2312" w:cs="仿宋"/>
          <w:color w:val="000000"/>
          <w:kern w:val="0"/>
          <w:sz w:val="28"/>
          <w:szCs w:val="28"/>
        </w:rPr>
        <w:t>常态化、制度化、专业化管理，</w:t>
      </w:r>
      <w:r>
        <w:rPr>
          <w:rFonts w:hint="eastAsia" w:ascii="仿宋_GB2312" w:hAnsi="仿宋" w:eastAsia="仿宋_GB2312" w:cs="仿宋"/>
          <w:color w:val="000000"/>
          <w:sz w:val="28"/>
          <w:szCs w:val="28"/>
        </w:rPr>
        <w:t>为建立职业化的管理人团队打下良好基础。</w:t>
      </w:r>
    </w:p>
    <w:p>
      <w:pPr>
        <w:pStyle w:val="8"/>
        <w:keepNext w:val="0"/>
        <w:keepLines w:val="0"/>
        <w:pageBreakBefore w:val="0"/>
        <w:widowControl w:val="0"/>
        <w:wordWrap/>
        <w:bidi w:val="0"/>
        <w:spacing w:line="500" w:lineRule="exact"/>
        <w:ind w:firstLine="560" w:firstLineChars="200"/>
        <w:rPr>
          <w:rFonts w:hint="eastAsia" w:ascii="仿宋_GB2312" w:hAnsi="仿宋" w:eastAsia="仿宋_GB2312" w:cs="仿宋"/>
          <w:color w:val="000000"/>
          <w:sz w:val="28"/>
          <w:szCs w:val="28"/>
        </w:rPr>
      </w:pPr>
      <w:r>
        <w:rPr>
          <w:rStyle w:val="30"/>
          <w:rFonts w:ascii="仿宋_GB2312" w:hAnsi="仿宋" w:eastAsia="仿宋_GB2312" w:cs="仿宋"/>
          <w:b w:val="0"/>
          <w:bCs w:val="0"/>
          <w:color w:val="000000"/>
          <w:sz w:val="28"/>
          <w:szCs w:val="28"/>
        </w:rPr>
        <w:t>律师事务所</w:t>
      </w:r>
      <w:r>
        <w:rPr>
          <w:rFonts w:hint="eastAsia" w:ascii="仿宋_GB2312" w:hAnsi="仿宋" w:eastAsia="仿宋_GB2312" w:cs="仿宋"/>
          <w:color w:val="000000"/>
          <w:kern w:val="0"/>
          <w:sz w:val="28"/>
          <w:szCs w:val="28"/>
        </w:rPr>
        <w:t>应结合本所实际情况，</w:t>
      </w:r>
      <w:r>
        <w:rPr>
          <w:rFonts w:hint="eastAsia" w:ascii="仿宋_GB2312" w:hAnsi="仿宋" w:eastAsia="仿宋_GB2312" w:cs="仿宋"/>
          <w:color w:val="000000"/>
          <w:sz w:val="28"/>
          <w:szCs w:val="28"/>
        </w:rPr>
        <w:t>对从业人员的业务能力、思想品格、团队合作能力等情况进行分析，对从业人员进行分级或精细化，建立评价体系和科学的管理模式。</w:t>
      </w:r>
    </w:p>
    <w:p>
      <w:pPr>
        <w:pStyle w:val="8"/>
        <w:keepNext w:val="0"/>
        <w:keepLines w:val="0"/>
        <w:pageBreakBefore w:val="0"/>
        <w:widowControl w:val="0"/>
        <w:wordWrap/>
        <w:bidi w:val="0"/>
        <w:spacing w:line="500" w:lineRule="exact"/>
        <w:ind w:firstLine="560"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从业人员加入或异动出团队或律师事务所的，应予认真审核。如有未办结破产事务、相关工作及责任未能完成清晰交割情形的，从业人员原则上不得异动。</w:t>
      </w:r>
    </w:p>
    <w:p>
      <w:pPr>
        <w:pStyle w:val="8"/>
        <w:keepNext w:val="0"/>
        <w:keepLines w:val="0"/>
        <w:pageBreakBefore w:val="0"/>
        <w:widowControl w:val="0"/>
        <w:wordWrap/>
        <w:bidi w:val="0"/>
        <w:spacing w:line="500" w:lineRule="exact"/>
        <w:ind w:firstLine="562" w:firstLineChars="200"/>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第十条  交流与培训</w:t>
      </w:r>
      <w:r>
        <w:rPr>
          <w:rFonts w:hint="eastAsia" w:ascii="仿宋_GB2312" w:hAnsi="仿宋" w:eastAsia="仿宋_GB2312" w:cs="仿宋"/>
          <w:color w:val="000000"/>
          <w:sz w:val="28"/>
          <w:szCs w:val="28"/>
        </w:rPr>
        <w:t xml:space="preserve">  </w:t>
      </w:r>
    </w:p>
    <w:p>
      <w:pPr>
        <w:pStyle w:val="8"/>
        <w:keepNext w:val="0"/>
        <w:keepLines w:val="0"/>
        <w:pageBreakBefore w:val="0"/>
        <w:widowControl w:val="0"/>
        <w:wordWrap/>
        <w:bidi w:val="0"/>
        <w:spacing w:line="500" w:lineRule="exact"/>
        <w:ind w:firstLine="560" w:firstLineChars="200"/>
        <w:rPr>
          <w:rFonts w:hint="eastAsia" w:ascii="仿宋_GB2312" w:hAnsi="仿宋" w:eastAsia="仿宋_GB2312" w:cs="仿宋"/>
          <w:color w:val="000000"/>
          <w:sz w:val="28"/>
          <w:szCs w:val="28"/>
        </w:rPr>
      </w:pPr>
      <w:r>
        <w:rPr>
          <w:rStyle w:val="30"/>
          <w:rFonts w:ascii="仿宋_GB2312" w:hAnsi="仿宋" w:eastAsia="仿宋_GB2312" w:cs="仿宋"/>
          <w:b w:val="0"/>
          <w:bCs w:val="0"/>
          <w:color w:val="000000"/>
          <w:sz w:val="28"/>
          <w:szCs w:val="28"/>
        </w:rPr>
        <w:t>律师事务所</w:t>
      </w:r>
      <w:r>
        <w:rPr>
          <w:rFonts w:hint="eastAsia" w:ascii="仿宋_GB2312" w:hAnsi="仿宋" w:eastAsia="仿宋_GB2312" w:cs="仿宋"/>
          <w:color w:val="000000"/>
          <w:sz w:val="28"/>
          <w:szCs w:val="28"/>
        </w:rPr>
        <w:t>应积极培养或引进其他专业人员，促使管理人团队从业人员结构更加科学、合理，以符合办理破产案件的需求。</w:t>
      </w:r>
    </w:p>
    <w:p>
      <w:pPr>
        <w:pStyle w:val="8"/>
        <w:keepNext w:val="0"/>
        <w:keepLines w:val="0"/>
        <w:pageBreakBefore w:val="0"/>
        <w:widowControl w:val="0"/>
        <w:wordWrap/>
        <w:bidi w:val="0"/>
        <w:spacing w:line="500" w:lineRule="exact"/>
        <w:ind w:firstLine="560"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律师事务所应鼓励从业人员积极参加业务相关的社会组织、团体及相关研究、交流、宣传活动；组织从业人员积极参加法院、律师协会等行业协会、律师事务所组织的管理人业务培训、研究活动。</w:t>
      </w:r>
    </w:p>
    <w:p>
      <w:pPr>
        <w:pStyle w:val="8"/>
        <w:keepNext w:val="0"/>
        <w:keepLines w:val="0"/>
        <w:pageBreakBefore w:val="0"/>
        <w:widowControl w:val="0"/>
        <w:wordWrap/>
        <w:bidi w:val="0"/>
        <w:spacing w:line="500" w:lineRule="exact"/>
        <w:ind w:firstLine="560"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律师事务所应对从业人员的学习、交流、培训、研究等情况予以记录并建档，作为对其专业能力评价及内部分配参考。</w:t>
      </w:r>
    </w:p>
    <w:p>
      <w:pPr>
        <w:keepNext w:val="0"/>
        <w:keepLines w:val="0"/>
        <w:pageBreakBefore w:val="0"/>
        <w:widowControl w:val="0"/>
        <w:wordWrap/>
        <w:bidi w:val="0"/>
        <w:spacing w:after="0" w:line="500" w:lineRule="exact"/>
        <w:ind w:firstLine="562" w:firstLineChars="200"/>
        <w:jc w:val="both"/>
        <w:rPr>
          <w:rFonts w:hint="eastAsia" w:ascii="仿宋_GB2312" w:hAnsi="仿宋" w:eastAsia="仿宋_GB2312" w:cs="仿宋"/>
          <w:b/>
          <w:bCs/>
          <w:color w:val="000000"/>
          <w:sz w:val="28"/>
          <w:szCs w:val="28"/>
        </w:rPr>
      </w:pPr>
      <w:r>
        <w:rPr>
          <w:rFonts w:hint="eastAsia" w:ascii="仿宋_GB2312" w:hAnsi="仿宋" w:eastAsia="仿宋_GB2312" w:cs="仿宋"/>
          <w:b/>
          <w:bCs/>
          <w:color w:val="000000"/>
          <w:sz w:val="28"/>
          <w:szCs w:val="28"/>
        </w:rPr>
        <w:t xml:space="preserve">第十一条  业务承办 </w:t>
      </w:r>
    </w:p>
    <w:p>
      <w:pPr>
        <w:keepNext w:val="0"/>
        <w:keepLines w:val="0"/>
        <w:pageBreakBefore w:val="0"/>
        <w:widowControl w:val="0"/>
        <w:wordWrap/>
        <w:bidi w:val="0"/>
        <w:spacing w:after="0"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律师事务所承接破产案件管理人业务，由负责人统一审查，并统一指派专业人员办理。</w:t>
      </w:r>
    </w:p>
    <w:p>
      <w:pPr>
        <w:keepNext w:val="0"/>
        <w:keepLines w:val="0"/>
        <w:pageBreakBefore w:val="0"/>
        <w:widowControl w:val="0"/>
        <w:wordWrap/>
        <w:bidi w:val="0"/>
        <w:spacing w:after="0"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未加入业务团队的律师及专业人员，未经负责人审核、同意，原则上不得参与本所管理人业务的承接和办理。</w:t>
      </w:r>
    </w:p>
    <w:p>
      <w:pPr>
        <w:keepNext w:val="0"/>
        <w:keepLines w:val="0"/>
        <w:pageBreakBefore w:val="0"/>
        <w:widowControl w:val="0"/>
        <w:tabs>
          <w:tab w:val="left" w:pos="844"/>
        </w:tabs>
        <w:wordWrap/>
        <w:bidi w:val="0"/>
        <w:spacing w:after="0" w:line="500" w:lineRule="exact"/>
        <w:ind w:firstLine="562" w:firstLineChars="200"/>
        <w:jc w:val="both"/>
        <w:rPr>
          <w:rFonts w:hint="eastAsia" w:ascii="仿宋_GB2312" w:hAnsi="仿宋" w:eastAsia="仿宋_GB2312" w:cs="仿宋"/>
          <w:b/>
          <w:bCs/>
          <w:color w:val="000000"/>
          <w:sz w:val="28"/>
          <w:szCs w:val="28"/>
        </w:rPr>
      </w:pPr>
      <w:r>
        <w:rPr>
          <w:rFonts w:hint="eastAsia" w:ascii="仿宋_GB2312" w:hAnsi="仿宋" w:eastAsia="仿宋_GB2312" w:cs="仿宋"/>
          <w:b/>
          <w:bCs/>
          <w:color w:val="000000"/>
          <w:sz w:val="28"/>
          <w:szCs w:val="28"/>
        </w:rPr>
        <w:t xml:space="preserve">第十二条  人员指派 </w:t>
      </w:r>
    </w:p>
    <w:p>
      <w:pPr>
        <w:keepNext w:val="0"/>
        <w:keepLines w:val="0"/>
        <w:pageBreakBefore w:val="0"/>
        <w:widowControl w:val="0"/>
        <w:tabs>
          <w:tab w:val="left" w:pos="844"/>
        </w:tabs>
        <w:wordWrap/>
        <w:bidi w:val="0"/>
        <w:spacing w:after="0"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律师事务所应根据案件情况指派案件负责人及其他办案人员。被指派的人员应根据律师事务所拟定的相关计划及方案分工合作，接受律师事务所的管理。</w:t>
      </w:r>
    </w:p>
    <w:p>
      <w:pPr>
        <w:keepNext w:val="0"/>
        <w:keepLines w:val="0"/>
        <w:pageBreakBefore w:val="0"/>
        <w:widowControl w:val="0"/>
        <w:tabs>
          <w:tab w:val="left" w:pos="844"/>
        </w:tabs>
        <w:wordWrap/>
        <w:bidi w:val="0"/>
        <w:spacing w:after="0"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如发现被指派人员存在不宜从事相关业务情形或不接受律师事务所管理的，律师事务所应及时调整，并将调整结果书面报告人民法院。</w:t>
      </w:r>
    </w:p>
    <w:p>
      <w:pPr>
        <w:pStyle w:val="8"/>
        <w:keepNext w:val="0"/>
        <w:keepLines w:val="0"/>
        <w:pageBreakBefore w:val="0"/>
        <w:widowControl w:val="0"/>
        <w:wordWrap/>
        <w:bidi w:val="0"/>
        <w:spacing w:line="500" w:lineRule="exact"/>
        <w:ind w:firstLine="562" w:firstLineChars="200"/>
        <w:rPr>
          <w:rFonts w:hint="eastAsia" w:ascii="仿宋_GB2312" w:hAnsi="仿宋" w:eastAsia="仿宋_GB2312" w:cs="仿宋"/>
          <w:b/>
          <w:bCs/>
          <w:color w:val="000000"/>
          <w:sz w:val="28"/>
          <w:szCs w:val="28"/>
        </w:rPr>
      </w:pPr>
      <w:r>
        <w:rPr>
          <w:rFonts w:hint="eastAsia" w:ascii="仿宋_GB2312" w:hAnsi="仿宋" w:eastAsia="仿宋_GB2312" w:cs="仿宋"/>
          <w:b/>
          <w:bCs/>
          <w:color w:val="000000"/>
          <w:sz w:val="28"/>
          <w:szCs w:val="28"/>
        </w:rPr>
        <w:t xml:space="preserve">第十三条  业务合作 </w:t>
      </w:r>
    </w:p>
    <w:p>
      <w:pPr>
        <w:pStyle w:val="8"/>
        <w:keepNext w:val="0"/>
        <w:keepLines w:val="0"/>
        <w:pageBreakBefore w:val="0"/>
        <w:widowControl w:val="0"/>
        <w:wordWrap/>
        <w:bidi w:val="0"/>
        <w:spacing w:line="500" w:lineRule="exact"/>
        <w:ind w:firstLine="560"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律师事务所、律师与其他单位合作办理破产案件管理人业务的，应当经负责人同意，明确合作相关事项，并指派专业人员参与案件的办理。合作方均应分别指定一名人员为本单位案件负责人，应共同确定其中一人为该案件总负责人，明确合作双方的责、权、利，建立良好的合作机制。</w:t>
      </w:r>
    </w:p>
    <w:p>
      <w:pPr>
        <w:pStyle w:val="8"/>
        <w:keepNext w:val="0"/>
        <w:keepLines w:val="0"/>
        <w:pageBreakBefore w:val="0"/>
        <w:widowControl w:val="0"/>
        <w:wordWrap/>
        <w:bidi w:val="0"/>
        <w:spacing w:line="500" w:lineRule="exact"/>
        <w:ind w:firstLine="560"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合作相关事项包括但不限于各自分工、议事决策机制、经费承担、报酬分配、责任划分等。不得出现名为合作实为挂靠、借名等违规情形。</w:t>
      </w:r>
    </w:p>
    <w:p>
      <w:pPr>
        <w:keepNext w:val="0"/>
        <w:keepLines w:val="0"/>
        <w:pageBreakBefore w:val="0"/>
        <w:widowControl w:val="0"/>
        <w:wordWrap/>
        <w:bidi w:val="0"/>
        <w:spacing w:after="0" w:line="500" w:lineRule="exact"/>
        <w:ind w:firstLine="562" w:firstLineChars="200"/>
        <w:jc w:val="both"/>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第十四条  业务制度</w:t>
      </w:r>
      <w:r>
        <w:rPr>
          <w:rFonts w:hint="eastAsia" w:ascii="仿宋_GB2312" w:hAnsi="仿宋" w:eastAsia="仿宋_GB2312" w:cs="仿宋"/>
          <w:color w:val="000000"/>
          <w:sz w:val="28"/>
          <w:szCs w:val="28"/>
        </w:rPr>
        <w:t xml:space="preserve">  </w:t>
      </w:r>
    </w:p>
    <w:p>
      <w:pPr>
        <w:keepNext w:val="0"/>
        <w:keepLines w:val="0"/>
        <w:pageBreakBefore w:val="0"/>
        <w:widowControl w:val="0"/>
        <w:wordWrap/>
        <w:bidi w:val="0"/>
        <w:spacing w:after="0"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律师事务所应当规范本所管理人团队、从业人员及业务等方面的管理，结合行业指导性文件及本所实际情况，制定本律师事务所管理人团队相关制度。</w:t>
      </w:r>
    </w:p>
    <w:p>
      <w:pPr>
        <w:keepNext w:val="0"/>
        <w:keepLines w:val="0"/>
        <w:pageBreakBefore w:val="0"/>
        <w:widowControl w:val="0"/>
        <w:wordWrap/>
        <w:bidi w:val="0"/>
        <w:spacing w:after="0"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相关制度由负责人主持起草，报律所批准执行。包括但不限于：</w:t>
      </w:r>
    </w:p>
    <w:p>
      <w:pPr>
        <w:keepNext w:val="0"/>
        <w:keepLines w:val="0"/>
        <w:pageBreakBefore w:val="0"/>
        <w:widowControl w:val="0"/>
        <w:numPr>
          <w:ilvl w:val="0"/>
          <w:numId w:val="370"/>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日常管理制度；</w:t>
      </w:r>
    </w:p>
    <w:p>
      <w:pPr>
        <w:keepNext w:val="0"/>
        <w:keepLines w:val="0"/>
        <w:pageBreakBefore w:val="0"/>
        <w:widowControl w:val="0"/>
        <w:numPr>
          <w:ilvl w:val="0"/>
          <w:numId w:val="370"/>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业务学习培训制度；</w:t>
      </w:r>
    </w:p>
    <w:p>
      <w:pPr>
        <w:keepNext w:val="0"/>
        <w:keepLines w:val="0"/>
        <w:pageBreakBefore w:val="0"/>
        <w:widowControl w:val="0"/>
        <w:numPr>
          <w:ilvl w:val="0"/>
          <w:numId w:val="370"/>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会议制度；</w:t>
      </w:r>
    </w:p>
    <w:p>
      <w:pPr>
        <w:keepNext w:val="0"/>
        <w:keepLines w:val="0"/>
        <w:pageBreakBefore w:val="0"/>
        <w:widowControl w:val="0"/>
        <w:numPr>
          <w:ilvl w:val="0"/>
          <w:numId w:val="370"/>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管理人消极资格审查和报告制度；</w:t>
      </w:r>
    </w:p>
    <w:p>
      <w:pPr>
        <w:keepNext w:val="0"/>
        <w:keepLines w:val="0"/>
        <w:pageBreakBefore w:val="0"/>
        <w:widowControl w:val="0"/>
        <w:numPr>
          <w:ilvl w:val="0"/>
          <w:numId w:val="370"/>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管理人业务承办制度；</w:t>
      </w:r>
    </w:p>
    <w:p>
      <w:pPr>
        <w:keepNext w:val="0"/>
        <w:keepLines w:val="0"/>
        <w:pageBreakBefore w:val="0"/>
        <w:widowControl w:val="0"/>
        <w:numPr>
          <w:ilvl w:val="0"/>
          <w:numId w:val="370"/>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人员指派、分工负责制度；</w:t>
      </w:r>
    </w:p>
    <w:p>
      <w:pPr>
        <w:keepNext w:val="0"/>
        <w:keepLines w:val="0"/>
        <w:pageBreakBefore w:val="0"/>
        <w:widowControl w:val="0"/>
        <w:numPr>
          <w:ilvl w:val="0"/>
          <w:numId w:val="370"/>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案件讨论、汇报制度；</w:t>
      </w:r>
    </w:p>
    <w:p>
      <w:pPr>
        <w:keepNext w:val="0"/>
        <w:keepLines w:val="0"/>
        <w:pageBreakBefore w:val="0"/>
        <w:widowControl w:val="0"/>
        <w:numPr>
          <w:ilvl w:val="0"/>
          <w:numId w:val="370"/>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管理人业务操作流程制度；</w:t>
      </w:r>
    </w:p>
    <w:p>
      <w:pPr>
        <w:keepNext w:val="0"/>
        <w:keepLines w:val="0"/>
        <w:pageBreakBefore w:val="0"/>
        <w:widowControl w:val="0"/>
        <w:numPr>
          <w:ilvl w:val="0"/>
          <w:numId w:val="370"/>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管理人工作底稿和档案管理制度；</w:t>
      </w:r>
    </w:p>
    <w:p>
      <w:pPr>
        <w:keepNext w:val="0"/>
        <w:keepLines w:val="0"/>
        <w:pageBreakBefore w:val="0"/>
        <w:widowControl w:val="0"/>
        <w:numPr>
          <w:ilvl w:val="0"/>
          <w:numId w:val="370"/>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管理人业务质量控制及考核制度；</w:t>
      </w:r>
    </w:p>
    <w:p>
      <w:pPr>
        <w:keepNext w:val="0"/>
        <w:keepLines w:val="0"/>
        <w:pageBreakBefore w:val="0"/>
        <w:widowControl w:val="0"/>
        <w:numPr>
          <w:ilvl w:val="0"/>
          <w:numId w:val="370"/>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管理人报酬分配与风险承担制度；</w:t>
      </w:r>
    </w:p>
    <w:p>
      <w:pPr>
        <w:keepNext w:val="0"/>
        <w:keepLines w:val="0"/>
        <w:pageBreakBefore w:val="0"/>
        <w:widowControl w:val="0"/>
        <w:numPr>
          <w:ilvl w:val="0"/>
          <w:numId w:val="370"/>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其他相关管理制度。</w:t>
      </w:r>
    </w:p>
    <w:p>
      <w:pPr>
        <w:keepNext w:val="0"/>
        <w:keepLines w:val="0"/>
        <w:pageBreakBefore w:val="0"/>
        <w:widowControl w:val="0"/>
        <w:tabs>
          <w:tab w:val="left" w:pos="844"/>
        </w:tabs>
        <w:wordWrap/>
        <w:bidi w:val="0"/>
        <w:spacing w:after="0" w:line="500" w:lineRule="exact"/>
        <w:ind w:firstLine="562" w:firstLineChars="200"/>
        <w:jc w:val="both"/>
        <w:rPr>
          <w:rFonts w:hint="eastAsia" w:ascii="仿宋_GB2312" w:hAnsi="仿宋" w:eastAsia="仿宋_GB2312" w:cs="仿宋"/>
          <w:color w:val="000000"/>
          <w:sz w:val="28"/>
          <w:szCs w:val="28"/>
        </w:rPr>
      </w:pPr>
      <w:r>
        <w:rPr>
          <w:rFonts w:hint="eastAsia" w:ascii="仿宋_GB2312" w:hAnsi="仿宋" w:eastAsia="仿宋_GB2312" w:cs="仿宋"/>
          <w:b/>
          <w:bCs/>
          <w:color w:val="000000"/>
          <w:sz w:val="28"/>
          <w:szCs w:val="28"/>
        </w:rPr>
        <w:t>第十五条  业务方案</w:t>
      </w:r>
      <w:r>
        <w:rPr>
          <w:rFonts w:hint="eastAsia" w:ascii="仿宋_GB2312" w:hAnsi="仿宋" w:eastAsia="仿宋_GB2312" w:cs="仿宋"/>
          <w:color w:val="000000"/>
          <w:sz w:val="28"/>
          <w:szCs w:val="28"/>
        </w:rPr>
        <w:t xml:space="preserve"> </w:t>
      </w:r>
    </w:p>
    <w:p>
      <w:pPr>
        <w:keepNext w:val="0"/>
        <w:keepLines w:val="0"/>
        <w:pageBreakBefore w:val="0"/>
        <w:widowControl w:val="0"/>
        <w:tabs>
          <w:tab w:val="left" w:pos="844"/>
        </w:tabs>
        <w:wordWrap/>
        <w:bidi w:val="0"/>
        <w:spacing w:after="0"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承办管理人业务后，律师事务所应当结合行业指导性文件及案件实际情况建立相应的工作机制，完成案件相关方案、制度的制定，并督促接受指派的人员执行，保障管理人业务的办理质量。相关制度及方案包括但不限于：</w:t>
      </w:r>
    </w:p>
    <w:p>
      <w:pPr>
        <w:keepNext w:val="0"/>
        <w:keepLines w:val="0"/>
        <w:pageBreakBefore w:val="0"/>
        <w:widowControl w:val="0"/>
        <w:numPr>
          <w:ilvl w:val="0"/>
          <w:numId w:val="371"/>
        </w:numPr>
        <w:tabs>
          <w:tab w:val="left" w:pos="844"/>
        </w:tabs>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工作方案及计划；</w:t>
      </w:r>
    </w:p>
    <w:p>
      <w:pPr>
        <w:keepNext w:val="0"/>
        <w:keepLines w:val="0"/>
        <w:pageBreakBefore w:val="0"/>
        <w:widowControl w:val="0"/>
        <w:numPr>
          <w:ilvl w:val="0"/>
          <w:numId w:val="371"/>
        </w:numPr>
        <w:tabs>
          <w:tab w:val="left" w:pos="844"/>
        </w:tabs>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工作机构及议事规则；</w:t>
      </w:r>
    </w:p>
    <w:p>
      <w:pPr>
        <w:keepNext w:val="0"/>
        <w:keepLines w:val="0"/>
        <w:pageBreakBefore w:val="0"/>
        <w:widowControl w:val="0"/>
        <w:numPr>
          <w:ilvl w:val="0"/>
          <w:numId w:val="371"/>
        </w:numPr>
        <w:tabs>
          <w:tab w:val="left" w:pos="844"/>
        </w:tabs>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处理突发事件的应急预案；</w:t>
      </w:r>
    </w:p>
    <w:p>
      <w:pPr>
        <w:keepNext w:val="0"/>
        <w:keepLines w:val="0"/>
        <w:pageBreakBefore w:val="0"/>
        <w:widowControl w:val="0"/>
        <w:numPr>
          <w:ilvl w:val="0"/>
          <w:numId w:val="371"/>
        </w:numPr>
        <w:tabs>
          <w:tab w:val="left" w:pos="844"/>
        </w:tabs>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接管财产、资料工作方案；</w:t>
      </w:r>
    </w:p>
    <w:p>
      <w:pPr>
        <w:keepNext w:val="0"/>
        <w:keepLines w:val="0"/>
        <w:pageBreakBefore w:val="0"/>
        <w:widowControl w:val="0"/>
        <w:numPr>
          <w:ilvl w:val="0"/>
          <w:numId w:val="371"/>
        </w:numPr>
        <w:tabs>
          <w:tab w:val="left" w:pos="844"/>
        </w:tabs>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印章管理制度；</w:t>
      </w:r>
    </w:p>
    <w:p>
      <w:pPr>
        <w:keepNext w:val="0"/>
        <w:keepLines w:val="0"/>
        <w:pageBreakBefore w:val="0"/>
        <w:widowControl w:val="0"/>
        <w:numPr>
          <w:ilvl w:val="0"/>
          <w:numId w:val="371"/>
        </w:numPr>
        <w:tabs>
          <w:tab w:val="left" w:pos="844"/>
        </w:tabs>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财务管理制度；</w:t>
      </w:r>
    </w:p>
    <w:p>
      <w:pPr>
        <w:keepNext w:val="0"/>
        <w:keepLines w:val="0"/>
        <w:pageBreakBefore w:val="0"/>
        <w:widowControl w:val="0"/>
        <w:numPr>
          <w:ilvl w:val="0"/>
          <w:numId w:val="371"/>
        </w:numPr>
        <w:tabs>
          <w:tab w:val="left" w:pos="844"/>
        </w:tabs>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文件收发、报送、归档管理制度；</w:t>
      </w:r>
    </w:p>
    <w:p>
      <w:pPr>
        <w:keepNext w:val="0"/>
        <w:keepLines w:val="0"/>
        <w:pageBreakBefore w:val="0"/>
        <w:widowControl w:val="0"/>
        <w:numPr>
          <w:ilvl w:val="0"/>
          <w:numId w:val="371"/>
        </w:numPr>
        <w:tabs>
          <w:tab w:val="left" w:pos="844"/>
        </w:tabs>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执行职务费用认定及实施办法；</w:t>
      </w:r>
    </w:p>
    <w:p>
      <w:pPr>
        <w:keepNext w:val="0"/>
        <w:keepLines w:val="0"/>
        <w:pageBreakBefore w:val="0"/>
        <w:widowControl w:val="0"/>
        <w:numPr>
          <w:ilvl w:val="0"/>
          <w:numId w:val="371"/>
        </w:numPr>
        <w:tabs>
          <w:tab w:val="left" w:pos="844"/>
        </w:tabs>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债权审核方案；</w:t>
      </w:r>
    </w:p>
    <w:p>
      <w:pPr>
        <w:keepNext w:val="0"/>
        <w:keepLines w:val="0"/>
        <w:pageBreakBefore w:val="0"/>
        <w:widowControl w:val="0"/>
        <w:numPr>
          <w:ilvl w:val="0"/>
          <w:numId w:val="371"/>
        </w:numPr>
        <w:tabs>
          <w:tab w:val="left" w:pos="844"/>
        </w:tabs>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债权人会议组织方案；</w:t>
      </w:r>
    </w:p>
    <w:p>
      <w:pPr>
        <w:keepNext w:val="0"/>
        <w:keepLines w:val="0"/>
        <w:pageBreakBefore w:val="0"/>
        <w:widowControl w:val="0"/>
        <w:numPr>
          <w:ilvl w:val="0"/>
          <w:numId w:val="371"/>
        </w:numPr>
        <w:tabs>
          <w:tab w:val="left" w:pos="844"/>
        </w:tabs>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保密制度；</w:t>
      </w:r>
    </w:p>
    <w:p>
      <w:pPr>
        <w:keepNext w:val="0"/>
        <w:keepLines w:val="0"/>
        <w:pageBreakBefore w:val="0"/>
        <w:widowControl w:val="0"/>
        <w:numPr>
          <w:ilvl w:val="0"/>
          <w:numId w:val="371"/>
        </w:numPr>
        <w:tabs>
          <w:tab w:val="left" w:pos="844"/>
        </w:tabs>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管理人报酬方案；</w:t>
      </w:r>
    </w:p>
    <w:p>
      <w:pPr>
        <w:keepNext w:val="0"/>
        <w:keepLines w:val="0"/>
        <w:pageBreakBefore w:val="0"/>
        <w:widowControl w:val="0"/>
        <w:numPr>
          <w:ilvl w:val="0"/>
          <w:numId w:val="371"/>
        </w:numPr>
        <w:tabs>
          <w:tab w:val="left" w:pos="844"/>
        </w:tabs>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其他相关制度及方案。</w:t>
      </w:r>
    </w:p>
    <w:p>
      <w:pPr>
        <w:keepNext w:val="0"/>
        <w:keepLines w:val="0"/>
        <w:pageBreakBefore w:val="0"/>
        <w:widowControl w:val="0"/>
        <w:tabs>
          <w:tab w:val="left" w:pos="844"/>
        </w:tabs>
        <w:wordWrap/>
        <w:bidi w:val="0"/>
        <w:spacing w:after="0" w:line="500" w:lineRule="exact"/>
        <w:ind w:firstLine="562" w:firstLineChars="200"/>
        <w:jc w:val="both"/>
        <w:rPr>
          <w:rStyle w:val="30"/>
          <w:rFonts w:ascii="仿宋_GB2312" w:hAnsi="仿宋" w:eastAsia="仿宋_GB2312" w:cs="仿宋"/>
          <w:b w:val="0"/>
          <w:bCs w:val="0"/>
          <w:color w:val="000000"/>
          <w:sz w:val="28"/>
          <w:szCs w:val="28"/>
        </w:rPr>
      </w:pPr>
      <w:r>
        <w:rPr>
          <w:rFonts w:hint="eastAsia" w:ascii="仿宋_GB2312" w:hAnsi="仿宋" w:eastAsia="仿宋_GB2312" w:cs="仿宋"/>
          <w:b/>
          <w:bCs/>
          <w:color w:val="000000"/>
          <w:sz w:val="28"/>
          <w:szCs w:val="28"/>
        </w:rPr>
        <w:t>第十六条  业务质量</w:t>
      </w:r>
      <w:r>
        <w:rPr>
          <w:rStyle w:val="30"/>
          <w:rFonts w:ascii="仿宋_GB2312" w:hAnsi="仿宋" w:eastAsia="仿宋_GB2312" w:cs="仿宋"/>
          <w:b w:val="0"/>
          <w:bCs w:val="0"/>
          <w:color w:val="000000"/>
          <w:sz w:val="28"/>
          <w:szCs w:val="28"/>
        </w:rPr>
        <w:t xml:space="preserve"> </w:t>
      </w:r>
    </w:p>
    <w:p>
      <w:pPr>
        <w:keepNext w:val="0"/>
        <w:keepLines w:val="0"/>
        <w:pageBreakBefore w:val="0"/>
        <w:widowControl w:val="0"/>
        <w:tabs>
          <w:tab w:val="left" w:pos="844"/>
        </w:tabs>
        <w:wordWrap/>
        <w:bidi w:val="0"/>
        <w:spacing w:after="0"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律师事务所应对业务办理过程及环节进行管控，使各项环节及指标达到标准的要求，避免和排除破坏业务质量的因素，使服务质量得到保证。</w:t>
      </w:r>
    </w:p>
    <w:p>
      <w:pPr>
        <w:keepNext w:val="0"/>
        <w:keepLines w:val="0"/>
        <w:pageBreakBefore w:val="0"/>
        <w:widowControl w:val="0"/>
        <w:tabs>
          <w:tab w:val="left" w:pos="844"/>
        </w:tabs>
        <w:wordWrap/>
        <w:bidi w:val="0"/>
        <w:spacing w:after="0"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管理人业务相关工作应做到有形化，相应工作均应有对应的记录和资料。</w:t>
      </w:r>
    </w:p>
    <w:p>
      <w:pPr>
        <w:keepNext w:val="0"/>
        <w:keepLines w:val="0"/>
        <w:pageBreakBefore w:val="0"/>
        <w:widowControl w:val="0"/>
        <w:tabs>
          <w:tab w:val="left" w:pos="844"/>
        </w:tabs>
        <w:wordWrap/>
        <w:bidi w:val="0"/>
        <w:spacing w:after="0"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业务办理过程中，律师事务所应及时组织对疑难、重点或重大问题的讨论、分析，不断总结业务经验，完善相关制度，巩固成果。</w:t>
      </w:r>
    </w:p>
    <w:p>
      <w:pPr>
        <w:keepNext w:val="0"/>
        <w:keepLines w:val="0"/>
        <w:pageBreakBefore w:val="0"/>
        <w:widowControl w:val="0"/>
        <w:tabs>
          <w:tab w:val="left" w:pos="844"/>
        </w:tabs>
        <w:wordWrap/>
        <w:bidi w:val="0"/>
        <w:spacing w:after="0" w:line="500" w:lineRule="exact"/>
        <w:ind w:firstLine="562" w:firstLineChars="200"/>
        <w:jc w:val="both"/>
        <w:rPr>
          <w:rFonts w:hint="eastAsia" w:ascii="仿宋_GB2312" w:hAnsi="仿宋" w:eastAsia="仿宋_GB2312" w:cs="仿宋"/>
          <w:b/>
          <w:bCs/>
          <w:color w:val="000000"/>
          <w:sz w:val="28"/>
          <w:szCs w:val="28"/>
        </w:rPr>
      </w:pPr>
      <w:r>
        <w:rPr>
          <w:rFonts w:hint="eastAsia" w:ascii="仿宋_GB2312" w:hAnsi="仿宋" w:eastAsia="仿宋_GB2312" w:cs="仿宋"/>
          <w:b/>
          <w:bCs/>
          <w:color w:val="000000"/>
          <w:sz w:val="28"/>
          <w:szCs w:val="28"/>
        </w:rPr>
        <w:t xml:space="preserve">第十七条  报告与归档 </w:t>
      </w:r>
    </w:p>
    <w:p>
      <w:pPr>
        <w:keepNext w:val="0"/>
        <w:keepLines w:val="0"/>
        <w:pageBreakBefore w:val="0"/>
        <w:widowControl w:val="0"/>
        <w:tabs>
          <w:tab w:val="left" w:pos="844"/>
        </w:tabs>
        <w:wordWrap/>
        <w:bidi w:val="0"/>
        <w:spacing w:after="0"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业务承办人员应当及时向律师事务所报告业务办理情况，留存工作底稿、资料，及时建立相关档案，报律师事务所审核、存档。</w:t>
      </w:r>
    </w:p>
    <w:p>
      <w:pPr>
        <w:keepNext w:val="0"/>
        <w:keepLines w:val="0"/>
        <w:pageBreakBefore w:val="0"/>
        <w:widowControl w:val="0"/>
        <w:tabs>
          <w:tab w:val="left" w:pos="844"/>
        </w:tabs>
        <w:wordWrap/>
        <w:bidi w:val="0"/>
        <w:spacing w:after="0" w:line="500" w:lineRule="exact"/>
        <w:ind w:firstLine="562" w:firstLineChars="200"/>
        <w:jc w:val="both"/>
        <w:rPr>
          <w:rFonts w:hint="eastAsia" w:ascii="仿宋_GB2312" w:hAnsi="仿宋" w:eastAsia="仿宋_GB2312" w:cs="仿宋"/>
          <w:b/>
          <w:bCs/>
          <w:color w:val="000000"/>
          <w:sz w:val="28"/>
          <w:szCs w:val="28"/>
        </w:rPr>
      </w:pPr>
      <w:r>
        <w:rPr>
          <w:rFonts w:hint="eastAsia" w:ascii="仿宋_GB2312" w:hAnsi="仿宋" w:eastAsia="仿宋_GB2312" w:cs="仿宋"/>
          <w:b/>
          <w:bCs/>
          <w:color w:val="000000"/>
          <w:sz w:val="28"/>
          <w:szCs w:val="28"/>
        </w:rPr>
        <w:t xml:space="preserve">第十八条  业务考核与分配 </w:t>
      </w:r>
    </w:p>
    <w:p>
      <w:pPr>
        <w:keepNext w:val="0"/>
        <w:keepLines w:val="0"/>
        <w:pageBreakBefore w:val="0"/>
        <w:widowControl w:val="0"/>
        <w:tabs>
          <w:tab w:val="left" w:pos="844"/>
        </w:tabs>
        <w:wordWrap/>
        <w:bidi w:val="0"/>
        <w:spacing w:after="0"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律师事务所应当对相关制度及方案的执行情况及案件的办理情况予以跟踪、记录、考核，结合本所实际情况建立与考核结果关联的分配体系。</w:t>
      </w:r>
    </w:p>
    <w:p>
      <w:pPr>
        <w:pStyle w:val="8"/>
        <w:keepNext w:val="0"/>
        <w:keepLines w:val="0"/>
        <w:pageBreakBefore w:val="0"/>
        <w:widowControl w:val="0"/>
        <w:wordWrap/>
        <w:bidi w:val="0"/>
        <w:spacing w:line="500" w:lineRule="exact"/>
        <w:ind w:firstLine="562" w:firstLineChars="200"/>
        <w:rPr>
          <w:rFonts w:hint="eastAsia" w:ascii="仿宋_GB2312" w:hAnsi="仿宋" w:eastAsia="仿宋_GB2312" w:cs="仿宋"/>
          <w:b/>
          <w:bCs/>
          <w:color w:val="000000"/>
          <w:sz w:val="28"/>
          <w:szCs w:val="28"/>
        </w:rPr>
      </w:pPr>
      <w:r>
        <w:rPr>
          <w:rFonts w:hint="eastAsia" w:ascii="仿宋_GB2312" w:hAnsi="仿宋" w:eastAsia="仿宋_GB2312" w:cs="仿宋"/>
          <w:b/>
          <w:bCs/>
          <w:color w:val="000000"/>
          <w:sz w:val="28"/>
          <w:szCs w:val="28"/>
        </w:rPr>
        <w:t xml:space="preserve">第十九条  履职风险控制 </w:t>
      </w:r>
    </w:p>
    <w:p>
      <w:pPr>
        <w:pStyle w:val="8"/>
        <w:keepNext w:val="0"/>
        <w:keepLines w:val="0"/>
        <w:pageBreakBefore w:val="0"/>
        <w:widowControl w:val="0"/>
        <w:wordWrap/>
        <w:bidi w:val="0"/>
        <w:spacing w:line="500" w:lineRule="exact"/>
        <w:ind w:firstLine="560"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kern w:val="0"/>
          <w:sz w:val="28"/>
          <w:szCs w:val="28"/>
        </w:rPr>
        <w:t>律师事务所在加强从业人员履职能力的同时，应当积极防范管理人履职风险，完善履职风险清单，加强风险管理，并结合本所及承办案件情况参与相关职业保险。</w:t>
      </w:r>
    </w:p>
    <w:p>
      <w:pPr>
        <w:keepNext w:val="0"/>
        <w:keepLines w:val="0"/>
        <w:pageBreakBefore w:val="0"/>
        <w:widowControl w:val="0"/>
        <w:wordWrap/>
        <w:bidi w:val="0"/>
        <w:spacing w:after="0" w:line="500" w:lineRule="exact"/>
        <w:ind w:firstLine="560" w:firstLineChars="200"/>
        <w:jc w:val="both"/>
        <w:rPr>
          <w:rFonts w:hint="eastAsia" w:ascii="仿宋_GB2312" w:hAnsi="仿宋" w:eastAsia="仿宋_GB2312" w:cs="仿宋"/>
          <w:b/>
          <w:bCs/>
          <w:color w:val="000000"/>
          <w:sz w:val="28"/>
          <w:szCs w:val="28"/>
        </w:rPr>
      </w:pPr>
      <w:r>
        <w:rPr>
          <w:rFonts w:hint="eastAsia" w:ascii="仿宋_GB2312" w:hAnsi="仿宋" w:eastAsia="仿宋_GB2312" w:cs="仿宋"/>
          <w:color w:val="000000"/>
          <w:sz w:val="28"/>
          <w:szCs w:val="28"/>
        </w:rPr>
        <w:t xml:space="preserve"> </w:t>
      </w:r>
      <w:r>
        <w:rPr>
          <w:rFonts w:hint="eastAsia" w:ascii="仿宋_GB2312" w:hAnsi="仿宋" w:eastAsia="仿宋_GB2312" w:cs="仿宋"/>
          <w:b/>
          <w:bCs/>
          <w:color w:val="000000"/>
          <w:sz w:val="28"/>
          <w:szCs w:val="28"/>
        </w:rPr>
        <w:t xml:space="preserve">第二十条  财务风险控制 </w:t>
      </w:r>
    </w:p>
    <w:p>
      <w:pPr>
        <w:keepNext w:val="0"/>
        <w:keepLines w:val="0"/>
        <w:pageBreakBefore w:val="0"/>
        <w:widowControl w:val="0"/>
        <w:wordWrap/>
        <w:bidi w:val="0"/>
        <w:spacing w:after="0"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律师事务所可根据本所实际情况对管理人团队或部门的“成本及利润”进行独立核算，建立并完善相对独立财务风险控制体系。</w:t>
      </w:r>
    </w:p>
    <w:p>
      <w:pPr>
        <w:keepNext w:val="0"/>
        <w:keepLines w:val="0"/>
        <w:pageBreakBefore w:val="0"/>
        <w:widowControl w:val="0"/>
        <w:wordWrap/>
        <w:bidi w:val="0"/>
        <w:spacing w:before="227" w:beforeLines="50" w:after="227" w:afterLines="50" w:line="500" w:lineRule="exact"/>
        <w:rPr>
          <w:rFonts w:hint="eastAsia" w:ascii="仿宋_GB2312" w:eastAsia="仿宋_GB2312"/>
          <w:color w:val="000000"/>
          <w:sz w:val="28"/>
          <w:szCs w:val="28"/>
        </w:rPr>
      </w:pPr>
    </w:p>
    <w:p>
      <w:pPr>
        <w:keepNext w:val="0"/>
        <w:keepLines w:val="0"/>
        <w:pageBreakBefore w:val="0"/>
        <w:widowControl w:val="0"/>
        <w:wordWrap/>
        <w:bidi w:val="0"/>
        <w:spacing w:before="227" w:beforeLines="50" w:after="227" w:afterLines="50" w:line="500" w:lineRule="exact"/>
        <w:rPr>
          <w:rFonts w:ascii="仿宋_GB2312" w:eastAsia="仿宋_GB2312"/>
          <w:color w:val="000000"/>
          <w:sz w:val="28"/>
          <w:szCs w:val="28"/>
        </w:rPr>
      </w:pPr>
    </w:p>
    <w:p>
      <w:pPr>
        <w:keepNext w:val="0"/>
        <w:keepLines w:val="0"/>
        <w:pageBreakBefore w:val="0"/>
        <w:widowControl w:val="0"/>
        <w:wordWrap/>
        <w:bidi w:val="0"/>
        <w:spacing w:after="0" w:line="500" w:lineRule="exact"/>
        <w:jc w:val="center"/>
        <w:rPr>
          <w:rFonts w:hint="eastAsia" w:ascii="方正小标宋简体" w:hAnsi="方正小标宋简体" w:eastAsia="方正小标宋简体" w:cs="方正小标宋简体"/>
          <w:color w:val="000000"/>
          <w:sz w:val="40"/>
          <w:szCs w:val="40"/>
          <w:shd w:val="clear" w:color="auto" w:fill="FFFFFF"/>
        </w:rPr>
      </w:pPr>
      <w:r>
        <w:rPr>
          <w:rFonts w:hint="eastAsia" w:ascii="方正小标宋简体" w:hAnsi="方正小标宋简体" w:eastAsia="方正小标宋简体" w:cs="方正小标宋简体"/>
          <w:color w:val="000000"/>
          <w:sz w:val="40"/>
          <w:szCs w:val="40"/>
          <w:shd w:val="clear" w:color="auto" w:fill="FFFFFF"/>
        </w:rPr>
        <w:br w:type="page"/>
      </w:r>
    </w:p>
    <w:p>
      <w:pPr>
        <w:keepNext w:val="0"/>
        <w:keepLines w:val="0"/>
        <w:pageBreakBefore w:val="0"/>
        <w:widowControl w:val="0"/>
        <w:wordWrap/>
        <w:bidi w:val="0"/>
        <w:spacing w:after="0" w:line="500" w:lineRule="exact"/>
        <w:jc w:val="center"/>
        <w:rPr>
          <w:rFonts w:hint="eastAsia" w:ascii="方正小标宋简体" w:hAnsi="方正小标宋简体" w:eastAsia="方正小标宋简体" w:cs="方正小标宋简体"/>
          <w:color w:val="000000"/>
          <w:sz w:val="40"/>
          <w:szCs w:val="40"/>
          <w:shd w:val="clear" w:color="auto" w:fill="FFFFFF"/>
        </w:rPr>
      </w:pPr>
    </w:p>
    <w:p>
      <w:pPr>
        <w:keepNext w:val="0"/>
        <w:keepLines w:val="0"/>
        <w:pageBreakBefore w:val="0"/>
        <w:widowControl w:val="0"/>
        <w:wordWrap/>
        <w:bidi w:val="0"/>
        <w:spacing w:after="0" w:line="500" w:lineRule="exact"/>
        <w:jc w:val="center"/>
        <w:rPr>
          <w:rFonts w:hint="eastAsia" w:ascii="方正小标宋简体" w:hAnsi="方正小标宋简体" w:eastAsia="方正小标宋简体" w:cs="方正小标宋简体"/>
          <w:color w:val="000000"/>
          <w:sz w:val="40"/>
          <w:szCs w:val="40"/>
          <w:shd w:val="clear" w:color="auto" w:fill="FFFFFF"/>
        </w:rPr>
      </w:pPr>
    </w:p>
    <w:p>
      <w:pPr>
        <w:keepNext w:val="0"/>
        <w:keepLines w:val="0"/>
        <w:pageBreakBefore w:val="0"/>
        <w:widowControl w:val="0"/>
        <w:wordWrap/>
        <w:bidi w:val="0"/>
        <w:spacing w:after="0" w:line="500" w:lineRule="exact"/>
        <w:jc w:val="center"/>
        <w:rPr>
          <w:rFonts w:hint="eastAsia" w:ascii="方正小标宋简体" w:hAnsi="方正小标宋简体" w:eastAsia="方正小标宋简体" w:cs="方正小标宋简体"/>
          <w:color w:val="000000"/>
          <w:sz w:val="40"/>
          <w:szCs w:val="40"/>
          <w:shd w:val="clear" w:color="auto" w:fill="FFFFFF"/>
        </w:rPr>
      </w:pPr>
    </w:p>
    <w:p>
      <w:pPr>
        <w:keepNext w:val="0"/>
        <w:keepLines w:val="0"/>
        <w:pageBreakBefore w:val="0"/>
        <w:widowControl w:val="0"/>
        <w:wordWrap/>
        <w:bidi w:val="0"/>
        <w:spacing w:after="0" w:line="240" w:lineRule="auto"/>
        <w:jc w:val="center"/>
        <w:rPr>
          <w:rFonts w:hint="eastAsia" w:ascii="方正小标宋简体" w:hAnsi="方正小标宋简体" w:eastAsia="方正小标宋简体" w:cs="方正小标宋简体"/>
          <w:color w:val="000000"/>
          <w:sz w:val="40"/>
          <w:szCs w:val="40"/>
          <w:shd w:val="clear" w:color="auto" w:fill="FFFFFF"/>
        </w:rPr>
      </w:pPr>
    </w:p>
    <w:p>
      <w:pPr>
        <w:keepNext w:val="0"/>
        <w:keepLines w:val="0"/>
        <w:pageBreakBefore w:val="0"/>
        <w:widowControl w:val="0"/>
        <w:wordWrap/>
        <w:bidi w:val="0"/>
        <w:spacing w:after="0" w:line="240" w:lineRule="auto"/>
        <w:jc w:val="center"/>
        <w:outlineLvl w:val="0"/>
        <w:rPr>
          <w:rFonts w:hint="eastAsia" w:ascii="方正小标宋简体" w:hAnsi="方正小标宋简体" w:eastAsia="方正小标宋简体" w:cs="方正小标宋简体"/>
          <w:color w:val="000000"/>
          <w:sz w:val="48"/>
          <w:szCs w:val="48"/>
          <w:shd w:val="clear" w:color="auto" w:fill="FFFFFF"/>
        </w:rPr>
      </w:pPr>
      <w:bookmarkStart w:id="690" w:name="_Toc26899"/>
      <w:r>
        <w:rPr>
          <w:rFonts w:hint="eastAsia" w:ascii="方正小标宋简体" w:hAnsi="方正小标宋简体" w:eastAsia="方正小标宋简体" w:cs="方正小标宋简体"/>
          <w:color w:val="000000"/>
          <w:sz w:val="48"/>
          <w:szCs w:val="48"/>
          <w:shd w:val="clear" w:color="auto" w:fill="FFFFFF"/>
        </w:rPr>
        <w:t>律师参与公司自行清算</w:t>
      </w:r>
      <w:bookmarkEnd w:id="690"/>
    </w:p>
    <w:p>
      <w:pPr>
        <w:keepNext w:val="0"/>
        <w:keepLines w:val="0"/>
        <w:pageBreakBefore w:val="0"/>
        <w:widowControl w:val="0"/>
        <w:wordWrap/>
        <w:bidi w:val="0"/>
        <w:spacing w:after="0" w:line="240" w:lineRule="auto"/>
        <w:jc w:val="center"/>
        <w:outlineLvl w:val="0"/>
        <w:rPr>
          <w:rFonts w:hint="eastAsia" w:ascii="方正小标宋简体" w:hAnsi="方正小标宋简体" w:eastAsia="方正小标宋简体" w:cs="方正小标宋简体"/>
          <w:color w:val="000000"/>
          <w:sz w:val="48"/>
          <w:szCs w:val="48"/>
          <w:shd w:val="clear" w:color="auto" w:fill="FFFFFF"/>
        </w:rPr>
      </w:pPr>
      <w:bookmarkStart w:id="691" w:name="_Toc23724"/>
      <w:r>
        <w:rPr>
          <w:rFonts w:hint="eastAsia" w:ascii="方正小标宋简体" w:hAnsi="方正小标宋简体" w:eastAsia="方正小标宋简体" w:cs="方正小标宋简体"/>
          <w:color w:val="000000"/>
          <w:sz w:val="48"/>
          <w:szCs w:val="48"/>
          <w:shd w:val="clear" w:color="auto" w:fill="FFFFFF"/>
        </w:rPr>
        <w:t>业务操作指引</w:t>
      </w:r>
      <w:bookmarkEnd w:id="691"/>
    </w:p>
    <w:p>
      <w:pPr>
        <w:keepNext w:val="0"/>
        <w:keepLines w:val="0"/>
        <w:pageBreakBefore w:val="0"/>
        <w:widowControl w:val="0"/>
        <w:wordWrap/>
        <w:bidi w:val="0"/>
        <w:spacing w:after="0" w:line="500" w:lineRule="exact"/>
        <w:jc w:val="center"/>
        <w:rPr>
          <w:rFonts w:ascii="方正小标宋简体" w:hAnsi="方正小标宋简体" w:eastAsia="方正小标宋简体" w:cs="方正小标宋简体"/>
          <w:color w:val="000000"/>
          <w:sz w:val="40"/>
          <w:szCs w:val="40"/>
          <w:shd w:val="clear" w:color="auto" w:fill="FFFFFF"/>
        </w:rPr>
      </w:pPr>
      <w:r>
        <w:rPr>
          <w:rFonts w:hint="eastAsia" w:ascii="方正小标宋简体" w:hAnsi="方正小标宋简体" w:eastAsia="方正小标宋简体" w:cs="方正小标宋简体"/>
          <w:color w:val="000000"/>
          <w:sz w:val="48"/>
          <w:szCs w:val="48"/>
          <w:shd w:val="clear" w:color="auto" w:fill="FFFFFF"/>
        </w:rPr>
        <w:br w:type="page"/>
      </w:r>
    </w:p>
    <w:p>
      <w:pPr>
        <w:keepNext w:val="0"/>
        <w:keepLines w:val="0"/>
        <w:pageBreakBefore w:val="0"/>
        <w:widowControl w:val="0"/>
        <w:wordWrap/>
        <w:bidi w:val="0"/>
        <w:spacing w:after="0" w:line="500" w:lineRule="exact"/>
        <w:jc w:val="center"/>
        <w:rPr>
          <w:rFonts w:hint="eastAsia" w:ascii="方正小标宋简体" w:hAnsi="方正小标宋简体" w:eastAsia="方正小标宋简体" w:cs="方正小标宋简体"/>
          <w:color w:val="000000"/>
          <w:sz w:val="40"/>
          <w:szCs w:val="40"/>
          <w:shd w:val="clear" w:color="auto" w:fill="FFFFFF"/>
        </w:rPr>
      </w:pPr>
      <w:r>
        <w:rPr>
          <w:sz w:val="40"/>
        </w:rPr>
        <mc:AlternateContent>
          <mc:Choice Requires="wps">
            <w:drawing>
              <wp:anchor distT="0" distB="0" distL="114300" distR="114300" simplePos="0" relativeHeight="251750400" behindDoc="0" locked="0" layoutInCell="1" allowOverlap="1">
                <wp:simplePos x="0" y="0"/>
                <wp:positionH relativeFrom="column">
                  <wp:posOffset>-519430</wp:posOffset>
                </wp:positionH>
                <wp:positionV relativeFrom="paragraph">
                  <wp:posOffset>5862955</wp:posOffset>
                </wp:positionV>
                <wp:extent cx="1714500" cy="1167130"/>
                <wp:effectExtent l="0" t="0" r="0" b="13970"/>
                <wp:wrapNone/>
                <wp:docPr id="108" name="文本框 108"/>
                <wp:cNvGraphicFramePr/>
                <a:graphic xmlns:a="http://schemas.openxmlformats.org/drawingml/2006/main">
                  <a:graphicData uri="http://schemas.microsoft.com/office/word/2010/wordprocessingShape">
                    <wps:wsp>
                      <wps:cNvSpPr txBox="1"/>
                      <wps:spPr>
                        <a:xfrm>
                          <a:off x="0" y="0"/>
                          <a:ext cx="1714500" cy="1167130"/>
                        </a:xfrm>
                        <a:prstGeom prst="rect">
                          <a:avLst/>
                        </a:prstGeom>
                        <a:solidFill>
                          <a:srgbClr val="FFFFFF"/>
                        </a:solidFill>
                        <a:ln>
                          <a:noFill/>
                        </a:ln>
                      </wps:spPr>
                      <wps:txbx>
                        <w:txbxContent>
                          <w:p/>
                        </w:txbxContent>
                      </wps:txbx>
                      <wps:bodyPr upright="1"/>
                    </wps:wsp>
                  </a:graphicData>
                </a:graphic>
              </wp:anchor>
            </w:drawing>
          </mc:Choice>
          <mc:Fallback>
            <w:pict>
              <v:shape id="_x0000_s1026" o:spid="_x0000_s1026" o:spt="202" type="#_x0000_t202" style="position:absolute;left:0pt;margin-left:-40.9pt;margin-top:461.65pt;height:91.9pt;width:135pt;z-index:251750400;mso-width-relative:page;mso-height-relative:page;" fillcolor="#FFFFFF" filled="t" stroked="f" coordsize="21600,21600" o:gfxdata="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NBvFMLaAAAADAEAAA8AAAAAAAAAAQAgAAAAIgAAAGRycy9kb3du&#10;cmV2LnhtbFBLAQIUABQAAAAIAIdO4kABu/ZwxAEAAHwDAAAOAAAAAAAAAAEAIAAAACkBAABkcnMv&#10;ZTJvRG9jLnhtbFBLBQYAAAAABgAGAFkBAABfBQAAAAA=&#10;">
                <v:fill on="t" focussize="0,0"/>
                <v:stroke on="f"/>
                <v:imagedata o:title=""/>
                <o:lock v:ext="edit" aspectratio="f"/>
                <v:textbox>
                  <w:txbxContent>
                    <w:p/>
                  </w:txbxContent>
                </v:textbox>
              </v:shape>
            </w:pict>
          </mc:Fallback>
        </mc:AlternateContent>
      </w:r>
      <w:r>
        <w:rPr>
          <w:sz w:val="40"/>
          <w:szCs w:val="21"/>
        </w:rPr>
        <mc:AlternateContent>
          <mc:Choice Requires="wps">
            <w:drawing>
              <wp:anchor distT="0" distB="0" distL="114300" distR="114300" simplePos="0" relativeHeight="251694080" behindDoc="0" locked="0" layoutInCell="1" allowOverlap="1">
                <wp:simplePos x="0" y="0"/>
                <wp:positionH relativeFrom="column">
                  <wp:posOffset>-436245</wp:posOffset>
                </wp:positionH>
                <wp:positionV relativeFrom="paragraph">
                  <wp:posOffset>7820025</wp:posOffset>
                </wp:positionV>
                <wp:extent cx="1238250" cy="737870"/>
                <wp:effectExtent l="4445" t="4445" r="14605" b="19685"/>
                <wp:wrapNone/>
                <wp:docPr id="105" name="矩形 105"/>
                <wp:cNvGraphicFramePr/>
                <a:graphic xmlns:a="http://schemas.openxmlformats.org/drawingml/2006/main">
                  <a:graphicData uri="http://schemas.microsoft.com/office/word/2010/wordprocessingShape">
                    <wps:wsp>
                      <wps:cNvSpPr/>
                      <wps:spPr>
                        <a:xfrm>
                          <a:off x="0" y="0"/>
                          <a:ext cx="1238250" cy="737870"/>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4.35pt;margin-top:615.75pt;height:58.1pt;width:97.5pt;z-index:251694080;mso-width-relative:page;mso-height-relative:page;" fillcolor="#FFFFFF" filled="t" stroked="t" coordsize="21600,21600" o:gfxdata="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KNSP/aAAAADQEAAA8AAAAAAAAAAQAgAAAAIgAAAGRycy9kb3ducmV2&#10;LnhtbFBLAQIUABQAAAAIAIdO4kADvWg3+gEAACIEAAAOAAAAAAAAAAEAIAAAACkBAABkcnMvZTJv&#10;RG9jLnhtbFBLBQYAAAAABgAGAFkBAACVBQAAAAA=&#10;">
                <v:fill on="t" focussize="0,0"/>
                <v:stroke color="#FFFFFF" joinstyle="miter"/>
                <v:imagedata o:title=""/>
                <o:lock v:ext="edit" aspectratio="f"/>
              </v:rect>
            </w:pict>
          </mc:Fallback>
        </mc:AlternateContent>
      </w:r>
      <w:r>
        <w:rPr>
          <w:rFonts w:hint="eastAsia" w:ascii="方正小标宋简体" w:hAnsi="方正小标宋简体" w:eastAsia="方正小标宋简体" w:cs="方正小标宋简体"/>
          <w:color w:val="000000"/>
          <w:sz w:val="40"/>
          <w:szCs w:val="40"/>
          <w:shd w:val="clear" w:color="auto" w:fill="FFFFFF"/>
        </w:rPr>
        <w:br w:type="page"/>
      </w:r>
      <w:r>
        <w:rPr>
          <w:rFonts w:hint="eastAsia" w:ascii="方正小标宋简体" w:hAnsi="方正小标宋简体" w:eastAsia="方正小标宋简体" w:cs="方正小标宋简体"/>
          <w:color w:val="000000"/>
          <w:sz w:val="40"/>
          <w:szCs w:val="40"/>
          <w:shd w:val="clear" w:color="auto" w:fill="FFFFFF"/>
        </w:rPr>
        <w:t>目    录</w:t>
      </w:r>
    </w:p>
    <w:p>
      <w:pPr>
        <w:keepNext w:val="0"/>
        <w:keepLines w:val="0"/>
        <w:pageBreakBefore w:val="0"/>
        <w:widowControl w:val="0"/>
        <w:wordWrap/>
        <w:bidi w:val="0"/>
        <w:spacing w:after="0" w:line="500" w:lineRule="exact"/>
        <w:jc w:val="center"/>
        <w:rPr>
          <w:rFonts w:hint="eastAsia" w:ascii="方正小标宋简体" w:hAnsi="方正小标宋简体" w:eastAsia="方正小标宋简体" w:cs="方正小标宋简体"/>
          <w:color w:val="000000"/>
          <w:sz w:val="40"/>
          <w:szCs w:val="40"/>
          <w:shd w:val="clear" w:color="auto" w:fill="FFFFFF"/>
        </w:rPr>
      </w:pPr>
    </w:p>
    <w:p>
      <w:pPr>
        <w:keepNext w:val="0"/>
        <w:keepLines w:val="0"/>
        <w:pageBreakBefore w:val="0"/>
        <w:widowControl w:val="0"/>
        <w:wordWrap/>
        <w:bidi w:val="0"/>
        <w:spacing w:after="0" w:line="500" w:lineRule="exact"/>
        <w:ind w:firstLine="560" w:firstLineChars="200"/>
        <w:outlineLvl w:val="0"/>
        <w:rPr>
          <w:rFonts w:hint="eastAsia" w:ascii="仿宋_GB2312" w:hAnsi="仿宋" w:eastAsia="仿宋_GB2312" w:cs="仿宋"/>
          <w:color w:val="000000"/>
          <w:sz w:val="28"/>
          <w:szCs w:val="28"/>
          <w:shd w:val="clear" w:color="auto" w:fill="FFFFFF"/>
        </w:rPr>
      </w:pPr>
      <w:bookmarkStart w:id="692" w:name="_Toc15370"/>
      <w:r>
        <w:rPr>
          <w:rFonts w:hint="eastAsia" w:ascii="仿宋_GB2312" w:hAnsi="仿宋" w:eastAsia="仿宋_GB2312" w:cs="仿宋"/>
          <w:color w:val="000000"/>
          <w:sz w:val="28"/>
          <w:szCs w:val="28"/>
          <w:shd w:val="clear" w:color="auto" w:fill="FFFFFF"/>
        </w:rPr>
        <w:t>第一章  一般规定</w:t>
      </w:r>
      <w:bookmarkEnd w:id="692"/>
    </w:p>
    <w:p>
      <w:pPr>
        <w:keepNext w:val="0"/>
        <w:keepLines w:val="0"/>
        <w:pageBreakBefore w:val="0"/>
        <w:widowControl w:val="0"/>
        <w:wordWrap/>
        <w:bidi w:val="0"/>
        <w:spacing w:after="0" w:line="500" w:lineRule="exact"/>
        <w:ind w:firstLine="560" w:firstLineChars="200"/>
        <w:outlineLvl w:val="0"/>
        <w:rPr>
          <w:rFonts w:hint="eastAsia" w:ascii="仿宋_GB2312" w:hAnsi="仿宋" w:eastAsia="仿宋_GB2312" w:cs="仿宋"/>
          <w:color w:val="000000"/>
          <w:sz w:val="28"/>
          <w:szCs w:val="28"/>
          <w:shd w:val="clear" w:color="auto" w:fill="FFFFFF"/>
        </w:rPr>
      </w:pPr>
      <w:bookmarkStart w:id="693" w:name="_Toc12003"/>
      <w:r>
        <w:rPr>
          <w:rFonts w:hint="eastAsia" w:ascii="仿宋_GB2312" w:hAnsi="仿宋" w:eastAsia="仿宋_GB2312" w:cs="仿宋"/>
          <w:color w:val="000000"/>
          <w:sz w:val="28"/>
          <w:szCs w:val="28"/>
          <w:shd w:val="clear" w:color="auto" w:fill="FFFFFF"/>
        </w:rPr>
        <w:t>第二章  公司自行清算业务启动阶段律师的主要职责</w:t>
      </w:r>
      <w:bookmarkEnd w:id="693"/>
    </w:p>
    <w:p>
      <w:pPr>
        <w:keepNext w:val="0"/>
        <w:keepLines w:val="0"/>
        <w:pageBreakBefore w:val="0"/>
        <w:widowControl w:val="0"/>
        <w:wordWrap/>
        <w:bidi w:val="0"/>
        <w:spacing w:after="0" w:line="500" w:lineRule="exact"/>
        <w:ind w:firstLine="560" w:firstLineChars="200"/>
        <w:outlineLvl w:val="0"/>
        <w:rPr>
          <w:rFonts w:hint="eastAsia" w:ascii="仿宋_GB2312" w:hAnsi="仿宋" w:eastAsia="仿宋_GB2312" w:cs="仿宋"/>
          <w:color w:val="000000"/>
          <w:sz w:val="28"/>
          <w:szCs w:val="28"/>
          <w:shd w:val="clear" w:color="auto" w:fill="FFFFFF"/>
        </w:rPr>
      </w:pPr>
      <w:bookmarkStart w:id="694" w:name="_Toc9514"/>
      <w:r>
        <w:rPr>
          <w:rFonts w:hint="eastAsia" w:ascii="仿宋_GB2312" w:hAnsi="仿宋" w:eastAsia="仿宋_GB2312" w:cs="仿宋"/>
          <w:color w:val="000000"/>
          <w:sz w:val="28"/>
          <w:szCs w:val="28"/>
          <w:shd w:val="clear" w:color="auto" w:fill="FFFFFF"/>
        </w:rPr>
        <w:t>第三章  协助处理具体清算事务</w:t>
      </w:r>
      <w:bookmarkEnd w:id="694"/>
    </w:p>
    <w:p>
      <w:pPr>
        <w:keepNext w:val="0"/>
        <w:keepLines w:val="0"/>
        <w:pageBreakBefore w:val="0"/>
        <w:widowControl w:val="0"/>
        <w:wordWrap/>
        <w:bidi w:val="0"/>
        <w:spacing w:after="0" w:line="500" w:lineRule="exact"/>
        <w:ind w:firstLine="560" w:firstLineChars="200"/>
        <w:outlineLvl w:val="0"/>
        <w:rPr>
          <w:rFonts w:hint="eastAsia" w:ascii="仿宋_GB2312" w:hAnsi="仿宋" w:eastAsia="仿宋_GB2312" w:cs="仿宋"/>
          <w:color w:val="000000"/>
          <w:sz w:val="28"/>
          <w:szCs w:val="28"/>
          <w:shd w:val="clear" w:color="auto" w:fill="FFFFFF"/>
        </w:rPr>
      </w:pPr>
      <w:bookmarkStart w:id="695" w:name="_Toc4305"/>
      <w:r>
        <w:rPr>
          <w:rFonts w:hint="eastAsia" w:ascii="仿宋_GB2312" w:hAnsi="仿宋" w:eastAsia="仿宋_GB2312" w:cs="仿宋"/>
          <w:color w:val="000000"/>
          <w:sz w:val="28"/>
          <w:szCs w:val="28"/>
          <w:shd w:val="clear" w:color="auto" w:fill="FFFFFF"/>
        </w:rPr>
        <w:t>第四章  其他事务</w:t>
      </w:r>
      <w:bookmarkEnd w:id="695"/>
    </w:p>
    <w:p>
      <w:pPr>
        <w:keepNext w:val="0"/>
        <w:keepLines w:val="0"/>
        <w:pageBreakBefore w:val="0"/>
        <w:widowControl w:val="0"/>
        <w:wordWrap/>
        <w:bidi w:val="0"/>
        <w:spacing w:after="0" w:line="500" w:lineRule="exact"/>
        <w:ind w:firstLine="560" w:firstLineChars="200"/>
        <w:rPr>
          <w:rFonts w:ascii="方正小标宋简体" w:hAnsi="方正小标宋简体" w:eastAsia="方正小标宋简体" w:cs="方正小标宋简体"/>
          <w:color w:val="000000"/>
          <w:sz w:val="40"/>
          <w:szCs w:val="40"/>
          <w:shd w:val="clear" w:color="auto" w:fill="FFFFFF"/>
        </w:rPr>
      </w:pPr>
      <w:r>
        <w:rPr>
          <w:rFonts w:hint="eastAsia" w:ascii="仿宋" w:hAnsi="仿宋" w:eastAsia="仿宋" w:cs="仿宋"/>
          <w:color w:val="000000"/>
          <w:sz w:val="28"/>
          <w:szCs w:val="28"/>
          <w:shd w:val="clear" w:color="auto" w:fill="FFFFFF"/>
        </w:rPr>
        <w:br w:type="page"/>
      </w:r>
      <w:r>
        <w:rPr>
          <w:sz w:val="40"/>
          <w:szCs w:val="21"/>
        </w:rPr>
        <mc:AlternateContent>
          <mc:Choice Requires="wps">
            <w:drawing>
              <wp:anchor distT="0" distB="0" distL="114300" distR="114300" simplePos="0" relativeHeight="251696128" behindDoc="0" locked="0" layoutInCell="1" allowOverlap="1">
                <wp:simplePos x="0" y="0"/>
                <wp:positionH relativeFrom="column">
                  <wp:posOffset>-436245</wp:posOffset>
                </wp:positionH>
                <wp:positionV relativeFrom="paragraph">
                  <wp:posOffset>8023225</wp:posOffset>
                </wp:positionV>
                <wp:extent cx="1238250" cy="737870"/>
                <wp:effectExtent l="4445" t="4445" r="14605" b="19685"/>
                <wp:wrapNone/>
                <wp:docPr id="106" name="矩形 106"/>
                <wp:cNvGraphicFramePr/>
                <a:graphic xmlns:a="http://schemas.openxmlformats.org/drawingml/2006/main">
                  <a:graphicData uri="http://schemas.microsoft.com/office/word/2010/wordprocessingShape">
                    <wps:wsp>
                      <wps:cNvSpPr/>
                      <wps:spPr>
                        <a:xfrm>
                          <a:off x="0" y="0"/>
                          <a:ext cx="1238250" cy="737870"/>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4.35pt;margin-top:631.75pt;height:58.1pt;width:97.5pt;z-index:251696128;mso-width-relative:page;mso-height-relative:page;" fillcolor="#FFFFFF" filled="t" stroked="t" coordsize="21600,21600" o:gfxdata="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cgnl/2gAAAA0BAAAPAAAAAAAAAAEAIAAAACIAAABkcnMvZG93bnJl&#10;di54bWxQSwECFAAUAAAACACHTuJAxTUWv/sBAAAiBAAADgAAAAAAAAABACAAAAApAQAAZHJzL2Uy&#10;b0RvYy54bWxQSwUGAAAAAAYABgBZAQAAlgUAAAAA&#10;">
                <v:fill on="t" focussize="0,0"/>
                <v:stroke color="#FFFFFF" joinstyle="miter"/>
                <v:imagedata o:title=""/>
                <o:lock v:ext="edit" aspectratio="f"/>
              </v:rect>
            </w:pict>
          </mc:Fallback>
        </mc:AlternateContent>
      </w:r>
      <w:r>
        <w:rPr>
          <w:rFonts w:hint="eastAsia" w:ascii="方正小标宋简体" w:hAnsi="方正小标宋简体" w:eastAsia="方正小标宋简体" w:cs="方正小标宋简体"/>
          <w:color w:val="000000"/>
          <w:sz w:val="40"/>
          <w:szCs w:val="40"/>
          <w:shd w:val="clear" w:color="auto" w:fill="FFFFFF"/>
        </w:rPr>
        <w:t>律师参与公司自行清算业务操作指引</w:t>
      </w:r>
    </w:p>
    <w:p>
      <w:pPr>
        <w:keepNext w:val="0"/>
        <w:keepLines w:val="0"/>
        <w:pageBreakBefore w:val="0"/>
        <w:widowControl w:val="0"/>
        <w:wordWrap/>
        <w:bidi w:val="0"/>
        <w:spacing w:before="227" w:beforeLines="50" w:after="227" w:afterLines="50" w:line="500" w:lineRule="exact"/>
        <w:jc w:val="center"/>
        <w:rPr>
          <w:rFonts w:hint="eastAsia" w:ascii="仿宋_GB2312" w:hAnsi="宋体" w:eastAsia="仿宋_GB2312"/>
          <w:b/>
          <w:bCs/>
          <w:color w:val="000000"/>
          <w:sz w:val="28"/>
          <w:szCs w:val="28"/>
          <w:shd w:val="clear" w:color="auto" w:fill="FFFFFF"/>
        </w:rPr>
      </w:pPr>
    </w:p>
    <w:p>
      <w:pPr>
        <w:keepNext w:val="0"/>
        <w:keepLines w:val="0"/>
        <w:pageBreakBefore w:val="0"/>
        <w:widowControl w:val="0"/>
        <w:wordWrap/>
        <w:bidi w:val="0"/>
        <w:spacing w:after="0" w:line="500" w:lineRule="exact"/>
        <w:jc w:val="center"/>
        <w:outlineLvl w:val="0"/>
        <w:rPr>
          <w:rFonts w:hint="eastAsia" w:ascii="黑体" w:hAnsi="黑体" w:eastAsia="黑体" w:cs="黑体"/>
          <w:color w:val="000000"/>
          <w:sz w:val="28"/>
          <w:szCs w:val="28"/>
          <w:shd w:val="clear" w:color="auto" w:fill="FFFFFF"/>
        </w:rPr>
      </w:pPr>
      <w:bookmarkStart w:id="696" w:name="_Toc29086"/>
      <w:r>
        <w:rPr>
          <w:rFonts w:hint="eastAsia" w:ascii="黑体" w:hAnsi="黑体" w:eastAsia="黑体" w:cs="黑体"/>
          <w:color w:val="000000"/>
          <w:sz w:val="28"/>
          <w:szCs w:val="28"/>
          <w:shd w:val="clear" w:color="auto" w:fill="FFFFFF"/>
        </w:rPr>
        <w:t>第一章  一般规定</w:t>
      </w:r>
      <w:bookmarkEnd w:id="696"/>
    </w:p>
    <w:p>
      <w:pPr>
        <w:keepNext w:val="0"/>
        <w:keepLines w:val="0"/>
        <w:pageBreakBefore w:val="0"/>
        <w:widowControl w:val="0"/>
        <w:wordWrap/>
        <w:bidi w:val="0"/>
        <w:spacing w:after="0" w:line="500" w:lineRule="exact"/>
        <w:ind w:firstLine="562" w:firstLineChars="200"/>
        <w:jc w:val="both"/>
        <w:rPr>
          <w:rFonts w:hint="eastAsia" w:ascii="仿宋_GB2312" w:hAnsi="仿宋" w:eastAsia="仿宋_GB2312" w:cs="仿宋"/>
          <w:b/>
          <w:bCs/>
          <w:color w:val="000000"/>
          <w:sz w:val="28"/>
          <w:szCs w:val="28"/>
        </w:rPr>
      </w:pPr>
      <w:r>
        <w:rPr>
          <w:rFonts w:hint="eastAsia" w:ascii="仿宋_GB2312" w:hAnsi="仿宋" w:eastAsia="仿宋_GB2312" w:cs="仿宋"/>
          <w:b/>
          <w:bCs/>
          <w:color w:val="000000"/>
          <w:sz w:val="28"/>
          <w:szCs w:val="28"/>
        </w:rPr>
        <w:t>第一条  宗旨和效力</w:t>
      </w:r>
    </w:p>
    <w:p>
      <w:pPr>
        <w:keepNext w:val="0"/>
        <w:keepLines w:val="0"/>
        <w:pageBreakBefore w:val="0"/>
        <w:widowControl w:val="0"/>
        <w:numPr>
          <w:ilvl w:val="0"/>
          <w:numId w:val="372"/>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为指导律师参与公司自行清算业务。（以下可简称“清算业务”）规范律师执业行为，提高律师服务质量和水平，防范执业风险，充分发挥律师在公司自行清算业务中的作用，依据《中华人民共和国公司法》、《最高人民法院关于适用〈中华人民共和国公司法〉若干问题的规定（二）》（法释〔2008〕6号）、《中华人民共和国公司登记管理条例》及其他相关法律、行政法规和司法解释的规定，制定本指引。</w:t>
      </w:r>
    </w:p>
    <w:p>
      <w:pPr>
        <w:keepNext w:val="0"/>
        <w:keepLines w:val="0"/>
        <w:pageBreakBefore w:val="0"/>
        <w:widowControl w:val="0"/>
        <w:numPr>
          <w:ilvl w:val="0"/>
          <w:numId w:val="372"/>
        </w:numPr>
        <w:shd w:val="clear" w:color="auto" w:fill="FFFFFF"/>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本指引为律师参与公司自行清算业务的指导性意见。本指引与相关法律、行政法规及司法解释有抵触的，以相关法律、行政法规及司法解释的规定为准。</w:t>
      </w:r>
    </w:p>
    <w:p>
      <w:pPr>
        <w:keepNext w:val="0"/>
        <w:keepLines w:val="0"/>
        <w:pageBreakBefore w:val="0"/>
        <w:widowControl w:val="0"/>
        <w:shd w:val="clear" w:color="auto" w:fill="FFFFFF"/>
        <w:wordWrap/>
        <w:bidi w:val="0"/>
        <w:spacing w:after="0" w:line="500" w:lineRule="exact"/>
        <w:ind w:firstLine="562" w:firstLineChars="200"/>
        <w:jc w:val="both"/>
        <w:rPr>
          <w:rFonts w:hint="eastAsia" w:ascii="仿宋_GB2312" w:hAnsi="仿宋" w:eastAsia="仿宋_GB2312" w:cs="仿宋"/>
          <w:b/>
          <w:bCs/>
          <w:color w:val="000000"/>
          <w:sz w:val="28"/>
          <w:szCs w:val="28"/>
        </w:rPr>
      </w:pPr>
      <w:r>
        <w:rPr>
          <w:rFonts w:hint="eastAsia" w:ascii="仿宋_GB2312" w:hAnsi="仿宋" w:eastAsia="仿宋_GB2312" w:cs="仿宋"/>
          <w:b/>
          <w:bCs/>
          <w:color w:val="000000"/>
          <w:sz w:val="28"/>
          <w:szCs w:val="28"/>
        </w:rPr>
        <w:t>第二条  适用范围</w:t>
      </w:r>
    </w:p>
    <w:p>
      <w:pPr>
        <w:keepNext w:val="0"/>
        <w:keepLines w:val="0"/>
        <w:pageBreakBefore w:val="0"/>
        <w:widowControl w:val="0"/>
        <w:shd w:val="clear" w:color="auto" w:fill="FFFFFF"/>
        <w:wordWrap/>
        <w:bidi w:val="0"/>
        <w:spacing w:after="0"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在公司自行清算过程中，律师作为公司股东或清算组的法律顾问，指导、协助清算组处理或者作为清算组工作人员直接参与处理相关清算事务，适用本指引。</w:t>
      </w:r>
    </w:p>
    <w:p>
      <w:pPr>
        <w:keepNext w:val="0"/>
        <w:keepLines w:val="0"/>
        <w:pageBreakBefore w:val="0"/>
        <w:widowControl w:val="0"/>
        <w:shd w:val="clear" w:color="auto" w:fill="FFFFFF"/>
        <w:wordWrap/>
        <w:bidi w:val="0"/>
        <w:spacing w:after="0" w:line="500" w:lineRule="exact"/>
        <w:ind w:firstLine="562" w:firstLineChars="200"/>
        <w:jc w:val="both"/>
        <w:rPr>
          <w:rFonts w:hint="eastAsia" w:ascii="仿宋_GB2312" w:hAnsi="仿宋" w:eastAsia="仿宋_GB2312" w:cs="仿宋"/>
          <w:b/>
          <w:bCs/>
          <w:color w:val="000000"/>
          <w:sz w:val="28"/>
          <w:szCs w:val="28"/>
        </w:rPr>
      </w:pPr>
      <w:r>
        <w:rPr>
          <w:rFonts w:hint="eastAsia" w:ascii="仿宋_GB2312" w:hAnsi="仿宋" w:eastAsia="仿宋_GB2312" w:cs="仿宋"/>
          <w:b/>
          <w:bCs/>
          <w:color w:val="000000"/>
          <w:sz w:val="28"/>
          <w:szCs w:val="28"/>
        </w:rPr>
        <w:t>第三条  律师参与清算业务的条件</w:t>
      </w:r>
    </w:p>
    <w:p>
      <w:pPr>
        <w:keepNext w:val="0"/>
        <w:keepLines w:val="0"/>
        <w:pageBreakBefore w:val="0"/>
        <w:widowControl w:val="0"/>
        <w:numPr>
          <w:ilvl w:val="0"/>
          <w:numId w:val="373"/>
        </w:numPr>
        <w:shd w:val="clear" w:color="auto" w:fill="FFFFFF"/>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独自参与公司自行清算业务的律师，组成律师团队参与清算业务的团队负责人，应当从事专职律师3年以上。</w:t>
      </w:r>
    </w:p>
    <w:p>
      <w:pPr>
        <w:keepNext w:val="0"/>
        <w:keepLines w:val="0"/>
        <w:pageBreakBefore w:val="0"/>
        <w:widowControl w:val="0"/>
        <w:numPr>
          <w:ilvl w:val="0"/>
          <w:numId w:val="373"/>
        </w:numPr>
        <w:shd w:val="clear" w:color="auto" w:fill="FFFFFF"/>
        <w:wordWrap/>
        <w:bidi w:val="0"/>
        <w:spacing w:after="0" w:line="500" w:lineRule="exact"/>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rPr>
        <w:t>律师具有以下情形的，不能独自参与公司清算业务，不能在参与公司自行清算业务的律师团队担任负责人</w:t>
      </w:r>
      <w:r>
        <w:rPr>
          <w:rFonts w:hint="eastAsia" w:ascii="仿宋_GB2312" w:hAnsi="仿宋" w:eastAsia="仿宋_GB2312" w:cs="仿宋"/>
          <w:color w:val="000000"/>
          <w:sz w:val="28"/>
          <w:szCs w:val="28"/>
          <w:shd w:val="clear" w:color="auto" w:fill="FFFFFF"/>
        </w:rPr>
        <w:t>：</w:t>
      </w:r>
    </w:p>
    <w:p>
      <w:pPr>
        <w:keepNext w:val="0"/>
        <w:keepLines w:val="0"/>
        <w:pageBreakBefore w:val="0"/>
        <w:widowControl w:val="0"/>
        <w:numPr>
          <w:ilvl w:val="0"/>
          <w:numId w:val="374"/>
        </w:numPr>
        <w:shd w:val="clear" w:color="auto" w:fill="FFFFFF"/>
        <w:wordWrap/>
        <w:bidi w:val="0"/>
        <w:spacing w:after="0"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缺乏处理公司清算业务所应具备的专业能力；</w:t>
      </w:r>
    </w:p>
    <w:p>
      <w:pPr>
        <w:keepNext w:val="0"/>
        <w:keepLines w:val="0"/>
        <w:pageBreakBefore w:val="0"/>
        <w:widowControl w:val="0"/>
        <w:numPr>
          <w:ilvl w:val="0"/>
          <w:numId w:val="374"/>
        </w:numPr>
        <w:shd w:val="clear" w:color="auto" w:fill="FFFFFF"/>
        <w:wordWrap/>
        <w:bidi w:val="0"/>
        <w:spacing w:after="0"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缺乏承担民事责任的能力；</w:t>
      </w:r>
    </w:p>
    <w:p>
      <w:pPr>
        <w:keepNext w:val="0"/>
        <w:keepLines w:val="0"/>
        <w:pageBreakBefore w:val="0"/>
        <w:widowControl w:val="0"/>
        <w:numPr>
          <w:ilvl w:val="0"/>
          <w:numId w:val="374"/>
        </w:numPr>
        <w:shd w:val="clear" w:color="auto" w:fill="FFFFFF"/>
        <w:wordWrap/>
        <w:bidi w:val="0"/>
        <w:spacing w:after="0"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因健康原因无法履行职务；</w:t>
      </w:r>
    </w:p>
    <w:p>
      <w:pPr>
        <w:keepNext w:val="0"/>
        <w:keepLines w:val="0"/>
        <w:pageBreakBefore w:val="0"/>
        <w:widowControl w:val="0"/>
        <w:numPr>
          <w:ilvl w:val="0"/>
          <w:numId w:val="374"/>
        </w:numPr>
        <w:shd w:val="clear" w:color="auto" w:fill="FFFFFF"/>
        <w:wordWrap/>
        <w:bidi w:val="0"/>
        <w:spacing w:after="0"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有重大债务纠纷可能影响其履行职责；</w:t>
      </w:r>
    </w:p>
    <w:p>
      <w:pPr>
        <w:keepNext w:val="0"/>
        <w:keepLines w:val="0"/>
        <w:pageBreakBefore w:val="0"/>
        <w:widowControl w:val="0"/>
        <w:numPr>
          <w:ilvl w:val="0"/>
          <w:numId w:val="374"/>
        </w:numPr>
        <w:shd w:val="clear" w:color="auto" w:fill="FFFFFF"/>
        <w:wordWrap/>
        <w:bidi w:val="0"/>
        <w:spacing w:after="0"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因涉嫌违法行为正被相关部门调查；</w:t>
      </w:r>
    </w:p>
    <w:p>
      <w:pPr>
        <w:keepNext w:val="0"/>
        <w:keepLines w:val="0"/>
        <w:pageBreakBefore w:val="0"/>
        <w:widowControl w:val="0"/>
        <w:numPr>
          <w:ilvl w:val="0"/>
          <w:numId w:val="374"/>
        </w:numPr>
        <w:shd w:val="clear" w:color="auto" w:fill="FFFFFF"/>
        <w:wordWrap/>
        <w:bidi w:val="0"/>
        <w:spacing w:after="0"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律师事务所认为可能影响其履行职责的其他情形。</w:t>
      </w:r>
    </w:p>
    <w:p>
      <w:pPr>
        <w:keepNext w:val="0"/>
        <w:keepLines w:val="0"/>
        <w:pageBreakBefore w:val="0"/>
        <w:widowControl w:val="0"/>
        <w:shd w:val="clear" w:color="auto" w:fill="FFFFFF"/>
        <w:wordWrap/>
        <w:bidi w:val="0"/>
        <w:spacing w:after="0" w:line="500" w:lineRule="exact"/>
        <w:ind w:firstLine="562" w:firstLineChars="200"/>
        <w:jc w:val="both"/>
        <w:rPr>
          <w:rFonts w:hint="eastAsia" w:ascii="仿宋_GB2312" w:hAnsi="仿宋" w:eastAsia="仿宋_GB2312" w:cs="仿宋"/>
          <w:b/>
          <w:bCs/>
          <w:color w:val="000000"/>
          <w:sz w:val="28"/>
          <w:szCs w:val="28"/>
        </w:rPr>
      </w:pPr>
      <w:r>
        <w:rPr>
          <w:rFonts w:hint="eastAsia" w:ascii="仿宋_GB2312" w:hAnsi="仿宋" w:eastAsia="仿宋_GB2312" w:cs="仿宋"/>
          <w:b/>
          <w:bCs/>
          <w:color w:val="000000"/>
          <w:sz w:val="28"/>
          <w:szCs w:val="28"/>
        </w:rPr>
        <w:t>第四条  律师参与清算业务的工作原则</w:t>
      </w:r>
    </w:p>
    <w:p>
      <w:pPr>
        <w:keepNext w:val="0"/>
        <w:keepLines w:val="0"/>
        <w:pageBreakBefore w:val="0"/>
        <w:widowControl w:val="0"/>
        <w:numPr>
          <w:ilvl w:val="0"/>
          <w:numId w:val="375"/>
        </w:numPr>
        <w:shd w:val="clear" w:color="auto" w:fill="FFFFFF"/>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律师参与清算业务，应当勤勉尽责、忠实执行职务，始终贯彻审慎原则，依法办理相关事务，切实防范法律风险。</w:t>
      </w:r>
    </w:p>
    <w:p>
      <w:pPr>
        <w:keepNext w:val="0"/>
        <w:keepLines w:val="0"/>
        <w:pageBreakBefore w:val="0"/>
        <w:widowControl w:val="0"/>
        <w:numPr>
          <w:ilvl w:val="0"/>
          <w:numId w:val="375"/>
        </w:numPr>
        <w:shd w:val="clear" w:color="auto" w:fill="FFFFFF"/>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律师参与清算业务，应当注重工作效率，节约清算费用。</w:t>
      </w:r>
    </w:p>
    <w:p>
      <w:pPr>
        <w:keepNext w:val="0"/>
        <w:keepLines w:val="0"/>
        <w:pageBreakBefore w:val="0"/>
        <w:widowControl w:val="0"/>
        <w:numPr>
          <w:ilvl w:val="0"/>
          <w:numId w:val="375"/>
        </w:numPr>
        <w:shd w:val="clear" w:color="auto" w:fill="FFFFFF"/>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律师参与清算业务，应当依法向清算组报告工作，依法接受公司股东的监督。</w:t>
      </w:r>
    </w:p>
    <w:p>
      <w:pPr>
        <w:keepNext w:val="0"/>
        <w:keepLines w:val="0"/>
        <w:pageBreakBefore w:val="0"/>
        <w:widowControl w:val="0"/>
        <w:numPr>
          <w:ilvl w:val="0"/>
          <w:numId w:val="375"/>
        </w:numPr>
        <w:shd w:val="clear" w:color="auto" w:fill="FFFFFF"/>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律师参与清算业务，应当严格履行保密义务。对于在执业中知悉的有关股东、债务人、债权人和其他利害关系人的商业秘密、个人隐私以及其他不能对外披露的事项，应当予以保密。</w:t>
      </w:r>
    </w:p>
    <w:p>
      <w:pPr>
        <w:keepNext w:val="0"/>
        <w:keepLines w:val="0"/>
        <w:pageBreakBefore w:val="0"/>
        <w:widowControl w:val="0"/>
        <w:wordWrap/>
        <w:bidi w:val="0"/>
        <w:spacing w:after="0" w:line="500" w:lineRule="exact"/>
        <w:jc w:val="center"/>
        <w:outlineLvl w:val="0"/>
        <w:rPr>
          <w:rFonts w:hint="eastAsia" w:ascii="黑体" w:hAnsi="黑体" w:eastAsia="黑体" w:cs="黑体"/>
          <w:color w:val="000000"/>
          <w:sz w:val="28"/>
          <w:szCs w:val="28"/>
          <w:shd w:val="clear" w:color="auto" w:fill="FFFFFF"/>
        </w:rPr>
      </w:pPr>
      <w:bookmarkStart w:id="697" w:name="_Toc30305"/>
      <w:r>
        <w:rPr>
          <w:rFonts w:hint="eastAsia" w:ascii="黑体" w:hAnsi="黑体" w:eastAsia="黑体" w:cs="黑体"/>
          <w:color w:val="000000"/>
          <w:sz w:val="28"/>
          <w:szCs w:val="28"/>
          <w:shd w:val="clear" w:color="auto" w:fill="FFFFFF"/>
        </w:rPr>
        <w:t>第二章  公司自行清算业务启动阶段律师的主要职责</w:t>
      </w:r>
      <w:bookmarkEnd w:id="697"/>
    </w:p>
    <w:p>
      <w:pPr>
        <w:keepNext w:val="0"/>
        <w:keepLines w:val="0"/>
        <w:pageBreakBefore w:val="0"/>
        <w:widowControl w:val="0"/>
        <w:wordWrap/>
        <w:bidi w:val="0"/>
        <w:spacing w:after="0" w:line="500" w:lineRule="exact"/>
        <w:ind w:firstLine="562" w:firstLineChars="200"/>
        <w:jc w:val="both"/>
        <w:rPr>
          <w:rFonts w:hint="eastAsia" w:ascii="仿宋_GB2312" w:hAnsi="仿宋" w:eastAsia="仿宋_GB2312" w:cs="仿宋"/>
          <w:b/>
          <w:bCs/>
          <w:color w:val="000000"/>
          <w:sz w:val="28"/>
          <w:szCs w:val="28"/>
          <w:shd w:val="clear" w:color="auto" w:fill="FFFFFF"/>
        </w:rPr>
      </w:pPr>
      <w:r>
        <w:rPr>
          <w:rFonts w:hint="eastAsia" w:ascii="仿宋_GB2312" w:hAnsi="仿宋" w:eastAsia="仿宋_GB2312" w:cs="仿宋"/>
          <w:b/>
          <w:bCs/>
          <w:color w:val="000000"/>
          <w:sz w:val="28"/>
          <w:szCs w:val="28"/>
          <w:shd w:val="clear" w:color="auto" w:fill="FFFFFF"/>
        </w:rPr>
        <w:t>第五条  确认公司清算事由</w:t>
      </w:r>
      <w:r>
        <w:rPr>
          <w:rStyle w:val="21"/>
          <w:rFonts w:hint="eastAsia" w:ascii="仿宋_GB2312" w:hAnsi="仿宋" w:eastAsia="仿宋_GB2312" w:cs="仿宋"/>
          <w:b/>
          <w:bCs/>
          <w:color w:val="000000"/>
          <w:sz w:val="28"/>
          <w:szCs w:val="28"/>
          <w:shd w:val="clear" w:color="auto" w:fill="FFFFFF"/>
        </w:rPr>
        <w:footnoteReference w:id="0"/>
      </w:r>
    </w:p>
    <w:p>
      <w:pPr>
        <w:keepNext w:val="0"/>
        <w:keepLines w:val="0"/>
        <w:pageBreakBefore w:val="0"/>
        <w:widowControl w:val="0"/>
        <w:shd w:val="clear" w:color="auto" w:fill="FFFFFF"/>
        <w:wordWrap/>
        <w:bidi w:val="0"/>
        <w:spacing w:after="0" w:line="500" w:lineRule="exact"/>
        <w:ind w:firstLine="560"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公司应当在下列情形发生后依法组成清算组，开始清算：</w:t>
      </w:r>
    </w:p>
    <w:p>
      <w:pPr>
        <w:keepNext w:val="0"/>
        <w:keepLines w:val="0"/>
        <w:pageBreakBefore w:val="0"/>
        <w:widowControl w:val="0"/>
        <w:numPr>
          <w:ilvl w:val="0"/>
          <w:numId w:val="376"/>
        </w:numPr>
        <w:shd w:val="clear" w:color="auto" w:fill="FFFFFF"/>
        <w:wordWrap/>
        <w:bidi w:val="0"/>
        <w:spacing w:after="0" w:line="500" w:lineRule="exact"/>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至公司章程规定的营业期限届满，股东（大）会未就公司延长营业期限形成有效决议并修改章程；</w:t>
      </w:r>
    </w:p>
    <w:p>
      <w:pPr>
        <w:keepNext w:val="0"/>
        <w:keepLines w:val="0"/>
        <w:pageBreakBefore w:val="0"/>
        <w:widowControl w:val="0"/>
        <w:numPr>
          <w:ilvl w:val="0"/>
          <w:numId w:val="376"/>
        </w:numPr>
        <w:shd w:val="clear" w:color="auto" w:fill="FFFFFF"/>
        <w:wordWrap/>
        <w:bidi w:val="0"/>
        <w:spacing w:after="0" w:line="500" w:lineRule="exact"/>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出现公司章程规定的其他解散事由，股东（大）会未就公司继续营业形成有效决议并修改章程；</w:t>
      </w:r>
    </w:p>
    <w:p>
      <w:pPr>
        <w:keepNext w:val="0"/>
        <w:keepLines w:val="0"/>
        <w:pageBreakBefore w:val="0"/>
        <w:widowControl w:val="0"/>
        <w:numPr>
          <w:ilvl w:val="0"/>
          <w:numId w:val="376"/>
        </w:numPr>
        <w:shd w:val="clear" w:color="auto" w:fill="FFFFFF"/>
        <w:wordWrap/>
        <w:bidi w:val="0"/>
        <w:spacing w:after="0" w:line="500" w:lineRule="exact"/>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股东（大）会决定解散公司；</w:t>
      </w:r>
    </w:p>
    <w:p>
      <w:pPr>
        <w:keepNext w:val="0"/>
        <w:keepLines w:val="0"/>
        <w:pageBreakBefore w:val="0"/>
        <w:widowControl w:val="0"/>
        <w:numPr>
          <w:ilvl w:val="0"/>
          <w:numId w:val="376"/>
        </w:numPr>
        <w:shd w:val="clear" w:color="auto" w:fill="FFFFFF"/>
        <w:wordWrap/>
        <w:bidi w:val="0"/>
        <w:spacing w:after="0" w:line="500" w:lineRule="exact"/>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公司被吊销营业执照、责令关闭或者被撤销；</w:t>
      </w:r>
    </w:p>
    <w:p>
      <w:pPr>
        <w:keepNext w:val="0"/>
        <w:keepLines w:val="0"/>
        <w:pageBreakBefore w:val="0"/>
        <w:widowControl w:val="0"/>
        <w:numPr>
          <w:ilvl w:val="0"/>
          <w:numId w:val="376"/>
        </w:numPr>
        <w:shd w:val="clear" w:color="auto" w:fill="FFFFFF"/>
        <w:wordWrap/>
        <w:bidi w:val="0"/>
        <w:spacing w:after="0" w:line="500" w:lineRule="exact"/>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人民法院判决解散公司且该判决已生效。</w:t>
      </w:r>
    </w:p>
    <w:p>
      <w:pPr>
        <w:keepNext w:val="0"/>
        <w:keepLines w:val="0"/>
        <w:pageBreakBefore w:val="0"/>
        <w:widowControl w:val="0"/>
        <w:shd w:val="clear" w:color="auto" w:fill="FFFFFF"/>
        <w:wordWrap/>
        <w:bidi w:val="0"/>
        <w:spacing w:after="0" w:line="500" w:lineRule="exact"/>
        <w:ind w:firstLine="562"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b/>
          <w:bCs/>
          <w:color w:val="000000"/>
          <w:sz w:val="28"/>
          <w:szCs w:val="28"/>
          <w:shd w:val="clear" w:color="auto" w:fill="FFFFFF"/>
        </w:rPr>
        <w:t>第六条  协助筹备成立清算组</w:t>
      </w:r>
    </w:p>
    <w:p>
      <w:pPr>
        <w:keepNext w:val="0"/>
        <w:keepLines w:val="0"/>
        <w:pageBreakBefore w:val="0"/>
        <w:widowControl w:val="0"/>
        <w:numPr>
          <w:ilvl w:val="0"/>
          <w:numId w:val="377"/>
        </w:numPr>
        <w:shd w:val="clear" w:color="auto" w:fill="FFFFFF"/>
        <w:wordWrap/>
        <w:bidi w:val="0"/>
        <w:spacing w:after="0" w:line="500" w:lineRule="exact"/>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公司应当在清算事由出现后15日内成立清算组</w:t>
      </w:r>
      <w:r>
        <w:rPr>
          <w:rStyle w:val="21"/>
          <w:rFonts w:hint="eastAsia" w:ascii="仿宋_GB2312" w:hAnsi="仿宋" w:eastAsia="仿宋_GB2312" w:cs="仿宋"/>
          <w:color w:val="000000"/>
          <w:sz w:val="28"/>
          <w:szCs w:val="28"/>
          <w:shd w:val="clear" w:color="auto" w:fill="FFFFFF"/>
        </w:rPr>
        <w:footnoteReference w:id="1"/>
      </w:r>
      <w:r>
        <w:rPr>
          <w:rFonts w:hint="eastAsia" w:ascii="仿宋_GB2312" w:hAnsi="仿宋" w:eastAsia="仿宋_GB2312" w:cs="仿宋"/>
          <w:color w:val="000000"/>
          <w:sz w:val="28"/>
          <w:szCs w:val="28"/>
          <w:shd w:val="clear" w:color="auto" w:fill="FFFFFF"/>
        </w:rPr>
        <w:t>。</w:t>
      </w:r>
    </w:p>
    <w:p>
      <w:pPr>
        <w:keepNext w:val="0"/>
        <w:keepLines w:val="0"/>
        <w:pageBreakBefore w:val="0"/>
        <w:widowControl w:val="0"/>
        <w:numPr>
          <w:ilvl w:val="0"/>
          <w:numId w:val="377"/>
        </w:numPr>
        <w:shd w:val="clear" w:color="auto" w:fill="FFFFFF"/>
        <w:wordWrap/>
        <w:bidi w:val="0"/>
        <w:spacing w:after="0" w:line="500" w:lineRule="exact"/>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有限责任公司的清算组由股东组成；股份有限公司的清算组由董事或者股东大会确定的人员组成，成员人数为五至十九人中的单数。</w:t>
      </w:r>
      <w:r>
        <w:rPr>
          <w:rStyle w:val="21"/>
          <w:rFonts w:hint="eastAsia" w:ascii="仿宋_GB2312" w:hAnsi="仿宋" w:eastAsia="仿宋_GB2312" w:cs="仿宋"/>
          <w:color w:val="000000"/>
          <w:sz w:val="28"/>
          <w:szCs w:val="28"/>
          <w:shd w:val="clear" w:color="auto" w:fill="FFFFFF"/>
        </w:rPr>
        <w:footnoteReference w:id="2"/>
      </w:r>
    </w:p>
    <w:p>
      <w:pPr>
        <w:keepNext w:val="0"/>
        <w:keepLines w:val="0"/>
        <w:pageBreakBefore w:val="0"/>
        <w:widowControl w:val="0"/>
        <w:numPr>
          <w:ilvl w:val="0"/>
          <w:numId w:val="377"/>
        </w:numPr>
        <w:shd w:val="clear" w:color="auto" w:fill="FFFFFF"/>
        <w:wordWrap/>
        <w:bidi w:val="0"/>
        <w:spacing w:after="0" w:line="500" w:lineRule="exact"/>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股份有限公司的清算组成员优先从公司股东、董事、监事、高级管理人员能够而且愿意参加清算的人员中选任，也可以选聘律师、会计师等中介机构及其工作人员参与。</w:t>
      </w:r>
      <w:r>
        <w:rPr>
          <w:rStyle w:val="21"/>
          <w:rFonts w:hint="eastAsia" w:ascii="仿宋_GB2312" w:hAnsi="仿宋" w:eastAsia="仿宋_GB2312" w:cs="仿宋"/>
          <w:color w:val="000000"/>
          <w:sz w:val="28"/>
          <w:szCs w:val="28"/>
          <w:shd w:val="clear" w:color="auto" w:fill="FFFFFF"/>
        </w:rPr>
        <w:footnoteReference w:id="3"/>
      </w:r>
    </w:p>
    <w:p>
      <w:pPr>
        <w:keepNext w:val="0"/>
        <w:keepLines w:val="0"/>
        <w:pageBreakBefore w:val="0"/>
        <w:widowControl w:val="0"/>
        <w:numPr>
          <w:ilvl w:val="0"/>
          <w:numId w:val="377"/>
        </w:numPr>
        <w:shd w:val="clear" w:color="auto" w:fill="FFFFFF"/>
        <w:wordWrap/>
        <w:bidi w:val="0"/>
        <w:spacing w:after="0" w:line="500" w:lineRule="exact"/>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清算组负责人由股东（大）会决定。</w:t>
      </w:r>
    </w:p>
    <w:p>
      <w:pPr>
        <w:keepNext w:val="0"/>
        <w:keepLines w:val="0"/>
        <w:pageBreakBefore w:val="0"/>
        <w:widowControl w:val="0"/>
        <w:numPr>
          <w:ilvl w:val="0"/>
          <w:numId w:val="377"/>
        </w:numPr>
        <w:shd w:val="clear" w:color="auto" w:fill="FFFFFF"/>
        <w:wordWrap/>
        <w:bidi w:val="0"/>
        <w:spacing w:after="0" w:line="500" w:lineRule="exact"/>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清算组可以设专门的办事机构，聘请有关工作人员处理相关具体事务。</w:t>
      </w:r>
    </w:p>
    <w:p>
      <w:pPr>
        <w:keepNext w:val="0"/>
        <w:keepLines w:val="0"/>
        <w:pageBreakBefore w:val="0"/>
        <w:widowControl w:val="0"/>
        <w:numPr>
          <w:ilvl w:val="0"/>
          <w:numId w:val="377"/>
        </w:numPr>
        <w:shd w:val="clear" w:color="auto" w:fill="FFFFFF"/>
        <w:wordWrap/>
        <w:bidi w:val="0"/>
        <w:spacing w:after="0" w:line="500" w:lineRule="exact"/>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应制定清算组议事规则等基本制度，并报股东（大）会批准生效。</w:t>
      </w:r>
    </w:p>
    <w:p>
      <w:pPr>
        <w:keepNext w:val="0"/>
        <w:keepLines w:val="0"/>
        <w:pageBreakBefore w:val="0"/>
        <w:widowControl w:val="0"/>
        <w:numPr>
          <w:ilvl w:val="0"/>
          <w:numId w:val="377"/>
        </w:numPr>
        <w:shd w:val="clear" w:color="auto" w:fill="FFFFFF"/>
        <w:wordWrap/>
        <w:bidi w:val="0"/>
        <w:spacing w:after="0" w:line="500" w:lineRule="exact"/>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法律法规对公司清算机构另有规定的，按相关规定执行。</w:t>
      </w:r>
    </w:p>
    <w:p>
      <w:pPr>
        <w:keepNext w:val="0"/>
        <w:keepLines w:val="0"/>
        <w:pageBreakBefore w:val="0"/>
        <w:widowControl w:val="0"/>
        <w:shd w:val="clear" w:color="auto" w:fill="FFFFFF"/>
        <w:wordWrap/>
        <w:bidi w:val="0"/>
        <w:spacing w:after="0" w:line="500" w:lineRule="exact"/>
        <w:ind w:firstLine="562" w:firstLineChars="200"/>
        <w:jc w:val="both"/>
        <w:rPr>
          <w:rFonts w:hint="eastAsia" w:ascii="仿宋_GB2312" w:hAnsi="仿宋" w:eastAsia="仿宋_GB2312" w:cs="仿宋"/>
          <w:b/>
          <w:color w:val="000000"/>
          <w:sz w:val="28"/>
          <w:szCs w:val="28"/>
          <w:shd w:val="clear" w:color="auto" w:fill="FFFFFF"/>
        </w:rPr>
      </w:pPr>
      <w:r>
        <w:rPr>
          <w:rFonts w:hint="eastAsia" w:ascii="仿宋_GB2312" w:hAnsi="仿宋" w:eastAsia="仿宋_GB2312" w:cs="仿宋"/>
          <w:b/>
          <w:color w:val="000000"/>
          <w:sz w:val="28"/>
          <w:szCs w:val="28"/>
          <w:shd w:val="clear" w:color="auto" w:fill="FFFFFF"/>
        </w:rPr>
        <w:t>第七条  协助召开股东（大）会</w:t>
      </w:r>
    </w:p>
    <w:p>
      <w:pPr>
        <w:keepNext w:val="0"/>
        <w:keepLines w:val="0"/>
        <w:pageBreakBefore w:val="0"/>
        <w:widowControl w:val="0"/>
        <w:numPr>
          <w:ilvl w:val="0"/>
          <w:numId w:val="378"/>
        </w:numPr>
        <w:shd w:val="clear" w:color="auto" w:fill="FFFFFF"/>
        <w:wordWrap/>
        <w:bidi w:val="0"/>
        <w:spacing w:after="0" w:line="500" w:lineRule="exact"/>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b/>
          <w:bCs/>
          <w:color w:val="000000"/>
          <w:sz w:val="28"/>
          <w:szCs w:val="28"/>
          <w:shd w:val="clear" w:color="auto" w:fill="FFFFFF"/>
        </w:rPr>
        <w:t>协助有限责任公司召开股东会，就公司进入清算程序作出相关决议。</w:t>
      </w:r>
    </w:p>
    <w:p>
      <w:pPr>
        <w:keepNext w:val="0"/>
        <w:keepLines w:val="0"/>
        <w:pageBreakBefore w:val="0"/>
        <w:widowControl w:val="0"/>
        <w:numPr>
          <w:ilvl w:val="0"/>
          <w:numId w:val="379"/>
        </w:numPr>
        <w:shd w:val="clear" w:color="auto" w:fill="FFFFFF"/>
        <w:wordWrap/>
        <w:bidi w:val="0"/>
        <w:spacing w:after="0" w:line="500" w:lineRule="exact"/>
        <w:ind w:firstLine="560"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代表十分之一以上表决权的股东，三分之一以上的董事，监事会或者不设监事会的公司的监事，或者董事会提议召开股东会。（《公司法》39条）</w:t>
      </w:r>
    </w:p>
    <w:p>
      <w:pPr>
        <w:keepNext w:val="0"/>
        <w:keepLines w:val="0"/>
        <w:pageBreakBefore w:val="0"/>
        <w:widowControl w:val="0"/>
        <w:numPr>
          <w:ilvl w:val="0"/>
          <w:numId w:val="379"/>
        </w:numPr>
        <w:shd w:val="clear" w:color="auto" w:fill="FFFFFF"/>
        <w:wordWrap/>
        <w:bidi w:val="0"/>
        <w:spacing w:after="0" w:line="500" w:lineRule="exact"/>
        <w:ind w:firstLine="560"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除章程另有规定外，应于股东会召开前15日将会议召开的时间、地点、审议的事项等通知全体股东。</w:t>
      </w:r>
      <w:r>
        <w:rPr>
          <w:rStyle w:val="21"/>
          <w:rFonts w:hint="eastAsia" w:ascii="仿宋_GB2312" w:hAnsi="仿宋" w:eastAsia="仿宋_GB2312" w:cs="仿宋"/>
          <w:color w:val="000000"/>
          <w:sz w:val="28"/>
          <w:szCs w:val="28"/>
          <w:shd w:val="clear" w:color="auto" w:fill="FFFFFF"/>
        </w:rPr>
        <w:footnoteReference w:id="4"/>
      </w:r>
    </w:p>
    <w:p>
      <w:pPr>
        <w:keepNext w:val="0"/>
        <w:keepLines w:val="0"/>
        <w:pageBreakBefore w:val="0"/>
        <w:widowControl w:val="0"/>
        <w:numPr>
          <w:ilvl w:val="0"/>
          <w:numId w:val="379"/>
        </w:numPr>
        <w:shd w:val="clear" w:color="auto" w:fill="FFFFFF"/>
        <w:wordWrap/>
        <w:bidi w:val="0"/>
        <w:spacing w:after="0" w:line="500" w:lineRule="exact"/>
        <w:ind w:firstLine="560"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经股东会多数表决权同意，就公司进行清算、清算组的组成、清算组负责人等事项作出决议。</w:t>
      </w:r>
    </w:p>
    <w:p>
      <w:pPr>
        <w:keepNext w:val="0"/>
        <w:keepLines w:val="0"/>
        <w:pageBreakBefore w:val="0"/>
        <w:widowControl w:val="0"/>
        <w:numPr>
          <w:ilvl w:val="0"/>
          <w:numId w:val="379"/>
        </w:numPr>
        <w:shd w:val="clear" w:color="auto" w:fill="FFFFFF"/>
        <w:wordWrap/>
        <w:bidi w:val="0"/>
        <w:spacing w:after="0" w:line="500" w:lineRule="exact"/>
        <w:ind w:firstLine="560"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经股东会多数表决权同意，就公司清算组议事规则等基本制度作出决议。</w:t>
      </w:r>
    </w:p>
    <w:p>
      <w:pPr>
        <w:keepNext w:val="0"/>
        <w:keepLines w:val="0"/>
        <w:pageBreakBefore w:val="0"/>
        <w:widowControl w:val="0"/>
        <w:numPr>
          <w:ilvl w:val="0"/>
          <w:numId w:val="379"/>
        </w:numPr>
        <w:shd w:val="clear" w:color="auto" w:fill="FFFFFF"/>
        <w:wordWrap/>
        <w:bidi w:val="0"/>
        <w:spacing w:after="0" w:line="500" w:lineRule="exact"/>
        <w:ind w:firstLine="560"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股东会制作会议记录和股东会决议，并由出席会议的股东签名。</w:t>
      </w:r>
      <w:r>
        <w:rPr>
          <w:rStyle w:val="21"/>
          <w:rFonts w:hint="eastAsia" w:ascii="仿宋_GB2312" w:hAnsi="仿宋" w:eastAsia="仿宋_GB2312" w:cs="仿宋"/>
          <w:color w:val="000000"/>
          <w:sz w:val="28"/>
          <w:szCs w:val="28"/>
          <w:shd w:val="clear" w:color="auto" w:fill="FFFFFF"/>
        </w:rPr>
        <w:footnoteReference w:id="5"/>
      </w:r>
    </w:p>
    <w:p>
      <w:pPr>
        <w:keepNext w:val="0"/>
        <w:keepLines w:val="0"/>
        <w:pageBreakBefore w:val="0"/>
        <w:widowControl w:val="0"/>
        <w:numPr>
          <w:ilvl w:val="0"/>
          <w:numId w:val="378"/>
        </w:numPr>
        <w:shd w:val="clear" w:color="auto" w:fill="FFFFFF"/>
        <w:wordWrap/>
        <w:bidi w:val="0"/>
        <w:spacing w:after="0" w:line="500" w:lineRule="exact"/>
        <w:jc w:val="both"/>
        <w:rPr>
          <w:rFonts w:hint="eastAsia" w:ascii="仿宋_GB2312" w:hAnsi="仿宋" w:eastAsia="仿宋_GB2312" w:cs="仿宋"/>
          <w:b/>
          <w:bCs/>
          <w:color w:val="000000"/>
          <w:sz w:val="28"/>
          <w:szCs w:val="28"/>
          <w:shd w:val="clear" w:color="auto" w:fill="FFFFFF"/>
        </w:rPr>
      </w:pPr>
      <w:r>
        <w:rPr>
          <w:rFonts w:hint="eastAsia" w:ascii="仿宋_GB2312" w:hAnsi="仿宋" w:eastAsia="仿宋_GB2312" w:cs="仿宋"/>
          <w:b/>
          <w:bCs/>
          <w:color w:val="000000"/>
          <w:sz w:val="28"/>
          <w:szCs w:val="28"/>
          <w:shd w:val="clear" w:color="auto" w:fill="FFFFFF"/>
        </w:rPr>
        <w:t>协助股份有限公司召开股东大会，就公司进行入清算程序作出相关决议。</w:t>
      </w:r>
    </w:p>
    <w:p>
      <w:pPr>
        <w:keepNext w:val="0"/>
        <w:keepLines w:val="0"/>
        <w:pageBreakBefore w:val="0"/>
        <w:widowControl w:val="0"/>
        <w:numPr>
          <w:ilvl w:val="0"/>
          <w:numId w:val="380"/>
        </w:numPr>
        <w:shd w:val="clear" w:color="auto" w:fill="FFFFFF"/>
        <w:wordWrap/>
        <w:bidi w:val="0"/>
        <w:spacing w:after="0" w:line="500" w:lineRule="exact"/>
        <w:ind w:firstLine="560"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由董事会、监事会（当董事会不能履行或者不履行召集股东大会会议职责时）、连续90日以上单独或者合计持有公司百分之十以上股份的股东（当董事会、监事会不召集股东会时）召集股东大会。</w:t>
      </w:r>
      <w:r>
        <w:rPr>
          <w:rStyle w:val="21"/>
          <w:rFonts w:hint="eastAsia" w:ascii="仿宋_GB2312" w:hAnsi="仿宋" w:eastAsia="仿宋_GB2312" w:cs="仿宋"/>
          <w:color w:val="000000"/>
          <w:sz w:val="28"/>
          <w:szCs w:val="28"/>
          <w:shd w:val="clear" w:color="auto" w:fill="FFFFFF"/>
        </w:rPr>
        <w:footnoteReference w:id="6"/>
      </w:r>
    </w:p>
    <w:p>
      <w:pPr>
        <w:keepNext w:val="0"/>
        <w:keepLines w:val="0"/>
        <w:pageBreakBefore w:val="0"/>
        <w:widowControl w:val="0"/>
        <w:numPr>
          <w:ilvl w:val="0"/>
          <w:numId w:val="380"/>
        </w:numPr>
        <w:shd w:val="clear" w:color="auto" w:fill="FFFFFF"/>
        <w:wordWrap/>
        <w:bidi w:val="0"/>
        <w:spacing w:after="0" w:line="500" w:lineRule="exact"/>
        <w:ind w:firstLine="560"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 xml:space="preserve">依法将股东大会召开的时间、地点、审议的事项等通知全体股东。定期会议应在会议召开20日前、临时会议应在会议召开15日前，发行无记名股票的应在会议召开30日前通知股东。（《公司法》102条） </w:t>
      </w:r>
    </w:p>
    <w:p>
      <w:pPr>
        <w:keepNext w:val="0"/>
        <w:keepLines w:val="0"/>
        <w:pageBreakBefore w:val="0"/>
        <w:widowControl w:val="0"/>
        <w:numPr>
          <w:ilvl w:val="0"/>
          <w:numId w:val="380"/>
        </w:numPr>
        <w:shd w:val="clear" w:color="auto" w:fill="FFFFFF"/>
        <w:wordWrap/>
        <w:bidi w:val="0"/>
        <w:spacing w:after="0" w:line="500" w:lineRule="exact"/>
        <w:ind w:firstLine="560"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必要时，股东大会经出席会议的股东所持表决权的三分之二以上表决权的股东同意，就解散公司作出决议。</w:t>
      </w:r>
      <w:r>
        <w:rPr>
          <w:rStyle w:val="21"/>
          <w:rFonts w:hint="eastAsia" w:ascii="仿宋_GB2312" w:hAnsi="仿宋" w:eastAsia="仿宋_GB2312" w:cs="仿宋"/>
          <w:color w:val="000000"/>
          <w:sz w:val="28"/>
          <w:szCs w:val="28"/>
          <w:shd w:val="clear" w:color="auto" w:fill="FFFFFF"/>
        </w:rPr>
        <w:footnoteReference w:id="7"/>
      </w:r>
    </w:p>
    <w:p>
      <w:pPr>
        <w:keepNext w:val="0"/>
        <w:keepLines w:val="0"/>
        <w:pageBreakBefore w:val="0"/>
        <w:widowControl w:val="0"/>
        <w:numPr>
          <w:ilvl w:val="0"/>
          <w:numId w:val="380"/>
        </w:numPr>
        <w:shd w:val="clear" w:color="auto" w:fill="FFFFFF"/>
        <w:wordWrap/>
        <w:bidi w:val="0"/>
        <w:spacing w:after="0" w:line="500" w:lineRule="exact"/>
        <w:ind w:firstLine="560"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经股东大会多数表决权同意，就公司进行清算、清算组的组成、清算组负责人等事项作出决议。</w:t>
      </w:r>
    </w:p>
    <w:p>
      <w:pPr>
        <w:keepNext w:val="0"/>
        <w:keepLines w:val="0"/>
        <w:pageBreakBefore w:val="0"/>
        <w:widowControl w:val="0"/>
        <w:numPr>
          <w:ilvl w:val="0"/>
          <w:numId w:val="380"/>
        </w:numPr>
        <w:shd w:val="clear" w:color="auto" w:fill="FFFFFF"/>
        <w:wordWrap/>
        <w:bidi w:val="0"/>
        <w:spacing w:after="0" w:line="500" w:lineRule="exact"/>
        <w:ind w:firstLine="560"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经股东大会多数表决权同意，就公司清算组议事规则（或工作规程）等基本制度作出决议。</w:t>
      </w:r>
    </w:p>
    <w:p>
      <w:pPr>
        <w:keepNext w:val="0"/>
        <w:keepLines w:val="0"/>
        <w:pageBreakBefore w:val="0"/>
        <w:widowControl w:val="0"/>
        <w:numPr>
          <w:ilvl w:val="0"/>
          <w:numId w:val="380"/>
        </w:numPr>
        <w:shd w:val="clear" w:color="auto" w:fill="FFFFFF"/>
        <w:wordWrap/>
        <w:bidi w:val="0"/>
        <w:spacing w:after="0" w:line="500" w:lineRule="exact"/>
        <w:ind w:firstLine="560"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股东大会制作会议记录和股东会决议，并由主持人、出席会议的董事签名。</w:t>
      </w:r>
      <w:r>
        <w:rPr>
          <w:rStyle w:val="21"/>
          <w:rFonts w:hint="eastAsia" w:ascii="仿宋_GB2312" w:hAnsi="仿宋" w:eastAsia="仿宋_GB2312" w:cs="仿宋"/>
          <w:color w:val="000000"/>
          <w:sz w:val="28"/>
          <w:szCs w:val="28"/>
          <w:shd w:val="clear" w:color="auto" w:fill="FFFFFF"/>
        </w:rPr>
        <w:footnoteReference w:id="8"/>
      </w:r>
    </w:p>
    <w:p>
      <w:pPr>
        <w:keepNext w:val="0"/>
        <w:keepLines w:val="0"/>
        <w:pageBreakBefore w:val="0"/>
        <w:widowControl w:val="0"/>
        <w:shd w:val="clear" w:color="auto" w:fill="FFFFFF"/>
        <w:wordWrap/>
        <w:bidi w:val="0"/>
        <w:spacing w:after="0" w:line="500" w:lineRule="exact"/>
        <w:ind w:firstLine="562" w:firstLineChars="200"/>
        <w:jc w:val="both"/>
        <w:rPr>
          <w:rFonts w:hint="eastAsia" w:ascii="仿宋_GB2312" w:hAnsi="仿宋" w:eastAsia="仿宋_GB2312" w:cs="仿宋"/>
          <w:b/>
          <w:color w:val="000000"/>
          <w:sz w:val="28"/>
          <w:szCs w:val="28"/>
          <w:shd w:val="clear" w:color="auto" w:fill="FFFFFF"/>
        </w:rPr>
      </w:pPr>
      <w:r>
        <w:rPr>
          <w:rFonts w:hint="eastAsia" w:ascii="仿宋_GB2312" w:hAnsi="仿宋" w:eastAsia="仿宋_GB2312" w:cs="仿宋"/>
          <w:b/>
          <w:color w:val="000000"/>
          <w:sz w:val="28"/>
          <w:szCs w:val="28"/>
          <w:shd w:val="clear" w:color="auto" w:fill="FFFFFF"/>
        </w:rPr>
        <w:t>第八条  协助一人有限责任公司组成清算组</w:t>
      </w:r>
    </w:p>
    <w:p>
      <w:pPr>
        <w:keepNext w:val="0"/>
        <w:keepLines w:val="0"/>
        <w:pageBreakBefore w:val="0"/>
        <w:widowControl w:val="0"/>
        <w:shd w:val="clear" w:color="auto" w:fill="FFFFFF"/>
        <w:wordWrap/>
        <w:bidi w:val="0"/>
        <w:spacing w:after="0" w:line="500" w:lineRule="exact"/>
        <w:ind w:firstLine="560"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协助一人有限责任公司股东签署组成清算组、指定清算组负责人等相关书面文件。</w:t>
      </w:r>
      <w:r>
        <w:rPr>
          <w:rStyle w:val="21"/>
          <w:rFonts w:hint="eastAsia" w:ascii="仿宋_GB2312" w:hAnsi="仿宋" w:eastAsia="仿宋_GB2312" w:cs="仿宋"/>
          <w:color w:val="000000"/>
          <w:sz w:val="28"/>
          <w:szCs w:val="28"/>
          <w:shd w:val="clear" w:color="auto" w:fill="FFFFFF"/>
        </w:rPr>
        <w:footnoteReference w:id="9"/>
      </w:r>
    </w:p>
    <w:p>
      <w:pPr>
        <w:keepNext w:val="0"/>
        <w:keepLines w:val="0"/>
        <w:pageBreakBefore w:val="0"/>
        <w:widowControl w:val="0"/>
        <w:shd w:val="clear" w:color="auto" w:fill="FFFFFF"/>
        <w:wordWrap/>
        <w:bidi w:val="0"/>
        <w:spacing w:after="0" w:line="500" w:lineRule="exact"/>
        <w:ind w:firstLine="562" w:firstLineChars="200"/>
        <w:jc w:val="both"/>
        <w:rPr>
          <w:rFonts w:hint="eastAsia" w:ascii="仿宋_GB2312" w:hAnsi="仿宋" w:eastAsia="仿宋_GB2312" w:cs="仿宋"/>
          <w:b/>
          <w:color w:val="000000"/>
          <w:sz w:val="28"/>
          <w:szCs w:val="28"/>
          <w:shd w:val="clear" w:color="auto" w:fill="FFFFFF"/>
        </w:rPr>
      </w:pPr>
      <w:r>
        <w:rPr>
          <w:rFonts w:hint="eastAsia" w:ascii="仿宋_GB2312" w:hAnsi="仿宋" w:eastAsia="仿宋_GB2312" w:cs="仿宋"/>
          <w:b/>
          <w:color w:val="000000"/>
          <w:sz w:val="28"/>
          <w:szCs w:val="28"/>
          <w:shd w:val="clear" w:color="auto" w:fill="FFFFFF"/>
        </w:rPr>
        <w:t>第九条  协助明确清算组的职责</w:t>
      </w:r>
    </w:p>
    <w:p>
      <w:pPr>
        <w:keepNext w:val="0"/>
        <w:keepLines w:val="0"/>
        <w:pageBreakBefore w:val="0"/>
        <w:widowControl w:val="0"/>
        <w:numPr>
          <w:ilvl w:val="0"/>
          <w:numId w:val="381"/>
        </w:numPr>
        <w:shd w:val="clear" w:color="auto" w:fill="FFFFFF"/>
        <w:wordWrap/>
        <w:bidi w:val="0"/>
        <w:spacing w:after="0" w:line="500" w:lineRule="exact"/>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b/>
          <w:bCs/>
          <w:color w:val="000000"/>
          <w:sz w:val="28"/>
          <w:szCs w:val="28"/>
          <w:shd w:val="clear" w:color="auto" w:fill="FFFFFF"/>
        </w:rPr>
        <w:t>清算组应当履行以下法定职责：</w:t>
      </w:r>
      <w:r>
        <w:rPr>
          <w:rStyle w:val="21"/>
          <w:rFonts w:hint="eastAsia" w:ascii="仿宋_GB2312" w:hAnsi="仿宋" w:eastAsia="仿宋_GB2312" w:cs="仿宋"/>
          <w:b/>
          <w:bCs/>
          <w:color w:val="000000"/>
          <w:sz w:val="28"/>
          <w:szCs w:val="28"/>
          <w:shd w:val="clear" w:color="auto" w:fill="FFFFFF"/>
        </w:rPr>
        <w:footnoteReference w:id="10"/>
      </w:r>
    </w:p>
    <w:p>
      <w:pPr>
        <w:keepNext w:val="0"/>
        <w:keepLines w:val="0"/>
        <w:pageBreakBefore w:val="0"/>
        <w:widowControl w:val="0"/>
        <w:numPr>
          <w:ilvl w:val="0"/>
          <w:numId w:val="382"/>
        </w:numPr>
        <w:wordWrap/>
        <w:bidi w:val="0"/>
        <w:spacing w:after="0" w:line="500" w:lineRule="exact"/>
        <w:ind w:firstLine="560"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清理公司财产，分别编制资产负债表和财产清单；</w:t>
      </w:r>
    </w:p>
    <w:p>
      <w:pPr>
        <w:keepNext w:val="0"/>
        <w:keepLines w:val="0"/>
        <w:pageBreakBefore w:val="0"/>
        <w:widowControl w:val="0"/>
        <w:numPr>
          <w:ilvl w:val="0"/>
          <w:numId w:val="382"/>
        </w:numPr>
        <w:wordWrap/>
        <w:bidi w:val="0"/>
        <w:spacing w:after="0" w:line="500" w:lineRule="exact"/>
        <w:ind w:firstLine="560"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通知或者公告债权人；</w:t>
      </w:r>
    </w:p>
    <w:p>
      <w:pPr>
        <w:keepNext w:val="0"/>
        <w:keepLines w:val="0"/>
        <w:pageBreakBefore w:val="0"/>
        <w:widowControl w:val="0"/>
        <w:numPr>
          <w:ilvl w:val="0"/>
          <w:numId w:val="382"/>
        </w:numPr>
        <w:wordWrap/>
        <w:bidi w:val="0"/>
        <w:spacing w:after="0" w:line="500" w:lineRule="exact"/>
        <w:ind w:firstLine="560"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处理与清算有关的公司未了结的业务；</w:t>
      </w:r>
    </w:p>
    <w:p>
      <w:pPr>
        <w:keepNext w:val="0"/>
        <w:keepLines w:val="0"/>
        <w:pageBreakBefore w:val="0"/>
        <w:widowControl w:val="0"/>
        <w:numPr>
          <w:ilvl w:val="0"/>
          <w:numId w:val="382"/>
        </w:numPr>
        <w:wordWrap/>
        <w:bidi w:val="0"/>
        <w:spacing w:after="0" w:line="500" w:lineRule="exact"/>
        <w:ind w:firstLine="560"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清缴所欠税款；</w:t>
      </w:r>
    </w:p>
    <w:p>
      <w:pPr>
        <w:keepNext w:val="0"/>
        <w:keepLines w:val="0"/>
        <w:pageBreakBefore w:val="0"/>
        <w:widowControl w:val="0"/>
        <w:numPr>
          <w:ilvl w:val="0"/>
          <w:numId w:val="382"/>
        </w:numPr>
        <w:wordWrap/>
        <w:bidi w:val="0"/>
        <w:spacing w:after="0" w:line="500" w:lineRule="exact"/>
        <w:ind w:firstLine="560"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清理债权、债务；</w:t>
      </w:r>
    </w:p>
    <w:p>
      <w:pPr>
        <w:keepNext w:val="0"/>
        <w:keepLines w:val="0"/>
        <w:pageBreakBefore w:val="0"/>
        <w:widowControl w:val="0"/>
        <w:numPr>
          <w:ilvl w:val="0"/>
          <w:numId w:val="382"/>
        </w:numPr>
        <w:wordWrap/>
        <w:bidi w:val="0"/>
        <w:spacing w:after="0" w:line="500" w:lineRule="exact"/>
        <w:ind w:firstLine="560"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处理公司清偿债务后的剩余财产；</w:t>
      </w:r>
    </w:p>
    <w:p>
      <w:pPr>
        <w:keepNext w:val="0"/>
        <w:keepLines w:val="0"/>
        <w:pageBreakBefore w:val="0"/>
        <w:widowControl w:val="0"/>
        <w:numPr>
          <w:ilvl w:val="0"/>
          <w:numId w:val="382"/>
        </w:numPr>
        <w:wordWrap/>
        <w:bidi w:val="0"/>
        <w:spacing w:after="0" w:line="500" w:lineRule="exact"/>
        <w:ind w:firstLine="560"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代表公司参与民事诉讼活动。</w:t>
      </w:r>
    </w:p>
    <w:p>
      <w:pPr>
        <w:keepNext w:val="0"/>
        <w:keepLines w:val="0"/>
        <w:pageBreakBefore w:val="0"/>
        <w:widowControl w:val="0"/>
        <w:numPr>
          <w:ilvl w:val="0"/>
          <w:numId w:val="381"/>
        </w:numPr>
        <w:wordWrap/>
        <w:bidi w:val="0"/>
        <w:spacing w:after="0" w:line="500" w:lineRule="exact"/>
        <w:jc w:val="both"/>
        <w:rPr>
          <w:rFonts w:hint="eastAsia" w:ascii="仿宋_GB2312" w:hAnsi="仿宋" w:eastAsia="仿宋_GB2312" w:cs="仿宋"/>
          <w:b/>
          <w:bCs/>
          <w:color w:val="000000"/>
          <w:sz w:val="28"/>
          <w:szCs w:val="28"/>
          <w:shd w:val="clear" w:color="auto" w:fill="FFFFFF"/>
        </w:rPr>
      </w:pPr>
      <w:r>
        <w:rPr>
          <w:rFonts w:hint="eastAsia" w:ascii="仿宋_GB2312" w:hAnsi="仿宋" w:eastAsia="仿宋_GB2312" w:cs="仿宋"/>
          <w:b/>
          <w:bCs/>
          <w:color w:val="000000"/>
          <w:sz w:val="28"/>
          <w:szCs w:val="28"/>
          <w:shd w:val="clear" w:color="auto" w:fill="FFFFFF"/>
        </w:rPr>
        <w:t>清算组还应当根据股东（大）会的决议履行其他相关职责。</w:t>
      </w:r>
    </w:p>
    <w:p>
      <w:pPr>
        <w:keepNext w:val="0"/>
        <w:keepLines w:val="0"/>
        <w:pageBreakBefore w:val="0"/>
        <w:widowControl w:val="0"/>
        <w:wordWrap/>
        <w:bidi w:val="0"/>
        <w:spacing w:after="0" w:line="500" w:lineRule="exact"/>
        <w:ind w:firstLine="562" w:firstLineChars="200"/>
        <w:jc w:val="both"/>
        <w:rPr>
          <w:rFonts w:hint="eastAsia" w:ascii="仿宋_GB2312" w:hAnsi="仿宋" w:eastAsia="仿宋_GB2312" w:cs="仿宋"/>
          <w:b/>
          <w:color w:val="000000"/>
          <w:sz w:val="28"/>
          <w:szCs w:val="28"/>
          <w:shd w:val="clear" w:color="auto" w:fill="FFFFFF"/>
        </w:rPr>
      </w:pPr>
      <w:r>
        <w:rPr>
          <w:rFonts w:hint="eastAsia" w:ascii="仿宋_GB2312" w:hAnsi="仿宋" w:eastAsia="仿宋_GB2312" w:cs="仿宋"/>
          <w:b/>
          <w:color w:val="000000"/>
          <w:sz w:val="28"/>
          <w:szCs w:val="28"/>
          <w:shd w:val="clear" w:color="auto" w:fill="FFFFFF"/>
        </w:rPr>
        <w:t>第十条  协助清算组成员明确其职责</w:t>
      </w:r>
    </w:p>
    <w:p>
      <w:pPr>
        <w:keepNext w:val="0"/>
        <w:keepLines w:val="0"/>
        <w:pageBreakBefore w:val="0"/>
        <w:widowControl w:val="0"/>
        <w:wordWrap/>
        <w:bidi w:val="0"/>
        <w:spacing w:after="0" w:line="500" w:lineRule="exact"/>
        <w:ind w:firstLine="560"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清算组负责人代行清算中公司诉讼代表人职权。</w:t>
      </w:r>
      <w:r>
        <w:rPr>
          <w:rStyle w:val="21"/>
          <w:rFonts w:hint="eastAsia" w:ascii="仿宋_GB2312" w:hAnsi="仿宋" w:eastAsia="仿宋_GB2312" w:cs="仿宋"/>
          <w:color w:val="000000"/>
          <w:sz w:val="28"/>
          <w:szCs w:val="28"/>
          <w:shd w:val="clear" w:color="auto" w:fill="FFFFFF"/>
        </w:rPr>
        <w:footnoteReference w:id="11"/>
      </w:r>
      <w:r>
        <w:rPr>
          <w:rFonts w:hint="eastAsia" w:ascii="仿宋_GB2312" w:hAnsi="仿宋" w:eastAsia="仿宋_GB2312" w:cs="仿宋"/>
          <w:color w:val="000000"/>
          <w:sz w:val="28"/>
          <w:szCs w:val="28"/>
          <w:shd w:val="clear" w:color="auto" w:fill="FFFFFF"/>
        </w:rPr>
        <w:t>清算组成员应认真、勤勉地开展清算工作，如清算组成员因故意或重大过失而给公司或债权人造成损失，应承担赔偿责任。</w:t>
      </w:r>
      <w:r>
        <w:rPr>
          <w:rStyle w:val="21"/>
          <w:rFonts w:hint="eastAsia" w:ascii="仿宋_GB2312" w:hAnsi="仿宋" w:eastAsia="仿宋_GB2312" w:cs="仿宋"/>
          <w:color w:val="000000"/>
          <w:sz w:val="28"/>
          <w:szCs w:val="28"/>
          <w:shd w:val="clear" w:color="auto" w:fill="FFFFFF"/>
        </w:rPr>
        <w:footnoteReference w:id="12"/>
      </w:r>
      <w:r>
        <w:rPr>
          <w:rFonts w:hint="eastAsia" w:ascii="仿宋_GB2312" w:hAnsi="仿宋" w:eastAsia="仿宋_GB2312" w:cs="仿宋"/>
          <w:color w:val="000000"/>
          <w:sz w:val="28"/>
          <w:szCs w:val="28"/>
          <w:shd w:val="clear" w:color="auto" w:fill="FFFFFF"/>
        </w:rPr>
        <w:t>。</w:t>
      </w:r>
    </w:p>
    <w:p>
      <w:pPr>
        <w:keepNext w:val="0"/>
        <w:keepLines w:val="0"/>
        <w:pageBreakBefore w:val="0"/>
        <w:widowControl w:val="0"/>
        <w:shd w:val="clear" w:color="auto" w:fill="FFFFFF"/>
        <w:wordWrap/>
        <w:bidi w:val="0"/>
        <w:spacing w:after="0" w:line="500" w:lineRule="exact"/>
        <w:ind w:firstLine="562" w:firstLineChars="200"/>
        <w:jc w:val="both"/>
        <w:rPr>
          <w:rFonts w:hint="eastAsia" w:ascii="仿宋_GB2312" w:hAnsi="仿宋" w:eastAsia="仿宋_GB2312" w:cs="仿宋"/>
          <w:b/>
          <w:bCs/>
          <w:color w:val="000000"/>
          <w:sz w:val="28"/>
          <w:szCs w:val="28"/>
          <w:shd w:val="clear" w:color="auto" w:fill="FFFFFF"/>
        </w:rPr>
      </w:pPr>
      <w:r>
        <w:rPr>
          <w:rFonts w:hint="eastAsia" w:ascii="仿宋_GB2312" w:hAnsi="仿宋" w:eastAsia="仿宋_GB2312" w:cs="仿宋"/>
          <w:b/>
          <w:bCs/>
          <w:color w:val="000000"/>
          <w:sz w:val="28"/>
          <w:szCs w:val="28"/>
          <w:shd w:val="clear" w:color="auto" w:fill="FFFFFF"/>
        </w:rPr>
        <w:t>第十一条  协助制定清算组议事规则或者工作规程</w:t>
      </w:r>
    </w:p>
    <w:p>
      <w:pPr>
        <w:keepNext w:val="0"/>
        <w:keepLines w:val="0"/>
        <w:pageBreakBefore w:val="0"/>
        <w:widowControl w:val="0"/>
        <w:numPr>
          <w:ilvl w:val="0"/>
          <w:numId w:val="383"/>
        </w:numPr>
        <w:shd w:val="clear" w:color="auto" w:fill="FFFFFF"/>
        <w:wordWrap/>
        <w:bidi w:val="0"/>
        <w:spacing w:after="0" w:line="500" w:lineRule="exact"/>
        <w:jc w:val="both"/>
        <w:rPr>
          <w:rFonts w:hint="eastAsia" w:ascii="仿宋_GB2312" w:hAnsi="仿宋" w:eastAsia="仿宋_GB2312" w:cs="仿宋"/>
          <w:bCs/>
          <w:color w:val="000000"/>
          <w:sz w:val="28"/>
          <w:szCs w:val="28"/>
          <w:shd w:val="clear" w:color="auto" w:fill="FFFFFF"/>
        </w:rPr>
      </w:pPr>
      <w:r>
        <w:rPr>
          <w:rFonts w:hint="eastAsia" w:ascii="仿宋_GB2312" w:hAnsi="仿宋" w:eastAsia="仿宋_GB2312" w:cs="仿宋"/>
          <w:bCs/>
          <w:color w:val="000000"/>
          <w:sz w:val="28"/>
          <w:szCs w:val="28"/>
          <w:shd w:val="clear" w:color="auto" w:fill="FFFFFF"/>
        </w:rPr>
        <w:t>清算组作出决定，应当经全体清算组成员过半数决议通过。</w:t>
      </w:r>
      <w:r>
        <w:rPr>
          <w:rStyle w:val="21"/>
          <w:rFonts w:hint="eastAsia" w:ascii="仿宋_GB2312" w:hAnsi="仿宋" w:eastAsia="仿宋_GB2312" w:cs="仿宋"/>
          <w:bCs/>
          <w:color w:val="000000"/>
          <w:sz w:val="28"/>
          <w:szCs w:val="28"/>
          <w:shd w:val="clear" w:color="auto" w:fill="FFFFFF"/>
        </w:rPr>
        <w:footnoteReference w:id="13"/>
      </w:r>
    </w:p>
    <w:p>
      <w:pPr>
        <w:keepNext w:val="0"/>
        <w:keepLines w:val="0"/>
        <w:pageBreakBefore w:val="0"/>
        <w:widowControl w:val="0"/>
        <w:numPr>
          <w:ilvl w:val="0"/>
          <w:numId w:val="383"/>
        </w:numPr>
        <w:shd w:val="clear" w:color="auto" w:fill="FFFFFF"/>
        <w:wordWrap/>
        <w:bidi w:val="0"/>
        <w:spacing w:after="0" w:line="500" w:lineRule="exact"/>
        <w:jc w:val="both"/>
        <w:rPr>
          <w:rFonts w:hint="eastAsia" w:ascii="仿宋_GB2312" w:hAnsi="仿宋" w:eastAsia="仿宋_GB2312" w:cs="仿宋"/>
          <w:bCs/>
          <w:color w:val="000000"/>
          <w:sz w:val="28"/>
          <w:szCs w:val="28"/>
          <w:shd w:val="clear" w:color="auto" w:fill="FFFFFF"/>
        </w:rPr>
      </w:pPr>
      <w:r>
        <w:rPr>
          <w:rFonts w:hint="eastAsia" w:ascii="仿宋_GB2312" w:hAnsi="仿宋" w:eastAsia="仿宋_GB2312" w:cs="仿宋"/>
          <w:bCs/>
          <w:color w:val="000000"/>
          <w:sz w:val="28"/>
          <w:szCs w:val="28"/>
          <w:shd w:val="clear" w:color="auto" w:fill="FFFFFF"/>
        </w:rPr>
        <w:t>与争议事项有直接利害关系的清算组成员可以发表意见，但不得参与投票。</w:t>
      </w:r>
    </w:p>
    <w:p>
      <w:pPr>
        <w:keepNext w:val="0"/>
        <w:keepLines w:val="0"/>
        <w:pageBreakBefore w:val="0"/>
        <w:widowControl w:val="0"/>
        <w:numPr>
          <w:ilvl w:val="0"/>
          <w:numId w:val="383"/>
        </w:numPr>
        <w:shd w:val="clear" w:color="auto" w:fill="FFFFFF"/>
        <w:wordWrap/>
        <w:bidi w:val="0"/>
        <w:spacing w:after="0" w:line="500" w:lineRule="exact"/>
        <w:jc w:val="both"/>
        <w:rPr>
          <w:rFonts w:hint="eastAsia" w:ascii="仿宋_GB2312" w:hAnsi="仿宋" w:eastAsia="仿宋_GB2312" w:cs="仿宋"/>
          <w:bCs/>
          <w:color w:val="000000"/>
          <w:sz w:val="28"/>
          <w:szCs w:val="28"/>
          <w:shd w:val="clear" w:color="auto" w:fill="FFFFFF"/>
        </w:rPr>
      </w:pPr>
      <w:r>
        <w:rPr>
          <w:rFonts w:hint="eastAsia" w:ascii="仿宋_GB2312" w:hAnsi="仿宋" w:eastAsia="仿宋_GB2312" w:cs="仿宋"/>
          <w:bCs/>
          <w:color w:val="000000"/>
          <w:sz w:val="28"/>
          <w:szCs w:val="28"/>
          <w:shd w:val="clear" w:color="auto" w:fill="FFFFFF"/>
        </w:rPr>
        <w:t>因利害关系人回避表决无法形成多数意见的，清算组可以请求股东（大）会作出决定。</w:t>
      </w:r>
    </w:p>
    <w:p>
      <w:pPr>
        <w:keepNext w:val="0"/>
        <w:keepLines w:val="0"/>
        <w:pageBreakBefore w:val="0"/>
        <w:widowControl w:val="0"/>
        <w:numPr>
          <w:ilvl w:val="0"/>
          <w:numId w:val="383"/>
        </w:numPr>
        <w:shd w:val="clear" w:color="auto" w:fill="FFFFFF"/>
        <w:wordWrap/>
        <w:bidi w:val="0"/>
        <w:spacing w:after="0" w:line="500" w:lineRule="exact"/>
        <w:jc w:val="both"/>
        <w:rPr>
          <w:rFonts w:hint="eastAsia" w:ascii="仿宋_GB2312" w:hAnsi="仿宋" w:eastAsia="仿宋_GB2312" w:cs="仿宋"/>
          <w:bCs/>
          <w:color w:val="000000"/>
          <w:sz w:val="28"/>
          <w:szCs w:val="28"/>
          <w:shd w:val="clear" w:color="auto" w:fill="FFFFFF"/>
        </w:rPr>
      </w:pPr>
      <w:r>
        <w:rPr>
          <w:rFonts w:hint="eastAsia" w:ascii="仿宋_GB2312" w:hAnsi="仿宋" w:eastAsia="仿宋_GB2312" w:cs="仿宋"/>
          <w:bCs/>
          <w:color w:val="000000"/>
          <w:sz w:val="28"/>
          <w:szCs w:val="28"/>
          <w:shd w:val="clear" w:color="auto" w:fill="FFFFFF"/>
        </w:rPr>
        <w:t>与争议事项有直接利害关系的清算组成员未回避表决形成决定的，清算组其他成员或者股东可以请求股东（大）会予以撤销。</w:t>
      </w:r>
    </w:p>
    <w:p>
      <w:pPr>
        <w:keepNext w:val="0"/>
        <w:keepLines w:val="0"/>
        <w:pageBreakBefore w:val="0"/>
        <w:widowControl w:val="0"/>
        <w:numPr>
          <w:ilvl w:val="0"/>
          <w:numId w:val="383"/>
        </w:numPr>
        <w:shd w:val="clear" w:color="auto" w:fill="FFFFFF"/>
        <w:wordWrap/>
        <w:bidi w:val="0"/>
        <w:spacing w:after="0" w:line="500" w:lineRule="exact"/>
        <w:jc w:val="both"/>
        <w:rPr>
          <w:rFonts w:hint="eastAsia" w:ascii="仿宋_GB2312" w:hAnsi="仿宋" w:eastAsia="仿宋_GB2312" w:cs="仿宋"/>
          <w:bCs/>
          <w:color w:val="000000"/>
          <w:sz w:val="28"/>
          <w:szCs w:val="28"/>
          <w:shd w:val="clear" w:color="auto" w:fill="FFFFFF"/>
        </w:rPr>
      </w:pPr>
      <w:r>
        <w:rPr>
          <w:rFonts w:hint="eastAsia" w:ascii="仿宋_GB2312" w:hAnsi="仿宋" w:eastAsia="仿宋_GB2312" w:cs="仿宋"/>
          <w:bCs/>
          <w:color w:val="000000"/>
          <w:sz w:val="28"/>
          <w:szCs w:val="28"/>
          <w:shd w:val="clear" w:color="auto" w:fill="FFFFFF"/>
        </w:rPr>
        <w:t>清算组会议的召开程序等其他议事规则，可以参照公司董事会议事规则制定。</w:t>
      </w:r>
    </w:p>
    <w:p>
      <w:pPr>
        <w:keepNext w:val="0"/>
        <w:keepLines w:val="0"/>
        <w:pageBreakBefore w:val="0"/>
        <w:widowControl w:val="0"/>
        <w:numPr>
          <w:ilvl w:val="0"/>
          <w:numId w:val="383"/>
        </w:numPr>
        <w:shd w:val="clear" w:color="auto" w:fill="FFFFFF"/>
        <w:wordWrap/>
        <w:bidi w:val="0"/>
        <w:spacing w:after="0" w:line="500" w:lineRule="exact"/>
        <w:jc w:val="both"/>
        <w:rPr>
          <w:rFonts w:hint="eastAsia" w:ascii="仿宋_GB2312" w:hAnsi="仿宋" w:eastAsia="仿宋_GB2312" w:cs="仿宋"/>
          <w:bCs/>
          <w:color w:val="000000"/>
          <w:sz w:val="28"/>
          <w:szCs w:val="28"/>
          <w:shd w:val="clear" w:color="auto" w:fill="FFFFFF"/>
        </w:rPr>
      </w:pPr>
      <w:r>
        <w:rPr>
          <w:rFonts w:hint="eastAsia" w:ascii="仿宋_GB2312" w:hAnsi="仿宋" w:eastAsia="仿宋_GB2312" w:cs="仿宋"/>
          <w:bCs/>
          <w:color w:val="000000"/>
          <w:sz w:val="28"/>
          <w:szCs w:val="28"/>
          <w:shd w:val="clear" w:color="auto" w:fill="FFFFFF"/>
        </w:rPr>
        <w:t>根据清算工作需要规定清算组其他工作规程的内容。</w:t>
      </w:r>
    </w:p>
    <w:p>
      <w:pPr>
        <w:keepNext w:val="0"/>
        <w:keepLines w:val="0"/>
        <w:pageBreakBefore w:val="0"/>
        <w:widowControl w:val="0"/>
        <w:shd w:val="clear" w:color="auto" w:fill="FFFFFF"/>
        <w:wordWrap/>
        <w:bidi w:val="0"/>
        <w:spacing w:after="0" w:line="500" w:lineRule="exact"/>
        <w:ind w:firstLine="562" w:firstLineChars="200"/>
        <w:jc w:val="both"/>
        <w:rPr>
          <w:rFonts w:hint="eastAsia" w:ascii="仿宋_GB2312" w:hAnsi="仿宋" w:eastAsia="仿宋_GB2312" w:cs="仿宋"/>
          <w:b/>
          <w:bCs/>
          <w:color w:val="000000"/>
          <w:sz w:val="28"/>
          <w:szCs w:val="28"/>
          <w:shd w:val="clear" w:color="auto" w:fill="FFFFFF"/>
        </w:rPr>
      </w:pPr>
      <w:r>
        <w:rPr>
          <w:rFonts w:hint="eastAsia" w:ascii="仿宋_GB2312" w:hAnsi="仿宋" w:eastAsia="仿宋_GB2312" w:cs="仿宋"/>
          <w:b/>
          <w:bCs/>
          <w:color w:val="000000"/>
          <w:sz w:val="28"/>
          <w:szCs w:val="28"/>
          <w:shd w:val="clear" w:color="auto" w:fill="FFFFFF"/>
        </w:rPr>
        <w:t>第十二条  协助制定清算组其他重要制度</w:t>
      </w:r>
    </w:p>
    <w:p>
      <w:pPr>
        <w:keepNext w:val="0"/>
        <w:keepLines w:val="0"/>
        <w:pageBreakBefore w:val="0"/>
        <w:widowControl w:val="0"/>
        <w:numPr>
          <w:ilvl w:val="0"/>
          <w:numId w:val="384"/>
        </w:numPr>
        <w:shd w:val="clear" w:color="auto" w:fill="FFFFFF"/>
        <w:wordWrap/>
        <w:bidi w:val="0"/>
        <w:spacing w:after="0" w:line="500" w:lineRule="exact"/>
        <w:jc w:val="both"/>
        <w:rPr>
          <w:rFonts w:hint="eastAsia" w:ascii="仿宋_GB2312" w:hAnsi="仿宋" w:eastAsia="仿宋_GB2312" w:cs="仿宋"/>
          <w:bCs/>
          <w:color w:val="000000"/>
          <w:sz w:val="28"/>
          <w:szCs w:val="28"/>
          <w:shd w:val="clear" w:color="auto" w:fill="FFFFFF"/>
        </w:rPr>
      </w:pPr>
      <w:r>
        <w:rPr>
          <w:rFonts w:hint="eastAsia" w:ascii="仿宋_GB2312" w:hAnsi="仿宋" w:eastAsia="仿宋_GB2312" w:cs="仿宋"/>
          <w:bCs/>
          <w:color w:val="000000"/>
          <w:sz w:val="28"/>
          <w:szCs w:val="28"/>
          <w:shd w:val="clear" w:color="auto" w:fill="FFFFFF"/>
        </w:rPr>
        <w:t>应当制定清算组财务管理制度。</w:t>
      </w:r>
    </w:p>
    <w:p>
      <w:pPr>
        <w:keepNext w:val="0"/>
        <w:keepLines w:val="0"/>
        <w:pageBreakBefore w:val="0"/>
        <w:widowControl w:val="0"/>
        <w:numPr>
          <w:ilvl w:val="0"/>
          <w:numId w:val="384"/>
        </w:numPr>
        <w:shd w:val="clear" w:color="auto" w:fill="FFFFFF"/>
        <w:wordWrap/>
        <w:bidi w:val="0"/>
        <w:spacing w:after="0" w:line="500" w:lineRule="exact"/>
        <w:jc w:val="both"/>
        <w:rPr>
          <w:rFonts w:hint="eastAsia" w:ascii="仿宋_GB2312" w:hAnsi="仿宋" w:eastAsia="仿宋_GB2312" w:cs="仿宋"/>
          <w:bCs/>
          <w:color w:val="000000"/>
          <w:sz w:val="28"/>
          <w:szCs w:val="28"/>
          <w:shd w:val="clear" w:color="auto" w:fill="FFFFFF"/>
        </w:rPr>
      </w:pPr>
      <w:r>
        <w:rPr>
          <w:rFonts w:hint="eastAsia" w:ascii="仿宋_GB2312" w:hAnsi="仿宋" w:eastAsia="仿宋_GB2312" w:cs="仿宋"/>
          <w:bCs/>
          <w:color w:val="000000"/>
          <w:sz w:val="28"/>
          <w:szCs w:val="28"/>
          <w:shd w:val="clear" w:color="auto" w:fill="FFFFFF"/>
        </w:rPr>
        <w:t>应当制定清算组印章管理制度。</w:t>
      </w:r>
    </w:p>
    <w:p>
      <w:pPr>
        <w:keepNext w:val="0"/>
        <w:keepLines w:val="0"/>
        <w:pageBreakBefore w:val="0"/>
        <w:widowControl w:val="0"/>
        <w:numPr>
          <w:ilvl w:val="0"/>
          <w:numId w:val="384"/>
        </w:numPr>
        <w:shd w:val="clear" w:color="auto" w:fill="FFFFFF"/>
        <w:wordWrap/>
        <w:bidi w:val="0"/>
        <w:spacing w:after="0" w:line="500" w:lineRule="exact"/>
        <w:jc w:val="both"/>
        <w:rPr>
          <w:rFonts w:hint="eastAsia" w:ascii="仿宋_GB2312" w:hAnsi="仿宋" w:eastAsia="仿宋_GB2312" w:cs="仿宋"/>
          <w:bCs/>
          <w:color w:val="000000"/>
          <w:sz w:val="28"/>
          <w:szCs w:val="28"/>
          <w:shd w:val="clear" w:color="auto" w:fill="FFFFFF"/>
        </w:rPr>
      </w:pPr>
      <w:r>
        <w:rPr>
          <w:rFonts w:hint="eastAsia" w:ascii="仿宋_GB2312" w:hAnsi="仿宋" w:eastAsia="仿宋_GB2312" w:cs="仿宋"/>
          <w:bCs/>
          <w:color w:val="000000"/>
          <w:sz w:val="28"/>
          <w:szCs w:val="28"/>
          <w:shd w:val="clear" w:color="auto" w:fill="FFFFFF"/>
        </w:rPr>
        <w:t>应当制定清算组保密制度。</w:t>
      </w:r>
    </w:p>
    <w:p>
      <w:pPr>
        <w:keepNext w:val="0"/>
        <w:keepLines w:val="0"/>
        <w:pageBreakBefore w:val="0"/>
        <w:widowControl w:val="0"/>
        <w:numPr>
          <w:ilvl w:val="0"/>
          <w:numId w:val="384"/>
        </w:numPr>
        <w:shd w:val="clear" w:color="auto" w:fill="FFFFFF"/>
        <w:wordWrap/>
        <w:bidi w:val="0"/>
        <w:spacing w:after="0" w:line="500" w:lineRule="exact"/>
        <w:jc w:val="both"/>
        <w:rPr>
          <w:rFonts w:hint="eastAsia" w:ascii="仿宋_GB2312" w:hAnsi="仿宋" w:eastAsia="仿宋_GB2312" w:cs="仿宋"/>
          <w:bCs/>
          <w:color w:val="000000"/>
          <w:sz w:val="28"/>
          <w:szCs w:val="28"/>
          <w:shd w:val="clear" w:color="auto" w:fill="FFFFFF"/>
        </w:rPr>
      </w:pPr>
      <w:r>
        <w:rPr>
          <w:rFonts w:hint="eastAsia" w:ascii="仿宋_GB2312" w:hAnsi="仿宋" w:eastAsia="仿宋_GB2312" w:cs="仿宋"/>
          <w:bCs/>
          <w:color w:val="000000"/>
          <w:sz w:val="28"/>
          <w:szCs w:val="28"/>
          <w:shd w:val="clear" w:color="auto" w:fill="FFFFFF"/>
        </w:rPr>
        <w:t>应当制定清算组文书档案保管制度。</w:t>
      </w:r>
    </w:p>
    <w:p>
      <w:pPr>
        <w:keepNext w:val="0"/>
        <w:keepLines w:val="0"/>
        <w:pageBreakBefore w:val="0"/>
        <w:widowControl w:val="0"/>
        <w:numPr>
          <w:ilvl w:val="0"/>
          <w:numId w:val="384"/>
        </w:numPr>
        <w:shd w:val="clear" w:color="auto" w:fill="FFFFFF"/>
        <w:wordWrap/>
        <w:bidi w:val="0"/>
        <w:spacing w:after="0" w:line="500" w:lineRule="exact"/>
        <w:jc w:val="both"/>
        <w:rPr>
          <w:rFonts w:hint="eastAsia" w:ascii="仿宋_GB2312" w:hAnsi="仿宋" w:eastAsia="仿宋_GB2312" w:cs="仿宋"/>
          <w:bCs/>
          <w:color w:val="000000"/>
          <w:sz w:val="28"/>
          <w:szCs w:val="28"/>
          <w:shd w:val="clear" w:color="auto" w:fill="FFFFFF"/>
        </w:rPr>
      </w:pPr>
      <w:r>
        <w:rPr>
          <w:rFonts w:hint="eastAsia" w:ascii="仿宋_GB2312" w:hAnsi="仿宋" w:eastAsia="仿宋_GB2312" w:cs="仿宋"/>
          <w:bCs/>
          <w:color w:val="000000"/>
          <w:sz w:val="28"/>
          <w:szCs w:val="28"/>
          <w:shd w:val="clear" w:color="auto" w:fill="FFFFFF"/>
        </w:rPr>
        <w:t>可根据需要制定其他制度。</w:t>
      </w:r>
    </w:p>
    <w:p>
      <w:pPr>
        <w:keepNext w:val="0"/>
        <w:keepLines w:val="0"/>
        <w:pageBreakBefore w:val="0"/>
        <w:widowControl w:val="0"/>
        <w:shd w:val="clear" w:color="auto" w:fill="FFFFFF"/>
        <w:wordWrap/>
        <w:bidi w:val="0"/>
        <w:spacing w:after="0" w:line="500" w:lineRule="exact"/>
        <w:ind w:firstLine="562" w:firstLineChars="200"/>
        <w:jc w:val="both"/>
        <w:rPr>
          <w:rFonts w:hint="eastAsia" w:ascii="仿宋_GB2312" w:hAnsi="仿宋" w:eastAsia="仿宋_GB2312" w:cs="仿宋"/>
          <w:b/>
          <w:bCs/>
          <w:color w:val="000000"/>
          <w:sz w:val="28"/>
          <w:szCs w:val="28"/>
          <w:shd w:val="clear" w:color="auto" w:fill="FFFFFF"/>
        </w:rPr>
      </w:pPr>
      <w:r>
        <w:rPr>
          <w:rFonts w:hint="eastAsia" w:ascii="仿宋_GB2312" w:hAnsi="仿宋" w:eastAsia="仿宋_GB2312" w:cs="仿宋"/>
          <w:b/>
          <w:bCs/>
          <w:color w:val="000000"/>
          <w:sz w:val="28"/>
          <w:szCs w:val="28"/>
          <w:shd w:val="clear" w:color="auto" w:fill="FFFFFF"/>
        </w:rPr>
        <w:t>第十三条  协助清算组办理备案</w:t>
      </w:r>
    </w:p>
    <w:p>
      <w:pPr>
        <w:keepNext w:val="0"/>
        <w:keepLines w:val="0"/>
        <w:pageBreakBefore w:val="0"/>
        <w:widowControl w:val="0"/>
        <w:numPr>
          <w:ilvl w:val="0"/>
          <w:numId w:val="385"/>
        </w:numPr>
        <w:shd w:val="clear" w:color="auto" w:fill="FFFFFF"/>
        <w:wordWrap/>
        <w:bidi w:val="0"/>
        <w:spacing w:after="0" w:line="500" w:lineRule="exact"/>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清算组成立之日起10日内，通过国家企业信用信息公示系统，将清算组成员、清算组负责人名单向公司登记机关备案。</w:t>
      </w:r>
      <w:r>
        <w:rPr>
          <w:rFonts w:hint="eastAsia" w:ascii="仿宋_GB2312" w:hAnsi="仿宋" w:eastAsia="仿宋_GB2312" w:cs="仿宋"/>
          <w:color w:val="000000"/>
          <w:sz w:val="28"/>
          <w:szCs w:val="28"/>
        </w:rPr>
        <w:t>备案完成后应下载或截图保存备案通知书。</w:t>
      </w:r>
      <w:r>
        <w:rPr>
          <w:rStyle w:val="21"/>
          <w:rFonts w:hint="eastAsia" w:ascii="仿宋_GB2312" w:hAnsi="仿宋" w:eastAsia="仿宋_GB2312" w:cs="仿宋"/>
          <w:color w:val="000000"/>
          <w:sz w:val="28"/>
          <w:szCs w:val="28"/>
          <w:shd w:val="clear" w:color="auto" w:fill="FFFFFF"/>
        </w:rPr>
        <w:footnoteReference w:id="14"/>
      </w:r>
      <w:r>
        <w:rPr>
          <w:rFonts w:hint="eastAsia" w:ascii="仿宋_GB2312" w:hAnsi="仿宋" w:eastAsia="仿宋_GB2312" w:cs="仿宋"/>
          <w:color w:val="000000"/>
          <w:sz w:val="28"/>
          <w:szCs w:val="28"/>
          <w:shd w:val="clear" w:color="auto" w:fill="FFFFFF"/>
        </w:rPr>
        <w:t xml:space="preserve"> </w:t>
      </w:r>
    </w:p>
    <w:p>
      <w:pPr>
        <w:keepNext w:val="0"/>
        <w:keepLines w:val="0"/>
        <w:pageBreakBefore w:val="0"/>
        <w:widowControl w:val="0"/>
        <w:numPr>
          <w:ilvl w:val="0"/>
          <w:numId w:val="385"/>
        </w:numPr>
        <w:shd w:val="clear" w:color="auto" w:fill="FFFFFF"/>
        <w:wordWrap/>
        <w:bidi w:val="0"/>
        <w:spacing w:after="0" w:line="500" w:lineRule="exact"/>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备案需提交的资料：</w:t>
      </w:r>
      <w:r>
        <w:rPr>
          <w:rStyle w:val="21"/>
          <w:rFonts w:hint="eastAsia" w:ascii="仿宋_GB2312" w:hAnsi="仿宋" w:eastAsia="仿宋_GB2312" w:cs="仿宋"/>
          <w:color w:val="000000"/>
          <w:sz w:val="28"/>
          <w:szCs w:val="28"/>
          <w:shd w:val="clear" w:color="auto" w:fill="FFFFFF"/>
        </w:rPr>
        <w:footnoteReference w:id="15"/>
      </w:r>
    </w:p>
    <w:p>
      <w:pPr>
        <w:keepNext w:val="0"/>
        <w:keepLines w:val="0"/>
        <w:pageBreakBefore w:val="0"/>
        <w:widowControl w:val="0"/>
        <w:numPr>
          <w:ilvl w:val="0"/>
          <w:numId w:val="386"/>
        </w:numPr>
        <w:shd w:val="clear" w:color="auto" w:fill="FFFFFF"/>
        <w:wordWrap/>
        <w:bidi w:val="0"/>
        <w:spacing w:after="0" w:line="500" w:lineRule="exact"/>
        <w:ind w:firstLine="560"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《公司登记（备案）申请书》（在工商部门领取）；</w:t>
      </w:r>
    </w:p>
    <w:p>
      <w:pPr>
        <w:keepNext w:val="0"/>
        <w:keepLines w:val="0"/>
        <w:pageBreakBefore w:val="0"/>
        <w:widowControl w:val="0"/>
        <w:numPr>
          <w:ilvl w:val="0"/>
          <w:numId w:val="386"/>
        </w:numPr>
        <w:shd w:val="clear" w:color="auto" w:fill="FFFFFF"/>
        <w:wordWrap/>
        <w:bidi w:val="0"/>
        <w:spacing w:after="0" w:line="500" w:lineRule="exact"/>
        <w:ind w:firstLine="560"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《指定代表或者共同委托代理人授权委托书》及指定代表或委托代理人的身份证复印件；</w:t>
      </w:r>
    </w:p>
    <w:p>
      <w:pPr>
        <w:keepNext w:val="0"/>
        <w:keepLines w:val="0"/>
        <w:pageBreakBefore w:val="0"/>
        <w:widowControl w:val="0"/>
        <w:numPr>
          <w:ilvl w:val="0"/>
          <w:numId w:val="386"/>
        </w:numPr>
        <w:shd w:val="clear" w:color="auto" w:fill="FFFFFF"/>
        <w:wordWrap/>
        <w:bidi w:val="0"/>
        <w:spacing w:after="0" w:line="500" w:lineRule="exact"/>
        <w:ind w:firstLine="560"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公司营业执照复印件；</w:t>
      </w:r>
    </w:p>
    <w:p>
      <w:pPr>
        <w:keepNext w:val="0"/>
        <w:keepLines w:val="0"/>
        <w:pageBreakBefore w:val="0"/>
        <w:widowControl w:val="0"/>
        <w:numPr>
          <w:ilvl w:val="0"/>
          <w:numId w:val="386"/>
        </w:numPr>
        <w:shd w:val="clear" w:color="auto" w:fill="FFFFFF"/>
        <w:wordWrap/>
        <w:bidi w:val="0"/>
        <w:spacing w:after="0" w:line="500" w:lineRule="exact"/>
        <w:ind w:firstLine="560"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股东（大）会关于成立清算组的决议（有限责任公司由代表三分之二以上表决权的股东签署、股份有限责任公司由股东大会会议主持及出席会议的董事签字确认、一人有限责任公司由股东签署）。</w:t>
      </w:r>
    </w:p>
    <w:p>
      <w:pPr>
        <w:keepNext w:val="0"/>
        <w:keepLines w:val="0"/>
        <w:pageBreakBefore w:val="0"/>
        <w:widowControl w:val="0"/>
        <w:shd w:val="clear" w:color="auto" w:fill="FFFFFF"/>
        <w:wordWrap/>
        <w:bidi w:val="0"/>
        <w:spacing w:after="0" w:line="500" w:lineRule="exact"/>
        <w:ind w:firstLine="562" w:firstLineChars="200"/>
        <w:jc w:val="both"/>
        <w:rPr>
          <w:rFonts w:hint="eastAsia" w:ascii="仿宋_GB2312" w:hAnsi="仿宋" w:eastAsia="仿宋_GB2312" w:cs="仿宋"/>
          <w:b/>
          <w:color w:val="000000"/>
          <w:sz w:val="28"/>
          <w:szCs w:val="28"/>
          <w:shd w:val="clear" w:color="auto" w:fill="FFFFFF"/>
        </w:rPr>
      </w:pPr>
      <w:r>
        <w:rPr>
          <w:rFonts w:hint="eastAsia" w:ascii="仿宋_GB2312" w:hAnsi="仿宋" w:eastAsia="仿宋_GB2312" w:cs="仿宋"/>
          <w:b/>
          <w:color w:val="000000"/>
          <w:sz w:val="28"/>
          <w:szCs w:val="28"/>
          <w:shd w:val="clear" w:color="auto" w:fill="FFFFFF"/>
        </w:rPr>
        <w:t>第十四条  协助刻制印章、开立银行账户</w:t>
      </w:r>
    </w:p>
    <w:p>
      <w:pPr>
        <w:keepNext w:val="0"/>
        <w:keepLines w:val="0"/>
        <w:pageBreakBefore w:val="0"/>
        <w:widowControl w:val="0"/>
        <w:numPr>
          <w:ilvl w:val="0"/>
          <w:numId w:val="387"/>
        </w:numPr>
        <w:shd w:val="clear" w:color="auto" w:fill="FFFFFF"/>
        <w:wordWrap/>
        <w:bidi w:val="0"/>
        <w:spacing w:after="0" w:line="500" w:lineRule="exact"/>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清算组依法组成并备案后，应协助刻制清算组印章。</w:t>
      </w:r>
    </w:p>
    <w:p>
      <w:pPr>
        <w:keepNext w:val="0"/>
        <w:keepLines w:val="0"/>
        <w:pageBreakBefore w:val="0"/>
        <w:widowControl w:val="0"/>
        <w:numPr>
          <w:ilvl w:val="0"/>
          <w:numId w:val="387"/>
        </w:numPr>
        <w:shd w:val="clear" w:color="auto" w:fill="FFFFFF"/>
        <w:wordWrap/>
        <w:bidi w:val="0"/>
        <w:spacing w:after="0" w:line="500" w:lineRule="exact"/>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应协助清算组设立清算组的专门银行账户。</w:t>
      </w:r>
    </w:p>
    <w:p>
      <w:pPr>
        <w:keepNext w:val="0"/>
        <w:keepLines w:val="0"/>
        <w:pageBreakBefore w:val="0"/>
        <w:widowControl w:val="0"/>
        <w:shd w:val="clear" w:color="auto" w:fill="FFFFFF"/>
        <w:wordWrap/>
        <w:bidi w:val="0"/>
        <w:spacing w:after="0" w:line="500" w:lineRule="exact"/>
        <w:ind w:firstLine="562" w:firstLineChars="200"/>
        <w:jc w:val="both"/>
        <w:rPr>
          <w:rFonts w:hint="eastAsia" w:ascii="仿宋" w:hAnsi="仿宋" w:eastAsia="仿宋" w:cs="仿宋"/>
          <w:b/>
          <w:bCs/>
          <w:color w:val="000000"/>
          <w:sz w:val="28"/>
          <w:szCs w:val="28"/>
          <w:shd w:val="clear" w:color="auto" w:fill="FFFFFF"/>
        </w:rPr>
      </w:pPr>
    </w:p>
    <w:p>
      <w:pPr>
        <w:keepNext w:val="0"/>
        <w:keepLines w:val="0"/>
        <w:pageBreakBefore w:val="0"/>
        <w:widowControl w:val="0"/>
        <w:wordWrap/>
        <w:bidi w:val="0"/>
        <w:spacing w:after="0" w:line="500" w:lineRule="exact"/>
        <w:jc w:val="center"/>
        <w:outlineLvl w:val="0"/>
        <w:rPr>
          <w:rFonts w:hint="eastAsia" w:ascii="黑体" w:hAnsi="黑体" w:eastAsia="黑体" w:cs="黑体"/>
          <w:color w:val="000000"/>
          <w:sz w:val="28"/>
          <w:szCs w:val="28"/>
          <w:shd w:val="clear" w:color="auto" w:fill="FFFFFF"/>
        </w:rPr>
      </w:pPr>
      <w:bookmarkStart w:id="698" w:name="_Toc31560"/>
      <w:r>
        <w:rPr>
          <w:rFonts w:hint="eastAsia" w:ascii="黑体" w:hAnsi="黑体" w:eastAsia="黑体" w:cs="黑体"/>
          <w:color w:val="000000"/>
          <w:sz w:val="28"/>
          <w:szCs w:val="28"/>
          <w:shd w:val="clear" w:color="auto" w:fill="FFFFFF"/>
        </w:rPr>
        <w:t>第三章  协助处理具体清算事务</w:t>
      </w:r>
      <w:bookmarkEnd w:id="698"/>
    </w:p>
    <w:p>
      <w:pPr>
        <w:keepNext w:val="0"/>
        <w:keepLines w:val="0"/>
        <w:pageBreakBefore w:val="0"/>
        <w:widowControl w:val="0"/>
        <w:shd w:val="clear" w:color="auto" w:fill="FFFFFF"/>
        <w:wordWrap/>
        <w:bidi w:val="0"/>
        <w:spacing w:after="0" w:line="500" w:lineRule="exact"/>
        <w:ind w:firstLine="562" w:firstLineChars="200"/>
        <w:jc w:val="both"/>
        <w:rPr>
          <w:rFonts w:hint="eastAsia" w:ascii="仿宋_GB2312" w:hAnsi="仿宋" w:eastAsia="仿宋_GB2312" w:cs="仿宋"/>
          <w:b/>
          <w:color w:val="000000"/>
          <w:sz w:val="28"/>
          <w:szCs w:val="28"/>
          <w:shd w:val="clear" w:color="auto" w:fill="FFFFFF"/>
        </w:rPr>
      </w:pPr>
      <w:r>
        <w:rPr>
          <w:rFonts w:hint="eastAsia" w:ascii="仿宋_GB2312" w:hAnsi="仿宋" w:eastAsia="仿宋_GB2312" w:cs="仿宋"/>
          <w:b/>
          <w:color w:val="000000"/>
          <w:sz w:val="28"/>
          <w:szCs w:val="28"/>
          <w:shd w:val="clear" w:color="auto" w:fill="FFFFFF"/>
        </w:rPr>
        <w:t>第十五条  通知及公告</w:t>
      </w:r>
    </w:p>
    <w:p>
      <w:pPr>
        <w:keepNext w:val="0"/>
        <w:keepLines w:val="0"/>
        <w:pageBreakBefore w:val="0"/>
        <w:widowControl w:val="0"/>
        <w:numPr>
          <w:ilvl w:val="0"/>
          <w:numId w:val="388"/>
        </w:numPr>
        <w:shd w:val="clear" w:color="auto" w:fill="FFFFFF"/>
        <w:wordWrap/>
        <w:bidi w:val="0"/>
        <w:spacing w:after="0" w:line="500" w:lineRule="exact"/>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清算组应自成立之日起10日内通知已知债权人，告知其自接到通知书之日起30日内向清算组报申债权。</w:t>
      </w:r>
    </w:p>
    <w:p>
      <w:pPr>
        <w:keepNext w:val="0"/>
        <w:keepLines w:val="0"/>
        <w:pageBreakBefore w:val="0"/>
        <w:widowControl w:val="0"/>
        <w:numPr>
          <w:ilvl w:val="0"/>
          <w:numId w:val="388"/>
        </w:numPr>
        <w:shd w:val="clear" w:color="auto" w:fill="FFFFFF"/>
        <w:wordWrap/>
        <w:bidi w:val="0"/>
        <w:spacing w:after="0" w:line="500" w:lineRule="exact"/>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清算组应自成立之日起60内在报纸上公告，告知未接到通知书的债权人自公告之日起45日内向清算组申报其债权。（《公司法》185条）</w:t>
      </w:r>
    </w:p>
    <w:p>
      <w:pPr>
        <w:keepNext w:val="0"/>
        <w:keepLines w:val="0"/>
        <w:pageBreakBefore w:val="0"/>
        <w:widowControl w:val="0"/>
        <w:numPr>
          <w:ilvl w:val="0"/>
          <w:numId w:val="388"/>
        </w:numPr>
        <w:shd w:val="clear" w:color="auto" w:fill="FFFFFF"/>
        <w:wordWrap/>
        <w:bidi w:val="0"/>
        <w:spacing w:after="0" w:line="500" w:lineRule="exact"/>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通知应当以可以查询送达情况的方式进行，并及时保存好送达凭证。</w:t>
      </w:r>
    </w:p>
    <w:p>
      <w:pPr>
        <w:keepNext w:val="0"/>
        <w:keepLines w:val="0"/>
        <w:pageBreakBefore w:val="0"/>
        <w:widowControl w:val="0"/>
        <w:numPr>
          <w:ilvl w:val="0"/>
          <w:numId w:val="388"/>
        </w:numPr>
        <w:shd w:val="clear" w:color="auto" w:fill="FFFFFF"/>
        <w:wordWrap/>
        <w:bidi w:val="0"/>
        <w:spacing w:after="0" w:line="500" w:lineRule="exact"/>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除已经接到通知的外，通知和公告应分别进行不少于两次。</w:t>
      </w:r>
    </w:p>
    <w:p>
      <w:pPr>
        <w:keepNext w:val="0"/>
        <w:keepLines w:val="0"/>
        <w:pageBreakBefore w:val="0"/>
        <w:widowControl w:val="0"/>
        <w:shd w:val="clear" w:color="auto" w:fill="FFFFFF"/>
        <w:wordWrap/>
        <w:bidi w:val="0"/>
        <w:spacing w:after="0" w:line="500" w:lineRule="exact"/>
        <w:ind w:firstLine="562" w:firstLineChars="200"/>
        <w:jc w:val="both"/>
        <w:rPr>
          <w:rFonts w:hint="eastAsia" w:ascii="仿宋_GB2312" w:hAnsi="仿宋" w:eastAsia="仿宋_GB2312" w:cs="仿宋"/>
          <w:b/>
          <w:color w:val="000000"/>
          <w:sz w:val="28"/>
          <w:szCs w:val="28"/>
          <w:shd w:val="clear" w:color="auto" w:fill="FFFFFF"/>
        </w:rPr>
      </w:pPr>
      <w:r>
        <w:rPr>
          <w:rFonts w:hint="eastAsia" w:ascii="仿宋_GB2312" w:hAnsi="仿宋" w:eastAsia="仿宋_GB2312" w:cs="仿宋"/>
          <w:b/>
          <w:color w:val="000000"/>
          <w:sz w:val="28"/>
          <w:szCs w:val="28"/>
          <w:shd w:val="clear" w:color="auto" w:fill="FFFFFF"/>
        </w:rPr>
        <w:t>第十六条 清理、核实公司财产，编制资产负债表和财产清单</w:t>
      </w:r>
    </w:p>
    <w:p>
      <w:pPr>
        <w:keepNext w:val="0"/>
        <w:keepLines w:val="0"/>
        <w:pageBreakBefore w:val="0"/>
        <w:widowControl w:val="0"/>
        <w:numPr>
          <w:ilvl w:val="0"/>
          <w:numId w:val="389"/>
        </w:numPr>
        <w:shd w:val="clear" w:color="auto" w:fill="FFFFFF"/>
        <w:wordWrap/>
        <w:bidi w:val="0"/>
        <w:spacing w:after="0" w:line="500" w:lineRule="exact"/>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清点公司财产。</w:t>
      </w:r>
    </w:p>
    <w:p>
      <w:pPr>
        <w:keepNext w:val="0"/>
        <w:keepLines w:val="0"/>
        <w:pageBreakBefore w:val="0"/>
        <w:widowControl w:val="0"/>
        <w:numPr>
          <w:ilvl w:val="0"/>
          <w:numId w:val="389"/>
        </w:numPr>
        <w:shd w:val="clear" w:color="auto" w:fill="FFFFFF"/>
        <w:wordWrap/>
        <w:bidi w:val="0"/>
        <w:spacing w:after="0" w:line="500" w:lineRule="exact"/>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根据财产的性质、现状等编制财产清单</w:t>
      </w:r>
    </w:p>
    <w:p>
      <w:pPr>
        <w:keepNext w:val="0"/>
        <w:keepLines w:val="0"/>
        <w:pageBreakBefore w:val="0"/>
        <w:widowControl w:val="0"/>
        <w:numPr>
          <w:ilvl w:val="0"/>
          <w:numId w:val="389"/>
        </w:numPr>
        <w:shd w:val="clear" w:color="auto" w:fill="FFFFFF"/>
        <w:wordWrap/>
        <w:bidi w:val="0"/>
        <w:spacing w:after="0" w:line="500" w:lineRule="exact"/>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核对财产的账实吻合情况。</w:t>
      </w:r>
    </w:p>
    <w:p>
      <w:pPr>
        <w:keepNext w:val="0"/>
        <w:keepLines w:val="0"/>
        <w:pageBreakBefore w:val="0"/>
        <w:widowControl w:val="0"/>
        <w:numPr>
          <w:ilvl w:val="0"/>
          <w:numId w:val="389"/>
        </w:numPr>
        <w:shd w:val="clear" w:color="auto" w:fill="FFFFFF"/>
        <w:wordWrap/>
        <w:bidi w:val="0"/>
        <w:spacing w:after="0" w:line="500" w:lineRule="exact"/>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聘请财务人员（公司经营情况复杂的，可外聘专业审计人员）清理公司的财务账册等资料，并编制资产负债表等。</w:t>
      </w:r>
    </w:p>
    <w:p>
      <w:pPr>
        <w:keepNext w:val="0"/>
        <w:keepLines w:val="0"/>
        <w:pageBreakBefore w:val="0"/>
        <w:widowControl w:val="0"/>
        <w:numPr>
          <w:ilvl w:val="0"/>
          <w:numId w:val="389"/>
        </w:numPr>
        <w:shd w:val="clear" w:color="auto" w:fill="FFFFFF"/>
        <w:wordWrap/>
        <w:bidi w:val="0"/>
        <w:spacing w:after="0" w:line="500" w:lineRule="exact"/>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根据需要聘请评估机构，对公司财产价值进行评估。</w:t>
      </w:r>
    </w:p>
    <w:p>
      <w:pPr>
        <w:keepNext w:val="0"/>
        <w:keepLines w:val="0"/>
        <w:pageBreakBefore w:val="0"/>
        <w:widowControl w:val="0"/>
        <w:shd w:val="clear" w:color="auto" w:fill="FFFFFF"/>
        <w:wordWrap/>
        <w:bidi w:val="0"/>
        <w:spacing w:after="0" w:line="500" w:lineRule="exact"/>
        <w:ind w:firstLine="562" w:firstLineChars="200"/>
        <w:jc w:val="both"/>
        <w:rPr>
          <w:rFonts w:hint="eastAsia" w:ascii="仿宋_GB2312" w:hAnsi="仿宋" w:eastAsia="仿宋_GB2312" w:cs="仿宋"/>
          <w:b/>
          <w:color w:val="000000"/>
          <w:sz w:val="28"/>
          <w:szCs w:val="28"/>
          <w:shd w:val="clear" w:color="auto" w:fill="FFFFFF"/>
        </w:rPr>
      </w:pPr>
      <w:r>
        <w:rPr>
          <w:rFonts w:hint="eastAsia" w:ascii="仿宋_GB2312" w:hAnsi="仿宋" w:eastAsia="仿宋_GB2312" w:cs="仿宋"/>
          <w:b/>
          <w:color w:val="000000"/>
          <w:sz w:val="28"/>
          <w:szCs w:val="28"/>
          <w:shd w:val="clear" w:color="auto" w:fill="FFFFFF"/>
        </w:rPr>
        <w:t>第十七条  清理公司债务</w:t>
      </w:r>
    </w:p>
    <w:p>
      <w:pPr>
        <w:keepNext w:val="0"/>
        <w:keepLines w:val="0"/>
        <w:pageBreakBefore w:val="0"/>
        <w:widowControl w:val="0"/>
        <w:numPr>
          <w:ilvl w:val="0"/>
          <w:numId w:val="390"/>
        </w:numPr>
        <w:shd w:val="clear" w:color="auto" w:fill="FFFFFF"/>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接收债权人的债权申报，并及时登记造册，制作债权申报表。</w:t>
      </w:r>
      <w:r>
        <w:rPr>
          <w:rFonts w:hint="eastAsia" w:ascii="仿宋_GB2312" w:hAnsi="仿宋" w:eastAsia="仿宋_GB2312" w:cs="仿宋"/>
          <w:color w:val="000000"/>
          <w:sz w:val="28"/>
          <w:szCs w:val="28"/>
          <w:shd w:val="clear" w:color="auto" w:fill="FFFFFF"/>
        </w:rPr>
        <w:t>清算组应按有担保债权和无担保债权分别、逐项登记。</w:t>
      </w:r>
    </w:p>
    <w:p>
      <w:pPr>
        <w:keepNext w:val="0"/>
        <w:keepLines w:val="0"/>
        <w:pageBreakBefore w:val="0"/>
        <w:widowControl w:val="0"/>
        <w:numPr>
          <w:ilvl w:val="0"/>
          <w:numId w:val="390"/>
        </w:numPr>
        <w:shd w:val="clear" w:color="auto" w:fill="FFFFFF"/>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对债权人申报的债权，及时进行审核，并将审核结果及时通知各债权人。</w:t>
      </w:r>
    </w:p>
    <w:p>
      <w:pPr>
        <w:keepNext w:val="0"/>
        <w:keepLines w:val="0"/>
        <w:pageBreakBefore w:val="0"/>
        <w:widowControl w:val="0"/>
        <w:numPr>
          <w:ilvl w:val="0"/>
          <w:numId w:val="390"/>
        </w:numPr>
        <w:shd w:val="clear" w:color="auto" w:fill="FFFFFF"/>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及时参加债权人提出的诉讼。</w:t>
      </w:r>
    </w:p>
    <w:p>
      <w:pPr>
        <w:keepNext w:val="0"/>
        <w:keepLines w:val="0"/>
        <w:pageBreakBefore w:val="0"/>
        <w:widowControl w:val="0"/>
        <w:numPr>
          <w:ilvl w:val="0"/>
          <w:numId w:val="390"/>
        </w:numPr>
        <w:shd w:val="clear" w:color="auto" w:fill="FFFFFF"/>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及时将债权确认情况通报清算组财务人员。</w:t>
      </w:r>
    </w:p>
    <w:p>
      <w:pPr>
        <w:keepNext w:val="0"/>
        <w:keepLines w:val="0"/>
        <w:pageBreakBefore w:val="0"/>
        <w:widowControl w:val="0"/>
        <w:shd w:val="clear" w:color="auto" w:fill="FFFFFF"/>
        <w:wordWrap/>
        <w:bidi w:val="0"/>
        <w:spacing w:after="0" w:line="500" w:lineRule="exact"/>
        <w:ind w:firstLine="562" w:firstLineChars="200"/>
        <w:jc w:val="both"/>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第十八条  制作公司债务清单</w:t>
      </w:r>
    </w:p>
    <w:p>
      <w:pPr>
        <w:keepNext w:val="0"/>
        <w:keepLines w:val="0"/>
        <w:pageBreakBefore w:val="0"/>
        <w:widowControl w:val="0"/>
        <w:numPr>
          <w:ilvl w:val="0"/>
          <w:numId w:val="391"/>
        </w:numPr>
        <w:shd w:val="clear" w:color="auto" w:fill="FFFFFF"/>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根据申报债权审核结果（包括法院的裁判结果）制作公司债务清单。</w:t>
      </w:r>
    </w:p>
    <w:p>
      <w:pPr>
        <w:keepNext w:val="0"/>
        <w:keepLines w:val="0"/>
        <w:pageBreakBefore w:val="0"/>
        <w:widowControl w:val="0"/>
        <w:numPr>
          <w:ilvl w:val="0"/>
          <w:numId w:val="391"/>
        </w:numPr>
        <w:shd w:val="clear" w:color="auto" w:fill="FFFFFF"/>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债务清单经清算组审核通过后，应报股东（大）会确认。</w:t>
      </w:r>
    </w:p>
    <w:p>
      <w:pPr>
        <w:keepNext w:val="0"/>
        <w:keepLines w:val="0"/>
        <w:pageBreakBefore w:val="0"/>
        <w:widowControl w:val="0"/>
        <w:shd w:val="clear" w:color="auto" w:fill="FFFFFF"/>
        <w:wordWrap/>
        <w:bidi w:val="0"/>
        <w:spacing w:after="0" w:line="500" w:lineRule="exact"/>
        <w:ind w:firstLine="562" w:firstLineChars="200"/>
        <w:jc w:val="both"/>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第十九条  清收公司债权</w:t>
      </w:r>
    </w:p>
    <w:p>
      <w:pPr>
        <w:keepNext w:val="0"/>
        <w:keepLines w:val="0"/>
        <w:pageBreakBefore w:val="0"/>
        <w:widowControl w:val="0"/>
        <w:numPr>
          <w:ilvl w:val="0"/>
          <w:numId w:val="392"/>
        </w:numPr>
        <w:shd w:val="clear" w:color="auto" w:fill="FFFFFF"/>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根据财务资料制作公司债权清单。</w:t>
      </w:r>
    </w:p>
    <w:p>
      <w:pPr>
        <w:keepNext w:val="0"/>
        <w:keepLines w:val="0"/>
        <w:pageBreakBefore w:val="0"/>
        <w:widowControl w:val="0"/>
        <w:numPr>
          <w:ilvl w:val="0"/>
          <w:numId w:val="392"/>
        </w:numPr>
        <w:shd w:val="clear" w:color="auto" w:fill="FFFFFF"/>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收集、整理公司债权凭证。</w:t>
      </w:r>
    </w:p>
    <w:p>
      <w:pPr>
        <w:keepNext w:val="0"/>
        <w:keepLines w:val="0"/>
        <w:pageBreakBefore w:val="0"/>
        <w:widowControl w:val="0"/>
        <w:numPr>
          <w:ilvl w:val="0"/>
          <w:numId w:val="392"/>
        </w:numPr>
        <w:shd w:val="clear" w:color="auto" w:fill="FFFFFF"/>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通知（公告）公司债务人履行债务。</w:t>
      </w:r>
    </w:p>
    <w:p>
      <w:pPr>
        <w:keepNext w:val="0"/>
        <w:keepLines w:val="0"/>
        <w:pageBreakBefore w:val="0"/>
        <w:widowControl w:val="0"/>
        <w:numPr>
          <w:ilvl w:val="0"/>
          <w:numId w:val="392"/>
        </w:numPr>
        <w:shd w:val="clear" w:color="auto" w:fill="FFFFFF"/>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催收债权。</w:t>
      </w:r>
    </w:p>
    <w:p>
      <w:pPr>
        <w:keepNext w:val="0"/>
        <w:keepLines w:val="0"/>
        <w:pageBreakBefore w:val="0"/>
        <w:widowControl w:val="0"/>
        <w:shd w:val="clear" w:color="auto" w:fill="FFFFFF"/>
        <w:wordWrap/>
        <w:bidi w:val="0"/>
        <w:spacing w:after="0" w:line="500" w:lineRule="exact"/>
        <w:ind w:firstLine="562" w:firstLineChars="200"/>
        <w:jc w:val="both"/>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第二十条  代理公司诉讼</w:t>
      </w:r>
    </w:p>
    <w:p>
      <w:pPr>
        <w:keepNext w:val="0"/>
        <w:keepLines w:val="0"/>
        <w:pageBreakBefore w:val="0"/>
        <w:widowControl w:val="0"/>
        <w:numPr>
          <w:ilvl w:val="0"/>
          <w:numId w:val="393"/>
        </w:numPr>
        <w:shd w:val="clear" w:color="auto" w:fill="FFFFFF"/>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根据清算组和清算组负责人的委托，代理公司提起相关诉讼（包括诉讼、仲裁、听证、复议、劳动争议仲裁等，以下统称为诉讼）。</w:t>
      </w:r>
    </w:p>
    <w:p>
      <w:pPr>
        <w:keepNext w:val="0"/>
        <w:keepLines w:val="0"/>
        <w:pageBreakBefore w:val="0"/>
        <w:widowControl w:val="0"/>
        <w:numPr>
          <w:ilvl w:val="0"/>
          <w:numId w:val="393"/>
        </w:numPr>
        <w:shd w:val="clear" w:color="auto" w:fill="FFFFFF"/>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根据清算组和清算组负责人的委托，代理公司应对相关诉讼。</w:t>
      </w:r>
    </w:p>
    <w:p>
      <w:pPr>
        <w:keepNext w:val="0"/>
        <w:keepLines w:val="0"/>
        <w:pageBreakBefore w:val="0"/>
        <w:widowControl w:val="0"/>
        <w:numPr>
          <w:ilvl w:val="0"/>
          <w:numId w:val="393"/>
        </w:numPr>
        <w:shd w:val="clear" w:color="auto" w:fill="FFFFFF"/>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代理诉讼，应当由律师事务所与清算组另行签订诉讼代理合同，并约定报酬等事项。</w:t>
      </w:r>
    </w:p>
    <w:p>
      <w:pPr>
        <w:keepNext w:val="0"/>
        <w:keepLines w:val="0"/>
        <w:pageBreakBefore w:val="0"/>
        <w:widowControl w:val="0"/>
        <w:shd w:val="clear" w:color="auto" w:fill="FFFFFF"/>
        <w:wordWrap/>
        <w:bidi w:val="0"/>
        <w:spacing w:after="0" w:line="500" w:lineRule="exact"/>
        <w:ind w:firstLine="562" w:firstLineChars="200"/>
        <w:jc w:val="both"/>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第二十一条  调整公司债权债务清单</w:t>
      </w:r>
    </w:p>
    <w:p>
      <w:pPr>
        <w:keepNext w:val="0"/>
        <w:keepLines w:val="0"/>
        <w:pageBreakBefore w:val="0"/>
        <w:widowControl w:val="0"/>
        <w:shd w:val="clear" w:color="auto" w:fill="FFFFFF"/>
        <w:wordWrap/>
        <w:bidi w:val="0"/>
        <w:spacing w:after="0"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应当根据诉讼等结果情况，及时调整公司债权债务清单。</w:t>
      </w:r>
    </w:p>
    <w:p>
      <w:pPr>
        <w:keepNext w:val="0"/>
        <w:keepLines w:val="0"/>
        <w:pageBreakBefore w:val="0"/>
        <w:widowControl w:val="0"/>
        <w:shd w:val="clear" w:color="auto" w:fill="FFFFFF"/>
        <w:wordWrap/>
        <w:bidi w:val="0"/>
        <w:spacing w:after="0" w:line="500" w:lineRule="exact"/>
        <w:ind w:firstLine="562" w:firstLineChars="200"/>
        <w:jc w:val="both"/>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第二十二条  制订公司财产处置（变现）方案</w:t>
      </w:r>
    </w:p>
    <w:p>
      <w:pPr>
        <w:keepNext w:val="0"/>
        <w:keepLines w:val="0"/>
        <w:pageBreakBefore w:val="0"/>
        <w:widowControl w:val="0"/>
        <w:numPr>
          <w:ilvl w:val="0"/>
          <w:numId w:val="394"/>
        </w:numPr>
        <w:shd w:val="clear" w:color="auto" w:fill="FFFFFF"/>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根据公司清算财产情况，制订相应的财产处置（变现）方案。</w:t>
      </w:r>
    </w:p>
    <w:p>
      <w:pPr>
        <w:keepNext w:val="0"/>
        <w:keepLines w:val="0"/>
        <w:pageBreakBefore w:val="0"/>
        <w:widowControl w:val="0"/>
        <w:numPr>
          <w:ilvl w:val="0"/>
          <w:numId w:val="394"/>
        </w:numPr>
        <w:shd w:val="clear" w:color="auto" w:fill="FFFFFF"/>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财产处置（变现）方案应提交公司股东（大）会审议批准。</w:t>
      </w:r>
    </w:p>
    <w:p>
      <w:pPr>
        <w:keepNext w:val="0"/>
        <w:keepLines w:val="0"/>
        <w:pageBreakBefore w:val="0"/>
        <w:widowControl w:val="0"/>
        <w:shd w:val="clear" w:color="auto" w:fill="FFFFFF"/>
        <w:wordWrap/>
        <w:bidi w:val="0"/>
        <w:spacing w:after="0" w:line="500" w:lineRule="exact"/>
        <w:ind w:firstLine="562" w:firstLineChars="200"/>
        <w:jc w:val="both"/>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第二十三条  处置公司财产</w:t>
      </w:r>
    </w:p>
    <w:p>
      <w:pPr>
        <w:keepNext w:val="0"/>
        <w:keepLines w:val="0"/>
        <w:pageBreakBefore w:val="0"/>
        <w:widowControl w:val="0"/>
        <w:numPr>
          <w:ilvl w:val="0"/>
          <w:numId w:val="395"/>
        </w:numPr>
        <w:shd w:val="clear" w:color="auto" w:fill="FFFFFF"/>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根据需要，聘请拍卖机构对公司财产进行拍卖。</w:t>
      </w:r>
    </w:p>
    <w:p>
      <w:pPr>
        <w:keepNext w:val="0"/>
        <w:keepLines w:val="0"/>
        <w:pageBreakBefore w:val="0"/>
        <w:widowControl w:val="0"/>
        <w:numPr>
          <w:ilvl w:val="0"/>
          <w:numId w:val="395"/>
        </w:numPr>
        <w:shd w:val="clear" w:color="auto" w:fill="FFFFFF"/>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根据具体情况和经股东（大）会批准的财产变现方案，对公司财产进行变卖。</w:t>
      </w:r>
    </w:p>
    <w:p>
      <w:pPr>
        <w:keepNext w:val="0"/>
        <w:keepLines w:val="0"/>
        <w:pageBreakBefore w:val="0"/>
        <w:widowControl w:val="0"/>
        <w:numPr>
          <w:ilvl w:val="0"/>
          <w:numId w:val="395"/>
        </w:numPr>
        <w:shd w:val="clear" w:color="auto" w:fill="FFFFFF"/>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起草和协助签订处置公司财产的协议、合同等文件。</w:t>
      </w:r>
    </w:p>
    <w:p>
      <w:pPr>
        <w:keepNext w:val="0"/>
        <w:keepLines w:val="0"/>
        <w:pageBreakBefore w:val="0"/>
        <w:widowControl w:val="0"/>
        <w:numPr>
          <w:ilvl w:val="0"/>
          <w:numId w:val="395"/>
        </w:numPr>
        <w:shd w:val="clear" w:color="auto" w:fill="FFFFFF"/>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协助交付被处置的公司财产。</w:t>
      </w:r>
    </w:p>
    <w:p>
      <w:pPr>
        <w:keepNext w:val="0"/>
        <w:keepLines w:val="0"/>
        <w:pageBreakBefore w:val="0"/>
        <w:widowControl w:val="0"/>
        <w:numPr>
          <w:ilvl w:val="0"/>
          <w:numId w:val="395"/>
        </w:numPr>
        <w:shd w:val="clear" w:color="auto" w:fill="FFFFFF"/>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协助办理被处置的公司不动产等转让过户登记手续等。</w:t>
      </w:r>
    </w:p>
    <w:p>
      <w:pPr>
        <w:keepNext w:val="0"/>
        <w:keepLines w:val="0"/>
        <w:pageBreakBefore w:val="0"/>
        <w:widowControl w:val="0"/>
        <w:shd w:val="clear" w:color="auto" w:fill="FFFFFF"/>
        <w:wordWrap/>
        <w:bidi w:val="0"/>
        <w:spacing w:after="0" w:line="500" w:lineRule="exact"/>
        <w:ind w:firstLine="562" w:firstLineChars="200"/>
        <w:jc w:val="both"/>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第二十四条  协助确定工作人员报酬方案</w:t>
      </w:r>
      <w:r>
        <w:rPr>
          <w:rStyle w:val="21"/>
          <w:rFonts w:hint="eastAsia" w:ascii="仿宋_GB2312" w:hAnsi="仿宋" w:eastAsia="仿宋_GB2312" w:cs="仿宋"/>
          <w:b/>
          <w:color w:val="000000"/>
          <w:sz w:val="28"/>
          <w:szCs w:val="28"/>
        </w:rPr>
        <w:footnoteReference w:id="16"/>
      </w:r>
    </w:p>
    <w:p>
      <w:pPr>
        <w:keepNext w:val="0"/>
        <w:keepLines w:val="0"/>
        <w:pageBreakBefore w:val="0"/>
        <w:widowControl w:val="0"/>
        <w:numPr>
          <w:ilvl w:val="0"/>
          <w:numId w:val="396"/>
        </w:numPr>
        <w:shd w:val="clear" w:color="auto" w:fill="FFFFFF"/>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根据具体情况，向清算组提出聘请工作人员的建议。</w:t>
      </w:r>
    </w:p>
    <w:p>
      <w:pPr>
        <w:keepNext w:val="0"/>
        <w:keepLines w:val="0"/>
        <w:pageBreakBefore w:val="0"/>
        <w:widowControl w:val="0"/>
        <w:numPr>
          <w:ilvl w:val="0"/>
          <w:numId w:val="396"/>
        </w:numPr>
        <w:shd w:val="clear" w:color="auto" w:fill="FFFFFF"/>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协助制订清算组成员和其他工作人员报酬的方案。</w:t>
      </w:r>
    </w:p>
    <w:p>
      <w:pPr>
        <w:keepNext w:val="0"/>
        <w:keepLines w:val="0"/>
        <w:pageBreakBefore w:val="0"/>
        <w:widowControl w:val="0"/>
        <w:numPr>
          <w:ilvl w:val="0"/>
          <w:numId w:val="396"/>
        </w:numPr>
        <w:shd w:val="clear" w:color="auto" w:fill="FFFFFF"/>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原则上，公司股东、实际控制人或者股份有限公司的董事担任清算组成员的，不计付报酬。前述人员以外的有限责任公司的董事、监事、高级管理人员，股份有限公司的监事、高级管理人员担任清算组成员的，可以按照其上一年度的平均工资标准计付报酬。</w:t>
      </w:r>
    </w:p>
    <w:p>
      <w:pPr>
        <w:keepNext w:val="0"/>
        <w:keepLines w:val="0"/>
        <w:pageBreakBefore w:val="0"/>
        <w:widowControl w:val="0"/>
        <w:numPr>
          <w:ilvl w:val="0"/>
          <w:numId w:val="396"/>
        </w:numPr>
        <w:shd w:val="clear" w:color="auto" w:fill="FFFFFF"/>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中介机构或者个人担任清算组成员的，其报酬由中介机构或者个人与公司协商确定。必要时，可以参照《最高人民法院关于审理企业破产案件确定管理人报酬的规定》确定。</w:t>
      </w:r>
    </w:p>
    <w:p>
      <w:pPr>
        <w:keepNext w:val="0"/>
        <w:keepLines w:val="0"/>
        <w:pageBreakBefore w:val="0"/>
        <w:widowControl w:val="0"/>
        <w:shd w:val="clear" w:color="auto" w:fill="FFFFFF"/>
        <w:wordWrap/>
        <w:bidi w:val="0"/>
        <w:spacing w:after="0" w:line="500" w:lineRule="exact"/>
        <w:ind w:firstLine="562" w:firstLineChars="200"/>
        <w:jc w:val="both"/>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第二十五条  协助制定公司职工安置方案</w:t>
      </w:r>
    </w:p>
    <w:p>
      <w:pPr>
        <w:keepNext w:val="0"/>
        <w:keepLines w:val="0"/>
        <w:pageBreakBefore w:val="0"/>
        <w:widowControl w:val="0"/>
        <w:numPr>
          <w:ilvl w:val="0"/>
          <w:numId w:val="397"/>
        </w:numPr>
        <w:shd w:val="clear" w:color="auto" w:fill="FFFFFF"/>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就公司进入清算程序和解除职工劳动合同或另行安排职工工作等职工安置情况，提前向工会或者全体职工说明情况，并听取意见。</w:t>
      </w:r>
    </w:p>
    <w:p>
      <w:pPr>
        <w:keepNext w:val="0"/>
        <w:keepLines w:val="0"/>
        <w:pageBreakBefore w:val="0"/>
        <w:widowControl w:val="0"/>
        <w:numPr>
          <w:ilvl w:val="0"/>
          <w:numId w:val="397"/>
        </w:numPr>
        <w:shd w:val="clear" w:color="auto" w:fill="FFFFFF"/>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根据具体情况，协助清算组制订解除公司职工劳动合同及安置方案。</w:t>
      </w:r>
    </w:p>
    <w:p>
      <w:pPr>
        <w:keepNext w:val="0"/>
        <w:keepLines w:val="0"/>
        <w:pageBreakBefore w:val="0"/>
        <w:widowControl w:val="0"/>
        <w:numPr>
          <w:ilvl w:val="0"/>
          <w:numId w:val="397"/>
        </w:numPr>
        <w:shd w:val="clear" w:color="auto" w:fill="FFFFFF"/>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将职工安置方案提交股东（大）会审议批准。</w:t>
      </w:r>
    </w:p>
    <w:p>
      <w:pPr>
        <w:keepNext w:val="0"/>
        <w:keepLines w:val="0"/>
        <w:pageBreakBefore w:val="0"/>
        <w:widowControl w:val="0"/>
        <w:numPr>
          <w:ilvl w:val="0"/>
          <w:numId w:val="397"/>
        </w:numPr>
        <w:shd w:val="clear" w:color="auto" w:fill="FFFFFF"/>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将经股东（大）会批准的职工安置方案报告当地劳动行政主管部门。</w:t>
      </w:r>
    </w:p>
    <w:p>
      <w:pPr>
        <w:keepNext w:val="0"/>
        <w:keepLines w:val="0"/>
        <w:pageBreakBefore w:val="0"/>
        <w:widowControl w:val="0"/>
        <w:shd w:val="clear" w:color="auto" w:fill="FFFFFF"/>
        <w:wordWrap/>
        <w:bidi w:val="0"/>
        <w:spacing w:after="0" w:line="500" w:lineRule="exact"/>
        <w:ind w:firstLine="562" w:firstLineChars="200"/>
        <w:jc w:val="both"/>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第二十六条  协助实施职工安置方案</w:t>
      </w:r>
    </w:p>
    <w:p>
      <w:pPr>
        <w:keepNext w:val="0"/>
        <w:keepLines w:val="0"/>
        <w:pageBreakBefore w:val="0"/>
        <w:widowControl w:val="0"/>
        <w:numPr>
          <w:ilvl w:val="0"/>
          <w:numId w:val="398"/>
        </w:numPr>
        <w:shd w:val="clear" w:color="auto" w:fill="FFFFFF"/>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起草、制作职工安置相关法律文书。</w:t>
      </w:r>
    </w:p>
    <w:p>
      <w:pPr>
        <w:keepNext w:val="0"/>
        <w:keepLines w:val="0"/>
        <w:pageBreakBefore w:val="0"/>
        <w:widowControl w:val="0"/>
        <w:numPr>
          <w:ilvl w:val="0"/>
          <w:numId w:val="398"/>
        </w:numPr>
        <w:shd w:val="clear" w:color="auto" w:fill="FFFFFF"/>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协助核算职工经济补偿金、赔偿金等。</w:t>
      </w:r>
    </w:p>
    <w:p>
      <w:pPr>
        <w:keepNext w:val="0"/>
        <w:keepLines w:val="0"/>
        <w:pageBreakBefore w:val="0"/>
        <w:widowControl w:val="0"/>
        <w:numPr>
          <w:ilvl w:val="0"/>
          <w:numId w:val="398"/>
        </w:numPr>
        <w:shd w:val="clear" w:color="auto" w:fill="FFFFFF"/>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协助公司解除与公司职工的劳动关系，并签署相关法律文书。</w:t>
      </w:r>
    </w:p>
    <w:p>
      <w:pPr>
        <w:keepNext w:val="0"/>
        <w:keepLines w:val="0"/>
        <w:pageBreakBefore w:val="0"/>
        <w:widowControl w:val="0"/>
        <w:numPr>
          <w:ilvl w:val="0"/>
          <w:numId w:val="398"/>
        </w:numPr>
        <w:shd w:val="clear" w:color="auto" w:fill="FFFFFF"/>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协助公司办理职工社会保险、住房公积金转移接续等手续。</w:t>
      </w:r>
    </w:p>
    <w:p>
      <w:pPr>
        <w:keepNext w:val="0"/>
        <w:keepLines w:val="0"/>
        <w:pageBreakBefore w:val="0"/>
        <w:widowControl w:val="0"/>
        <w:numPr>
          <w:ilvl w:val="0"/>
          <w:numId w:val="398"/>
        </w:numPr>
        <w:shd w:val="clear" w:color="auto" w:fill="FFFFFF"/>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协助职工办理领取失业保险金等手续。</w:t>
      </w:r>
    </w:p>
    <w:p>
      <w:pPr>
        <w:keepNext w:val="0"/>
        <w:keepLines w:val="0"/>
        <w:pageBreakBefore w:val="0"/>
        <w:widowControl w:val="0"/>
        <w:shd w:val="clear" w:color="auto" w:fill="FFFFFF"/>
        <w:wordWrap/>
        <w:bidi w:val="0"/>
        <w:spacing w:after="0" w:line="500" w:lineRule="exact"/>
        <w:ind w:firstLine="562" w:firstLineChars="200"/>
        <w:jc w:val="both"/>
        <w:outlineLvl w:val="0"/>
        <w:rPr>
          <w:rFonts w:hint="eastAsia" w:ascii="仿宋_GB2312" w:hAnsi="仿宋" w:eastAsia="仿宋_GB2312" w:cs="仿宋"/>
          <w:color w:val="000000"/>
          <w:sz w:val="28"/>
          <w:szCs w:val="28"/>
        </w:rPr>
      </w:pPr>
      <w:bookmarkStart w:id="699" w:name="_Toc22769"/>
      <w:r>
        <w:rPr>
          <w:rFonts w:hint="eastAsia" w:ascii="仿宋_GB2312" w:hAnsi="仿宋" w:eastAsia="仿宋_GB2312" w:cs="仿宋"/>
          <w:b/>
          <w:color w:val="000000"/>
          <w:sz w:val="28"/>
          <w:szCs w:val="28"/>
        </w:rPr>
        <w:t>第二十七  协助处理公司未了结的业务</w:t>
      </w:r>
      <w:bookmarkEnd w:id="699"/>
    </w:p>
    <w:p>
      <w:pPr>
        <w:keepNext w:val="0"/>
        <w:keepLines w:val="0"/>
        <w:pageBreakBefore w:val="0"/>
        <w:widowControl w:val="0"/>
        <w:numPr>
          <w:ilvl w:val="0"/>
          <w:numId w:val="399"/>
        </w:numPr>
        <w:shd w:val="clear" w:color="auto" w:fill="FFFFFF"/>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协助公司继续履行相关业务合同。</w:t>
      </w:r>
    </w:p>
    <w:p>
      <w:pPr>
        <w:keepNext w:val="0"/>
        <w:keepLines w:val="0"/>
        <w:pageBreakBefore w:val="0"/>
        <w:widowControl w:val="0"/>
        <w:numPr>
          <w:ilvl w:val="0"/>
          <w:numId w:val="399"/>
        </w:numPr>
        <w:shd w:val="clear" w:color="auto" w:fill="FFFFFF"/>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协助公司解除相关业务合同。</w:t>
      </w:r>
    </w:p>
    <w:p>
      <w:pPr>
        <w:keepNext w:val="0"/>
        <w:keepLines w:val="0"/>
        <w:pageBreakBefore w:val="0"/>
        <w:widowControl w:val="0"/>
        <w:shd w:val="clear" w:color="auto" w:fill="FFFFFF"/>
        <w:wordWrap/>
        <w:bidi w:val="0"/>
        <w:spacing w:after="0" w:line="500" w:lineRule="exact"/>
        <w:ind w:firstLine="562" w:firstLineChars="200"/>
        <w:jc w:val="both"/>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第二十八条  制定清算方案</w:t>
      </w:r>
    </w:p>
    <w:p>
      <w:pPr>
        <w:keepNext w:val="0"/>
        <w:keepLines w:val="0"/>
        <w:pageBreakBefore w:val="0"/>
        <w:widowControl w:val="0"/>
        <w:numPr>
          <w:ilvl w:val="0"/>
          <w:numId w:val="400"/>
        </w:numPr>
        <w:shd w:val="clear" w:color="auto" w:fill="FFFFFF"/>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协助清算组在清理公司财产、编制资产负债表和财产清单后，制定清算方案，并报股东（大）会确认。</w:t>
      </w:r>
    </w:p>
    <w:p>
      <w:pPr>
        <w:keepNext w:val="0"/>
        <w:keepLines w:val="0"/>
        <w:pageBreakBefore w:val="0"/>
        <w:widowControl w:val="0"/>
        <w:numPr>
          <w:ilvl w:val="0"/>
          <w:numId w:val="400"/>
        </w:numPr>
        <w:shd w:val="clear" w:color="auto" w:fill="FFFFFF"/>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公司财产在分别支付清算费用、职工的工资、社会保险费用和法定补偿金，缴纳所欠税款，清偿公司债务后的剩余财产，有限责任公司按照股东的出资比例分配，股份有限公司按照股东持有的股份比例分配。 </w:t>
      </w:r>
    </w:p>
    <w:p>
      <w:pPr>
        <w:keepNext w:val="0"/>
        <w:keepLines w:val="0"/>
        <w:pageBreakBefore w:val="0"/>
        <w:widowControl w:val="0"/>
        <w:shd w:val="clear" w:color="auto" w:fill="FFFFFF"/>
        <w:wordWrap/>
        <w:bidi w:val="0"/>
        <w:spacing w:after="0" w:line="500" w:lineRule="exact"/>
        <w:ind w:firstLine="562" w:firstLineChars="200"/>
        <w:jc w:val="both"/>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第二十九条  协助公司清偿债务</w:t>
      </w:r>
    </w:p>
    <w:p>
      <w:pPr>
        <w:keepNext w:val="0"/>
        <w:keepLines w:val="0"/>
        <w:pageBreakBefore w:val="0"/>
        <w:widowControl w:val="0"/>
        <w:numPr>
          <w:ilvl w:val="0"/>
          <w:numId w:val="401"/>
        </w:numPr>
        <w:shd w:val="clear" w:color="auto" w:fill="FFFFFF"/>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根据股东（大）会批准的债务清单和清算方案，协助清算组向债权人清偿公司债务。</w:t>
      </w:r>
    </w:p>
    <w:p>
      <w:pPr>
        <w:keepNext w:val="0"/>
        <w:keepLines w:val="0"/>
        <w:pageBreakBefore w:val="0"/>
        <w:widowControl w:val="0"/>
        <w:numPr>
          <w:ilvl w:val="0"/>
          <w:numId w:val="401"/>
        </w:numPr>
        <w:shd w:val="clear" w:color="auto" w:fill="FFFFFF"/>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协助清算组制作、签署清偿债务相关法律文书。</w:t>
      </w:r>
    </w:p>
    <w:p>
      <w:pPr>
        <w:keepNext w:val="0"/>
        <w:keepLines w:val="0"/>
        <w:pageBreakBefore w:val="0"/>
        <w:widowControl w:val="0"/>
        <w:shd w:val="clear" w:color="auto" w:fill="FFFFFF"/>
        <w:wordWrap/>
        <w:bidi w:val="0"/>
        <w:spacing w:after="0" w:line="500" w:lineRule="exact"/>
        <w:ind w:firstLine="562" w:firstLineChars="200"/>
        <w:jc w:val="both"/>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第三十条  向股东分配剩余财产</w:t>
      </w:r>
    </w:p>
    <w:p>
      <w:pPr>
        <w:keepNext w:val="0"/>
        <w:keepLines w:val="0"/>
        <w:pageBreakBefore w:val="0"/>
        <w:widowControl w:val="0"/>
        <w:numPr>
          <w:ilvl w:val="0"/>
          <w:numId w:val="402"/>
        </w:numPr>
        <w:shd w:val="clear" w:color="auto" w:fill="FFFFFF"/>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根据股东（大）会批准的清算方案，协助清算组向股东分配公司剩余财产。</w:t>
      </w:r>
    </w:p>
    <w:p>
      <w:pPr>
        <w:keepNext w:val="0"/>
        <w:keepLines w:val="0"/>
        <w:pageBreakBefore w:val="0"/>
        <w:widowControl w:val="0"/>
        <w:numPr>
          <w:ilvl w:val="0"/>
          <w:numId w:val="402"/>
        </w:numPr>
        <w:shd w:val="clear" w:color="auto" w:fill="FFFFFF"/>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协助清算组制作和签署向股东分配剩余财产相关法律文书。</w:t>
      </w:r>
    </w:p>
    <w:p>
      <w:pPr>
        <w:keepNext w:val="0"/>
        <w:keepLines w:val="0"/>
        <w:pageBreakBefore w:val="0"/>
        <w:widowControl w:val="0"/>
        <w:wordWrap/>
        <w:bidi w:val="0"/>
        <w:spacing w:after="0" w:line="500" w:lineRule="exact"/>
        <w:ind w:firstLine="562" w:firstLineChars="200"/>
        <w:jc w:val="both"/>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第三十一条  协助清算组向法院申请对公司进行破产清算</w:t>
      </w:r>
    </w:p>
    <w:p>
      <w:pPr>
        <w:keepNext w:val="0"/>
        <w:keepLines w:val="0"/>
        <w:pageBreakBefore w:val="0"/>
        <w:widowControl w:val="0"/>
        <w:numPr>
          <w:ilvl w:val="0"/>
          <w:numId w:val="403"/>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经清算，发现公司资不抵债的，可协助清算组及时与有关债权人、股东等就债务清偿方案进行协商并制作清偿方案，以消除公司资不抵债状况。</w:t>
      </w:r>
    </w:p>
    <w:p>
      <w:pPr>
        <w:keepNext w:val="0"/>
        <w:keepLines w:val="0"/>
        <w:pageBreakBefore w:val="0"/>
        <w:widowControl w:val="0"/>
        <w:numPr>
          <w:ilvl w:val="0"/>
          <w:numId w:val="403"/>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经清算，发现公司资不抵债，且该状况无法及时消除的，应及时协助清算组向有管辖权的人民法院申请宣告破产。</w:t>
      </w:r>
    </w:p>
    <w:p>
      <w:pPr>
        <w:keepNext w:val="0"/>
        <w:keepLines w:val="0"/>
        <w:pageBreakBefore w:val="0"/>
        <w:widowControl w:val="0"/>
        <w:numPr>
          <w:ilvl w:val="0"/>
          <w:numId w:val="403"/>
        </w:numPr>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受理破产案件的法院另行指定管理人接管公司清算事务的，协助清算组及时将清算事务移交人民法院指定的管理人。</w:t>
      </w:r>
    </w:p>
    <w:p>
      <w:pPr>
        <w:keepNext w:val="0"/>
        <w:keepLines w:val="0"/>
        <w:pageBreakBefore w:val="0"/>
        <w:widowControl w:val="0"/>
        <w:shd w:val="clear" w:color="auto" w:fill="FFFFFF"/>
        <w:wordWrap/>
        <w:bidi w:val="0"/>
        <w:spacing w:after="0" w:line="500" w:lineRule="exact"/>
        <w:ind w:firstLine="562" w:firstLineChars="200"/>
        <w:jc w:val="both"/>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第三十二条  协助制作清算报告</w:t>
      </w:r>
    </w:p>
    <w:p>
      <w:pPr>
        <w:keepNext w:val="0"/>
        <w:keepLines w:val="0"/>
        <w:pageBreakBefore w:val="0"/>
        <w:widowControl w:val="0"/>
        <w:numPr>
          <w:ilvl w:val="0"/>
          <w:numId w:val="404"/>
        </w:numPr>
        <w:wordWrap/>
        <w:bidi w:val="0"/>
        <w:spacing w:after="0" w:line="500" w:lineRule="exact"/>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清算结束后，协助清算组制作清算报告。</w:t>
      </w:r>
    </w:p>
    <w:p>
      <w:pPr>
        <w:keepNext w:val="0"/>
        <w:keepLines w:val="0"/>
        <w:pageBreakBefore w:val="0"/>
        <w:widowControl w:val="0"/>
        <w:numPr>
          <w:ilvl w:val="0"/>
          <w:numId w:val="404"/>
        </w:numPr>
        <w:wordWrap/>
        <w:bidi w:val="0"/>
        <w:spacing w:after="0" w:line="500" w:lineRule="exact"/>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协助将清算报告提交股东（大）会确认。（</w:t>
      </w:r>
      <w:r>
        <w:rPr>
          <w:rFonts w:hint="eastAsia" w:ascii="仿宋_GB2312" w:hAnsi="仿宋" w:eastAsia="仿宋_GB2312" w:cs="仿宋"/>
          <w:color w:val="000000"/>
          <w:sz w:val="28"/>
          <w:szCs w:val="28"/>
        </w:rPr>
        <w:t>《公司法》</w:t>
      </w:r>
      <w:r>
        <w:rPr>
          <w:rFonts w:hint="eastAsia" w:ascii="仿宋_GB2312" w:hAnsi="仿宋" w:eastAsia="仿宋_GB2312" w:cs="仿宋"/>
          <w:color w:val="000000"/>
          <w:sz w:val="28"/>
          <w:szCs w:val="28"/>
          <w:shd w:val="clear" w:color="auto" w:fill="FFFFFF"/>
        </w:rPr>
        <w:t>188条）</w:t>
      </w:r>
    </w:p>
    <w:p>
      <w:pPr>
        <w:keepNext w:val="0"/>
        <w:keepLines w:val="0"/>
        <w:pageBreakBefore w:val="0"/>
        <w:widowControl w:val="0"/>
        <w:shd w:val="clear" w:color="auto" w:fill="FFFFFF"/>
        <w:wordWrap/>
        <w:bidi w:val="0"/>
        <w:spacing w:after="0" w:line="500" w:lineRule="exact"/>
        <w:ind w:firstLine="562" w:firstLineChars="200"/>
        <w:jc w:val="both"/>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第三十三条  协助公司办理相关行政批准、备案手续</w:t>
      </w:r>
    </w:p>
    <w:p>
      <w:pPr>
        <w:keepNext w:val="0"/>
        <w:keepLines w:val="0"/>
        <w:pageBreakBefore w:val="0"/>
        <w:widowControl w:val="0"/>
        <w:shd w:val="clear" w:color="auto" w:fill="FFFFFF"/>
        <w:wordWrap/>
        <w:bidi w:val="0"/>
        <w:spacing w:after="0"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法律规定公司清算需要报有关行政主管部门批准的，协助公司及时办理相关报批、报备手续。</w:t>
      </w:r>
    </w:p>
    <w:p>
      <w:pPr>
        <w:keepNext w:val="0"/>
        <w:keepLines w:val="0"/>
        <w:pageBreakBefore w:val="0"/>
        <w:widowControl w:val="0"/>
        <w:shd w:val="clear" w:color="auto" w:fill="FFFFFF"/>
        <w:wordWrap/>
        <w:bidi w:val="0"/>
        <w:spacing w:after="0" w:line="500" w:lineRule="exact"/>
        <w:ind w:firstLine="562" w:firstLineChars="200"/>
        <w:jc w:val="both"/>
        <w:rPr>
          <w:rFonts w:hint="eastAsia" w:ascii="仿宋_GB2312" w:hAnsi="仿宋" w:eastAsia="仿宋_GB2312" w:cs="仿宋"/>
          <w:b/>
          <w:color w:val="000000"/>
          <w:sz w:val="28"/>
          <w:szCs w:val="28"/>
          <w:shd w:val="clear" w:color="auto" w:fill="FFFFFF"/>
        </w:rPr>
      </w:pPr>
      <w:r>
        <w:rPr>
          <w:rFonts w:hint="eastAsia" w:ascii="仿宋_GB2312" w:hAnsi="仿宋" w:eastAsia="仿宋_GB2312" w:cs="仿宋"/>
          <w:b/>
          <w:color w:val="000000"/>
          <w:sz w:val="28"/>
          <w:szCs w:val="28"/>
        </w:rPr>
        <w:t>第三十四条  协助办理公司注销登记手续</w:t>
      </w:r>
    </w:p>
    <w:p>
      <w:pPr>
        <w:keepNext w:val="0"/>
        <w:keepLines w:val="0"/>
        <w:pageBreakBefore w:val="0"/>
        <w:widowControl w:val="0"/>
        <w:numPr>
          <w:ilvl w:val="0"/>
          <w:numId w:val="405"/>
        </w:numPr>
        <w:shd w:val="clear" w:color="auto" w:fill="FFFFFF"/>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协助办理注销税务登记。</w:t>
      </w:r>
    </w:p>
    <w:p>
      <w:pPr>
        <w:keepNext w:val="0"/>
        <w:keepLines w:val="0"/>
        <w:pageBreakBefore w:val="0"/>
        <w:widowControl w:val="0"/>
        <w:numPr>
          <w:ilvl w:val="0"/>
          <w:numId w:val="405"/>
        </w:numPr>
        <w:shd w:val="clear" w:color="auto" w:fill="FFFFFF"/>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协助办理海关报关单位注册登记等其他登记。</w:t>
      </w:r>
    </w:p>
    <w:p>
      <w:pPr>
        <w:keepNext w:val="0"/>
        <w:keepLines w:val="0"/>
        <w:pageBreakBefore w:val="0"/>
        <w:widowControl w:val="0"/>
        <w:numPr>
          <w:ilvl w:val="0"/>
          <w:numId w:val="405"/>
        </w:numPr>
        <w:shd w:val="clear" w:color="auto" w:fill="FFFFFF"/>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协助办理注销公司开立的银行账户。</w:t>
      </w:r>
    </w:p>
    <w:p>
      <w:pPr>
        <w:keepNext w:val="0"/>
        <w:keepLines w:val="0"/>
        <w:pageBreakBefore w:val="0"/>
        <w:widowControl w:val="0"/>
        <w:numPr>
          <w:ilvl w:val="0"/>
          <w:numId w:val="405"/>
        </w:numPr>
        <w:shd w:val="clear" w:color="auto" w:fill="FFFFFF"/>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协助清算组在公司清算结束之日起30日内向公司原登记机关申请注销公司登记。</w:t>
      </w:r>
    </w:p>
    <w:p>
      <w:pPr>
        <w:keepNext w:val="0"/>
        <w:keepLines w:val="0"/>
        <w:pageBreakBefore w:val="0"/>
        <w:widowControl w:val="0"/>
        <w:numPr>
          <w:ilvl w:val="0"/>
          <w:numId w:val="405"/>
        </w:numPr>
        <w:shd w:val="clear" w:color="auto" w:fill="FFFFFF"/>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申请注销公司登记应提交以下资料：</w:t>
      </w:r>
    </w:p>
    <w:p>
      <w:pPr>
        <w:keepNext w:val="0"/>
        <w:keepLines w:val="0"/>
        <w:pageBreakBefore w:val="0"/>
        <w:widowControl w:val="0"/>
        <w:numPr>
          <w:ilvl w:val="0"/>
          <w:numId w:val="406"/>
        </w:numPr>
        <w:shd w:val="clear" w:color="auto" w:fill="FFFFFF"/>
        <w:wordWrap/>
        <w:bidi w:val="0"/>
        <w:spacing w:after="0"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公司清算组负责人签署的《公司注销登记申请书》。</w:t>
      </w:r>
    </w:p>
    <w:p>
      <w:pPr>
        <w:keepNext w:val="0"/>
        <w:keepLines w:val="0"/>
        <w:pageBreakBefore w:val="0"/>
        <w:widowControl w:val="0"/>
        <w:numPr>
          <w:ilvl w:val="0"/>
          <w:numId w:val="406"/>
        </w:numPr>
        <w:shd w:val="clear" w:color="auto" w:fill="FFFFFF"/>
        <w:wordWrap/>
        <w:bidi w:val="0"/>
        <w:spacing w:after="0" w:line="500" w:lineRule="exact"/>
        <w:ind w:firstLine="560"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shd w:val="clear" w:color="auto" w:fill="FFFFFF"/>
        </w:rPr>
        <w:t>《指定代表或者共同委托代理人授权委托书》及指定代表或委托代理人的身份证复印件。</w:t>
      </w:r>
    </w:p>
    <w:p>
      <w:pPr>
        <w:keepNext w:val="0"/>
        <w:keepLines w:val="0"/>
        <w:pageBreakBefore w:val="0"/>
        <w:widowControl w:val="0"/>
        <w:numPr>
          <w:ilvl w:val="0"/>
          <w:numId w:val="406"/>
        </w:numPr>
        <w:shd w:val="clear" w:color="auto" w:fill="FFFFFF"/>
        <w:wordWrap/>
        <w:bidi w:val="0"/>
        <w:spacing w:after="0"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人民法院的关于本公司的解散裁判文书，公司依照《公司法》作出的决议或者决定，行政机关吊销营业执照、责令关闭或者公司被撤销的文件。</w:t>
      </w:r>
    </w:p>
    <w:p>
      <w:pPr>
        <w:keepNext w:val="0"/>
        <w:keepLines w:val="0"/>
        <w:pageBreakBefore w:val="0"/>
        <w:widowControl w:val="0"/>
        <w:numPr>
          <w:ilvl w:val="0"/>
          <w:numId w:val="406"/>
        </w:numPr>
        <w:shd w:val="clear" w:color="auto" w:fill="FFFFFF"/>
        <w:wordWrap/>
        <w:bidi w:val="0"/>
        <w:spacing w:after="0" w:line="500" w:lineRule="exact"/>
        <w:ind w:firstLine="560" w:firstLineChars="200"/>
        <w:jc w:val="both"/>
        <w:rPr>
          <w:rFonts w:hint="eastAsia" w:ascii="仿宋_GB2312" w:hAnsi="仿宋" w:eastAsia="仿宋_GB2312" w:cs="仿宋"/>
          <w:color w:val="000000"/>
          <w:sz w:val="28"/>
          <w:szCs w:val="28"/>
          <w:shd w:val="clear" w:color="auto" w:fill="FFFFFF"/>
        </w:rPr>
      </w:pPr>
      <w:r>
        <w:rPr>
          <w:rFonts w:hint="eastAsia" w:ascii="仿宋_GB2312" w:hAnsi="仿宋" w:eastAsia="仿宋_GB2312" w:cs="仿宋"/>
          <w:color w:val="000000"/>
          <w:sz w:val="28"/>
          <w:szCs w:val="28"/>
        </w:rPr>
        <w:t>股东会、股东大会、一人有限责任公司的股东、外商投资的公司董事会或者公司批准机关备案、确认清算报告的确认文件；</w:t>
      </w:r>
      <w:r>
        <w:rPr>
          <w:rFonts w:hint="eastAsia" w:ascii="仿宋_GB2312" w:hAnsi="仿宋" w:eastAsia="仿宋_GB2312" w:cs="仿宋"/>
          <w:color w:val="000000"/>
          <w:sz w:val="28"/>
          <w:szCs w:val="28"/>
          <w:shd w:val="clear" w:color="auto" w:fill="FFFFFF"/>
        </w:rPr>
        <w:t>有限责任公司由代表三分之二以上表决权的股东签署、股份有限责任公司由股东大会会议主持及出席会议的董事签字确认、一人有限责任公司由股东签署、国有独资公司由国务院或地方人民政府或其授权的本级人民政府国有资产监督管理机构签署确认文件。</w:t>
      </w:r>
    </w:p>
    <w:p>
      <w:pPr>
        <w:keepNext w:val="0"/>
        <w:keepLines w:val="0"/>
        <w:pageBreakBefore w:val="0"/>
        <w:widowControl w:val="0"/>
        <w:numPr>
          <w:ilvl w:val="0"/>
          <w:numId w:val="406"/>
        </w:numPr>
        <w:shd w:val="clear" w:color="auto" w:fill="FFFFFF"/>
        <w:wordWrap/>
        <w:bidi w:val="0"/>
        <w:spacing w:after="0"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shd w:val="clear" w:color="auto" w:fill="FFFFFF"/>
        </w:rPr>
        <w:t>经确认的清算报告。</w:t>
      </w:r>
    </w:p>
    <w:p>
      <w:pPr>
        <w:keepNext w:val="0"/>
        <w:keepLines w:val="0"/>
        <w:pageBreakBefore w:val="0"/>
        <w:widowControl w:val="0"/>
        <w:numPr>
          <w:ilvl w:val="0"/>
          <w:numId w:val="406"/>
        </w:numPr>
        <w:shd w:val="clear" w:color="auto" w:fill="FFFFFF"/>
        <w:wordWrap/>
        <w:bidi w:val="0"/>
        <w:spacing w:after="0"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清算组成员《备案通知书》。</w:t>
      </w:r>
    </w:p>
    <w:p>
      <w:pPr>
        <w:keepNext w:val="0"/>
        <w:keepLines w:val="0"/>
        <w:pageBreakBefore w:val="0"/>
        <w:widowControl w:val="0"/>
        <w:numPr>
          <w:ilvl w:val="0"/>
          <w:numId w:val="406"/>
        </w:numPr>
        <w:shd w:val="clear" w:color="auto" w:fill="FFFFFF"/>
        <w:wordWrap/>
        <w:bidi w:val="0"/>
        <w:spacing w:after="0"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税务机关出具的清税证明。</w:t>
      </w:r>
    </w:p>
    <w:p>
      <w:pPr>
        <w:keepNext w:val="0"/>
        <w:keepLines w:val="0"/>
        <w:pageBreakBefore w:val="0"/>
        <w:widowControl w:val="0"/>
        <w:numPr>
          <w:ilvl w:val="0"/>
          <w:numId w:val="406"/>
        </w:numPr>
        <w:shd w:val="clear" w:color="auto" w:fill="FFFFFF"/>
        <w:wordWrap/>
        <w:bidi w:val="0"/>
        <w:spacing w:after="0"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依法刊登公告的报纸样张。</w:t>
      </w:r>
    </w:p>
    <w:p>
      <w:pPr>
        <w:keepNext w:val="0"/>
        <w:keepLines w:val="0"/>
        <w:pageBreakBefore w:val="0"/>
        <w:widowControl w:val="0"/>
        <w:numPr>
          <w:ilvl w:val="0"/>
          <w:numId w:val="406"/>
        </w:numPr>
        <w:shd w:val="clear" w:color="auto" w:fill="FFFFFF"/>
        <w:wordWrap/>
        <w:bidi w:val="0"/>
        <w:spacing w:after="0"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公司营业执照正、副本。</w:t>
      </w:r>
    </w:p>
    <w:p>
      <w:pPr>
        <w:keepNext w:val="0"/>
        <w:keepLines w:val="0"/>
        <w:pageBreakBefore w:val="0"/>
        <w:widowControl w:val="0"/>
        <w:numPr>
          <w:ilvl w:val="0"/>
          <w:numId w:val="406"/>
        </w:numPr>
        <w:shd w:val="clear" w:color="auto" w:fill="FFFFFF"/>
        <w:wordWrap/>
        <w:bidi w:val="0"/>
        <w:spacing w:after="0"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法律、行政法规规定应当提交的其他文件。</w:t>
      </w:r>
    </w:p>
    <w:p>
      <w:pPr>
        <w:keepNext w:val="0"/>
        <w:keepLines w:val="0"/>
        <w:pageBreakBefore w:val="0"/>
        <w:widowControl w:val="0"/>
        <w:shd w:val="clear" w:color="auto" w:fill="FFFFFF"/>
        <w:wordWrap/>
        <w:bidi w:val="0"/>
        <w:spacing w:after="0" w:line="500" w:lineRule="exact"/>
        <w:ind w:firstLine="562" w:firstLineChars="200"/>
        <w:jc w:val="both"/>
        <w:rPr>
          <w:rFonts w:hint="eastAsia" w:ascii="仿宋_GB2312" w:hAnsi="仿宋" w:eastAsia="仿宋_GB2312" w:cs="仿宋"/>
          <w:b/>
          <w:color w:val="000000"/>
          <w:sz w:val="28"/>
          <w:szCs w:val="28"/>
          <w:shd w:val="clear" w:color="auto" w:fill="FFFFFF"/>
        </w:rPr>
      </w:pPr>
      <w:r>
        <w:rPr>
          <w:rFonts w:hint="eastAsia" w:ascii="仿宋_GB2312" w:hAnsi="仿宋" w:eastAsia="仿宋_GB2312" w:cs="仿宋"/>
          <w:b/>
          <w:color w:val="000000"/>
          <w:sz w:val="28"/>
          <w:szCs w:val="28"/>
        </w:rPr>
        <w:t>第三十五条  公告公司终止</w:t>
      </w:r>
    </w:p>
    <w:p>
      <w:pPr>
        <w:keepNext w:val="0"/>
        <w:keepLines w:val="0"/>
        <w:pageBreakBefore w:val="0"/>
        <w:widowControl w:val="0"/>
        <w:shd w:val="clear" w:color="auto" w:fill="FFFFFF"/>
        <w:wordWrap/>
        <w:bidi w:val="0"/>
        <w:spacing w:after="0"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协助起草、发布公司终止的公告。</w:t>
      </w:r>
    </w:p>
    <w:p>
      <w:pPr>
        <w:keepNext w:val="0"/>
        <w:keepLines w:val="0"/>
        <w:pageBreakBefore w:val="0"/>
        <w:widowControl w:val="0"/>
        <w:shd w:val="clear" w:color="auto" w:fill="FFFFFF"/>
        <w:wordWrap/>
        <w:bidi w:val="0"/>
        <w:spacing w:after="0" w:line="500" w:lineRule="exact"/>
        <w:ind w:firstLine="562" w:firstLineChars="200"/>
        <w:jc w:val="both"/>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第三十六条  注销清算组银行账户和销毁清算组印章</w:t>
      </w:r>
    </w:p>
    <w:p>
      <w:pPr>
        <w:keepNext w:val="0"/>
        <w:keepLines w:val="0"/>
        <w:pageBreakBefore w:val="0"/>
        <w:widowControl w:val="0"/>
        <w:numPr>
          <w:ilvl w:val="0"/>
          <w:numId w:val="407"/>
        </w:numPr>
        <w:shd w:val="clear" w:color="auto" w:fill="FFFFFF"/>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协助清算组依法注销清算组银行账户。</w:t>
      </w:r>
    </w:p>
    <w:p>
      <w:pPr>
        <w:keepNext w:val="0"/>
        <w:keepLines w:val="0"/>
        <w:pageBreakBefore w:val="0"/>
        <w:widowControl w:val="0"/>
        <w:numPr>
          <w:ilvl w:val="0"/>
          <w:numId w:val="407"/>
        </w:numPr>
        <w:shd w:val="clear" w:color="auto" w:fill="FFFFFF"/>
        <w:wordWrap/>
        <w:bidi w:val="0"/>
        <w:spacing w:after="0"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协助清算组依法销毁清算组印章。</w:t>
      </w:r>
    </w:p>
    <w:p>
      <w:pPr>
        <w:keepNext w:val="0"/>
        <w:keepLines w:val="0"/>
        <w:pageBreakBefore w:val="0"/>
        <w:widowControl w:val="0"/>
        <w:wordWrap/>
        <w:bidi w:val="0"/>
        <w:spacing w:after="0" w:line="500" w:lineRule="exact"/>
        <w:jc w:val="center"/>
        <w:rPr>
          <w:rFonts w:hint="eastAsia" w:ascii="仿宋_GB2312" w:hAnsi="黑体" w:eastAsia="仿宋_GB2312" w:cs="黑体"/>
          <w:color w:val="000000"/>
          <w:sz w:val="28"/>
          <w:szCs w:val="28"/>
          <w:shd w:val="clear" w:color="auto" w:fill="FFFFFF"/>
        </w:rPr>
      </w:pPr>
    </w:p>
    <w:p>
      <w:pPr>
        <w:keepNext w:val="0"/>
        <w:keepLines w:val="0"/>
        <w:pageBreakBefore w:val="0"/>
        <w:widowControl w:val="0"/>
        <w:wordWrap/>
        <w:bidi w:val="0"/>
        <w:spacing w:after="0" w:line="500" w:lineRule="exact"/>
        <w:jc w:val="center"/>
        <w:outlineLvl w:val="0"/>
        <w:rPr>
          <w:rFonts w:hint="eastAsia" w:ascii="黑体" w:hAnsi="黑体" w:eastAsia="黑体" w:cs="黑体"/>
          <w:color w:val="000000"/>
          <w:sz w:val="28"/>
          <w:szCs w:val="28"/>
          <w:shd w:val="clear" w:color="auto" w:fill="FFFFFF"/>
        </w:rPr>
      </w:pPr>
      <w:bookmarkStart w:id="700" w:name="_Toc18701"/>
      <w:r>
        <w:rPr>
          <w:rFonts w:hint="eastAsia" w:ascii="黑体" w:hAnsi="黑体" w:eastAsia="黑体" w:cs="黑体"/>
          <w:color w:val="000000"/>
          <w:sz w:val="28"/>
          <w:szCs w:val="28"/>
          <w:shd w:val="clear" w:color="auto" w:fill="FFFFFF"/>
        </w:rPr>
        <w:t>第四章  其他事务</w:t>
      </w:r>
      <w:bookmarkEnd w:id="700"/>
    </w:p>
    <w:p>
      <w:pPr>
        <w:keepNext w:val="0"/>
        <w:keepLines w:val="0"/>
        <w:pageBreakBefore w:val="0"/>
        <w:widowControl w:val="0"/>
        <w:shd w:val="clear" w:color="auto" w:fill="FFFFFF"/>
        <w:wordWrap/>
        <w:bidi w:val="0"/>
        <w:spacing w:after="0" w:line="500" w:lineRule="exact"/>
        <w:ind w:firstLine="562" w:firstLineChars="200"/>
        <w:jc w:val="both"/>
        <w:rPr>
          <w:rFonts w:hint="eastAsia" w:ascii="仿宋_GB2312" w:hAnsi="仿宋" w:eastAsia="仿宋_GB2312" w:cs="仿宋"/>
          <w:b/>
          <w:color w:val="000000"/>
          <w:sz w:val="28"/>
          <w:szCs w:val="28"/>
        </w:rPr>
      </w:pPr>
      <w:r>
        <w:rPr>
          <w:rFonts w:hint="eastAsia" w:ascii="仿宋_GB2312" w:hAnsi="仿宋" w:eastAsia="仿宋_GB2312" w:cs="仿宋"/>
          <w:b/>
          <w:color w:val="000000"/>
          <w:sz w:val="28"/>
          <w:szCs w:val="28"/>
        </w:rPr>
        <w:t>第三十七条  归集、整理、保存参与清算业务的档案资料</w:t>
      </w:r>
    </w:p>
    <w:p>
      <w:pPr>
        <w:keepNext w:val="0"/>
        <w:keepLines w:val="0"/>
        <w:pageBreakBefore w:val="0"/>
        <w:widowControl w:val="0"/>
        <w:shd w:val="clear" w:color="auto" w:fill="FFFFFF"/>
        <w:wordWrap/>
        <w:bidi w:val="0"/>
        <w:spacing w:after="0"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参与清算业务的律师和律师团队，应当将负责起草、审查、制作的相关文书和其他重要业务资料进行归集、整理，形成案卷并交律师事务所档案室保存。</w:t>
      </w:r>
    </w:p>
    <w:p>
      <w:pPr>
        <w:keepNext w:val="0"/>
        <w:keepLines w:val="0"/>
        <w:pageBreakBefore w:val="0"/>
        <w:widowControl w:val="0"/>
        <w:wordWrap/>
        <w:bidi w:val="0"/>
        <w:spacing w:line="500" w:lineRule="exact"/>
        <w:ind w:firstLine="560" w:firstLineChars="200"/>
        <w:rPr>
          <w:rFonts w:hint="eastAsia" w:ascii="方正小标宋简体" w:hAnsi="方正小标宋简体" w:eastAsia="方正小标宋简体" w:cs="方正小标宋简体"/>
          <w:color w:val="000000"/>
          <w:sz w:val="40"/>
          <w:szCs w:val="40"/>
        </w:rPr>
      </w:pPr>
      <w:r>
        <w:rPr>
          <w:rFonts w:hint="eastAsia" w:ascii="仿宋_GB2312" w:hAnsi="宋体" w:eastAsia="仿宋_GB2312"/>
          <w:color w:val="000000"/>
          <w:sz w:val="28"/>
          <w:szCs w:val="28"/>
        </w:rPr>
        <w:br w:type="page"/>
      </w:r>
      <w:r>
        <w:rPr>
          <w:sz w:val="40"/>
          <w:szCs w:val="21"/>
        </w:rPr>
        <mc:AlternateContent>
          <mc:Choice Requires="wps">
            <w:drawing>
              <wp:anchor distT="0" distB="0" distL="114300" distR="114300" simplePos="0" relativeHeight="251698176" behindDoc="0" locked="0" layoutInCell="1" allowOverlap="1">
                <wp:simplePos x="0" y="0"/>
                <wp:positionH relativeFrom="column">
                  <wp:posOffset>-376555</wp:posOffset>
                </wp:positionH>
                <wp:positionV relativeFrom="paragraph">
                  <wp:posOffset>5673090</wp:posOffset>
                </wp:positionV>
                <wp:extent cx="1524000" cy="1071245"/>
                <wp:effectExtent l="4445" t="4445" r="14605" b="10160"/>
                <wp:wrapNone/>
                <wp:docPr id="109" name="矩形 109"/>
                <wp:cNvGraphicFramePr/>
                <a:graphic xmlns:a="http://schemas.openxmlformats.org/drawingml/2006/main">
                  <a:graphicData uri="http://schemas.microsoft.com/office/word/2010/wordprocessingShape">
                    <wps:wsp>
                      <wps:cNvSpPr/>
                      <wps:spPr>
                        <a:xfrm>
                          <a:off x="0" y="0"/>
                          <a:ext cx="1524000" cy="1071245"/>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9.65pt;margin-top:446.7pt;height:84.35pt;width:120pt;z-index:251698176;mso-width-relative:page;mso-height-relative:page;" fillcolor="#FFFFFF" filled="t" stroked="t" coordsize="21600,21600" o:gfxdata="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GSaSbaAAAADAEAAA8AAAAAAAAAAQAgAAAAIgAAAGRycy9kb3ducmV2&#10;LnhtbFBLAQIUABQAAAAIAIdO4kBRh+Uf+gEAACMEAAAOAAAAAAAAAAEAIAAAACkBAABkcnMvZTJv&#10;RG9jLnhtbFBLBQYAAAAABgAGAFkBAACVBQAAAAA=&#10;">
                <v:fill on="t" focussize="0,0"/>
                <v:stroke color="#FFFFFF" joinstyle="miter"/>
                <v:imagedata o:title=""/>
                <o:lock v:ext="edit" aspectratio="f"/>
              </v:rect>
            </w:pict>
          </mc:Fallback>
        </mc:AlternateContent>
      </w:r>
    </w:p>
    <w:p>
      <w:pPr>
        <w:pStyle w:val="31"/>
        <w:keepNext w:val="0"/>
        <w:keepLines w:val="0"/>
        <w:pageBreakBefore w:val="0"/>
        <w:widowControl w:val="0"/>
        <w:wordWrap/>
        <w:bidi w:val="0"/>
        <w:spacing w:before="227" w:beforeLines="50" w:after="227" w:afterLines="50" w:line="500" w:lineRule="exact"/>
        <w:jc w:val="center"/>
        <w:rPr>
          <w:rFonts w:hint="eastAsia" w:ascii="方正小标宋简体" w:hAnsi="方正小标宋简体" w:eastAsia="方正小标宋简体" w:cs="方正小标宋简体"/>
          <w:color w:val="000000"/>
          <w:sz w:val="40"/>
          <w:szCs w:val="40"/>
        </w:rPr>
      </w:pPr>
    </w:p>
    <w:p>
      <w:pPr>
        <w:pStyle w:val="31"/>
        <w:keepNext w:val="0"/>
        <w:keepLines w:val="0"/>
        <w:pageBreakBefore w:val="0"/>
        <w:widowControl w:val="0"/>
        <w:wordWrap/>
        <w:bidi w:val="0"/>
        <w:spacing w:before="227" w:beforeLines="50" w:after="227" w:afterLines="50" w:line="500" w:lineRule="exact"/>
        <w:jc w:val="center"/>
        <w:rPr>
          <w:rFonts w:hint="eastAsia" w:ascii="方正小标宋简体" w:hAnsi="方正小标宋简体" w:eastAsia="方正小标宋简体" w:cs="方正小标宋简体"/>
          <w:color w:val="000000"/>
          <w:sz w:val="40"/>
          <w:szCs w:val="40"/>
        </w:rPr>
      </w:pPr>
    </w:p>
    <w:p>
      <w:pPr>
        <w:pStyle w:val="31"/>
        <w:keepNext w:val="0"/>
        <w:keepLines w:val="0"/>
        <w:pageBreakBefore w:val="0"/>
        <w:widowControl w:val="0"/>
        <w:wordWrap/>
        <w:bidi w:val="0"/>
        <w:spacing w:before="227" w:beforeLines="50" w:after="227" w:afterLines="50" w:line="500" w:lineRule="exact"/>
        <w:jc w:val="center"/>
        <w:rPr>
          <w:rFonts w:hint="eastAsia" w:ascii="方正小标宋简体" w:hAnsi="方正小标宋简体" w:eastAsia="方正小标宋简体" w:cs="方正小标宋简体"/>
          <w:color w:val="000000"/>
          <w:sz w:val="40"/>
          <w:szCs w:val="40"/>
        </w:rPr>
      </w:pPr>
    </w:p>
    <w:p>
      <w:pPr>
        <w:pStyle w:val="31"/>
        <w:keepNext w:val="0"/>
        <w:keepLines w:val="0"/>
        <w:pageBreakBefore w:val="0"/>
        <w:widowControl w:val="0"/>
        <w:wordWrap/>
        <w:bidi w:val="0"/>
        <w:spacing w:line="240" w:lineRule="auto"/>
        <w:jc w:val="center"/>
        <w:outlineLvl w:val="0"/>
        <w:rPr>
          <w:rFonts w:hint="eastAsia" w:ascii="方正小标宋简体" w:hAnsi="方正小标宋简体" w:eastAsia="方正小标宋简体" w:cs="方正小标宋简体"/>
          <w:color w:val="000000"/>
          <w:sz w:val="48"/>
          <w:szCs w:val="48"/>
        </w:rPr>
      </w:pPr>
      <w:bookmarkStart w:id="701" w:name="_Toc13028"/>
      <w:r>
        <w:rPr>
          <w:rFonts w:hint="eastAsia" w:ascii="方正小标宋简体" w:hAnsi="方正小标宋简体" w:eastAsia="方正小标宋简体" w:cs="方正小标宋简体"/>
          <w:color w:val="000000"/>
          <w:sz w:val="48"/>
          <w:szCs w:val="48"/>
        </w:rPr>
        <w:t>破产管理人债权审核</w:t>
      </w:r>
      <w:bookmarkEnd w:id="701"/>
    </w:p>
    <w:p>
      <w:pPr>
        <w:pStyle w:val="31"/>
        <w:keepNext w:val="0"/>
        <w:keepLines w:val="0"/>
        <w:pageBreakBefore w:val="0"/>
        <w:widowControl w:val="0"/>
        <w:wordWrap/>
        <w:bidi w:val="0"/>
        <w:spacing w:line="240" w:lineRule="auto"/>
        <w:jc w:val="center"/>
        <w:outlineLvl w:val="0"/>
        <w:rPr>
          <w:rFonts w:hint="eastAsia" w:ascii="方正小标宋简体" w:hAnsi="方正小标宋简体" w:eastAsia="方正小标宋简体" w:cs="方正小标宋简体"/>
          <w:color w:val="000000"/>
          <w:sz w:val="48"/>
          <w:szCs w:val="48"/>
        </w:rPr>
      </w:pPr>
      <w:bookmarkStart w:id="702" w:name="_Toc1675"/>
      <w:r>
        <w:rPr>
          <w:rFonts w:hint="eastAsia" w:ascii="方正小标宋简体" w:hAnsi="方正小标宋简体" w:eastAsia="方正小标宋简体" w:cs="方正小标宋简体"/>
          <w:color w:val="000000"/>
          <w:sz w:val="48"/>
          <w:szCs w:val="48"/>
        </w:rPr>
        <w:t>业务操作指引</w:t>
      </w:r>
      <w:bookmarkEnd w:id="702"/>
    </w:p>
    <w:p>
      <w:pPr>
        <w:pStyle w:val="31"/>
        <w:keepNext w:val="0"/>
        <w:keepLines w:val="0"/>
        <w:pageBreakBefore w:val="0"/>
        <w:widowControl w:val="0"/>
        <w:wordWrap/>
        <w:bidi w:val="0"/>
        <w:spacing w:line="500" w:lineRule="exact"/>
        <w:jc w:val="center"/>
        <w:rPr>
          <w:rFonts w:ascii="仿宋_GB2312" w:eastAsia="仿宋_GB2312"/>
          <w:color w:val="000000"/>
          <w:sz w:val="48"/>
          <w:szCs w:val="48"/>
        </w:rPr>
      </w:pPr>
      <w:r>
        <w:rPr>
          <w:rFonts w:hint="eastAsia" w:ascii="方正小标宋简体" w:hAnsi="方正小标宋简体" w:eastAsia="方正小标宋简体" w:cs="方正小标宋简体"/>
          <w:color w:val="000000"/>
          <w:sz w:val="48"/>
          <w:szCs w:val="48"/>
        </w:rPr>
        <w:br w:type="page"/>
      </w:r>
    </w:p>
    <w:p>
      <w:pPr>
        <w:pStyle w:val="32"/>
        <w:keepNext w:val="0"/>
        <w:keepLines w:val="0"/>
        <w:pageBreakBefore w:val="0"/>
        <w:widowControl w:val="0"/>
        <w:wordWrap/>
        <w:bidi w:val="0"/>
        <w:spacing w:before="227" w:beforeLines="50" w:after="227" w:afterLines="50" w:line="500" w:lineRule="exact"/>
        <w:jc w:val="center"/>
        <w:rPr>
          <w:rFonts w:hint="eastAsia" w:ascii="方正小标宋简体" w:hAnsi="方正小标宋简体" w:eastAsia="方正小标宋简体" w:cs="方正小标宋简体"/>
          <w:b w:val="0"/>
          <w:bCs w:val="0"/>
          <w:color w:val="000000"/>
          <w:sz w:val="44"/>
          <w:szCs w:val="40"/>
          <w:lang w:val="zh-CN"/>
        </w:rPr>
      </w:pPr>
      <w:r>
        <w:rPr>
          <w:sz w:val="40"/>
        </w:rPr>
        <mc:AlternateContent>
          <mc:Choice Requires="wps">
            <w:drawing>
              <wp:anchor distT="0" distB="0" distL="114300" distR="114300" simplePos="0" relativeHeight="251751424" behindDoc="0" locked="0" layoutInCell="1" allowOverlap="1">
                <wp:simplePos x="0" y="0"/>
                <wp:positionH relativeFrom="column">
                  <wp:posOffset>-519430</wp:posOffset>
                </wp:positionH>
                <wp:positionV relativeFrom="paragraph">
                  <wp:posOffset>5862955</wp:posOffset>
                </wp:positionV>
                <wp:extent cx="1714500" cy="1167130"/>
                <wp:effectExtent l="0" t="0" r="0" b="13970"/>
                <wp:wrapNone/>
                <wp:docPr id="102" name="文本框 102"/>
                <wp:cNvGraphicFramePr/>
                <a:graphic xmlns:a="http://schemas.openxmlformats.org/drawingml/2006/main">
                  <a:graphicData uri="http://schemas.microsoft.com/office/word/2010/wordprocessingShape">
                    <wps:wsp>
                      <wps:cNvSpPr txBox="1"/>
                      <wps:spPr>
                        <a:xfrm>
                          <a:off x="0" y="0"/>
                          <a:ext cx="1714500" cy="1167130"/>
                        </a:xfrm>
                        <a:prstGeom prst="rect">
                          <a:avLst/>
                        </a:prstGeom>
                        <a:solidFill>
                          <a:srgbClr val="FFFFFF"/>
                        </a:solidFill>
                        <a:ln>
                          <a:noFill/>
                        </a:ln>
                      </wps:spPr>
                      <wps:txbx>
                        <w:txbxContent>
                          <w:p/>
                        </w:txbxContent>
                      </wps:txbx>
                      <wps:bodyPr upright="1"/>
                    </wps:wsp>
                  </a:graphicData>
                </a:graphic>
              </wp:anchor>
            </w:drawing>
          </mc:Choice>
          <mc:Fallback>
            <w:pict>
              <v:shape id="_x0000_s1026" o:spid="_x0000_s1026" o:spt="202" type="#_x0000_t202" style="position:absolute;left:0pt;margin-left:-40.9pt;margin-top:461.65pt;height:91.9pt;width:135pt;z-index:251751424;mso-width-relative:page;mso-height-relative:page;" fillcolor="#FFFFFF" filled="t" stroked="f" coordsize="21600,21600" o:gfxdata="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0G8UwtoAAAAMAQAADwAAAAAAAAABACAAAAAiAAAAZHJzL2Rvd25y&#10;ZXYueG1sUEsBAhQAFAAAAAgAh07iQIaK3h7DAQAAfAMAAA4AAAAAAAAAAQAgAAAAKQEAAGRycy9l&#10;Mm9Eb2MueG1sUEsFBgAAAAAGAAYAWQEAAF4FAAAAAA==&#10;">
                <v:fill on="t" focussize="0,0"/>
                <v:stroke on="f"/>
                <v:imagedata o:title=""/>
                <o:lock v:ext="edit" aspectratio="f"/>
                <v:textbox>
                  <w:txbxContent>
                    <w:p/>
                  </w:txbxContent>
                </v:textbox>
              </v:shape>
            </w:pict>
          </mc:Fallback>
        </mc:AlternateContent>
      </w:r>
      <w:r>
        <w:rPr>
          <w:sz w:val="28"/>
          <w:szCs w:val="40"/>
        </w:rPr>
        <mc:AlternateContent>
          <mc:Choice Requires="wps">
            <w:drawing>
              <wp:anchor distT="0" distB="0" distL="114300" distR="114300" simplePos="0" relativeHeight="251688960" behindDoc="0" locked="0" layoutInCell="1" allowOverlap="1">
                <wp:simplePos x="0" y="0"/>
                <wp:positionH relativeFrom="column">
                  <wp:posOffset>-591185</wp:posOffset>
                </wp:positionH>
                <wp:positionV relativeFrom="paragraph">
                  <wp:posOffset>7579360</wp:posOffset>
                </wp:positionV>
                <wp:extent cx="1393190" cy="857250"/>
                <wp:effectExtent l="4445" t="4445" r="12065" b="14605"/>
                <wp:wrapNone/>
                <wp:docPr id="94" name="矩形 94"/>
                <wp:cNvGraphicFramePr/>
                <a:graphic xmlns:a="http://schemas.openxmlformats.org/drawingml/2006/main">
                  <a:graphicData uri="http://schemas.microsoft.com/office/word/2010/wordprocessingShape">
                    <wps:wsp>
                      <wps:cNvSpPr/>
                      <wps:spPr>
                        <a:xfrm>
                          <a:off x="0" y="0"/>
                          <a:ext cx="1393190" cy="857250"/>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46.55pt;margin-top:596.8pt;height:67.5pt;width:109.7pt;z-index:251688960;mso-width-relative:page;mso-height-relative:page;" fillcolor="#FFFFFF" filled="t" stroked="t" coordsize="21600,21600" o:gfxdata="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5Ax2NkAAAANAQAADwAAAAAAAAABACAAAAAiAAAAZHJzL2Rvd25yZXYu&#10;eG1sUEsBAhQAFAAAAAgAh07iQMOZIrH6AQAAIAQAAA4AAAAAAAAAAQAgAAAAKAEAAGRycy9lMm9E&#10;b2MueG1sUEsFBgAAAAAGAAYAWQEAAJQFAAAAAA==&#10;">
                <v:fill on="t" focussize="0,0"/>
                <v:stroke color="#FFFFFF" joinstyle="miter"/>
                <v:imagedata o:title=""/>
                <o:lock v:ext="edit" aspectratio="f"/>
              </v:rect>
            </w:pict>
          </mc:Fallback>
        </mc:AlternateContent>
      </w:r>
      <w:r>
        <w:rPr>
          <w:rFonts w:hint="eastAsia" w:ascii="仿宋_GB2312" w:hAnsi="宋体" w:eastAsia="仿宋_GB2312"/>
          <w:color w:val="000000"/>
          <w:sz w:val="28"/>
          <w:szCs w:val="28"/>
          <w:lang w:val="zh-CN"/>
        </w:rPr>
        <w:br w:type="page"/>
      </w:r>
      <w:r>
        <w:rPr>
          <w:rFonts w:hint="eastAsia" w:ascii="方正小标宋简体" w:hAnsi="方正小标宋简体" w:eastAsia="方正小标宋简体" w:cs="方正小标宋简体"/>
          <w:b w:val="0"/>
          <w:bCs w:val="0"/>
          <w:color w:val="000000"/>
          <w:sz w:val="44"/>
          <w:szCs w:val="40"/>
          <w:lang w:val="zh-CN"/>
        </w:rPr>
        <w:t>目</w:t>
      </w:r>
      <w:r>
        <w:rPr>
          <w:rFonts w:hint="eastAsia" w:ascii="方正小标宋简体" w:hAnsi="方正小标宋简体" w:eastAsia="方正小标宋简体" w:cs="方正小标宋简体"/>
          <w:b w:val="0"/>
          <w:bCs w:val="0"/>
          <w:color w:val="000000"/>
          <w:sz w:val="44"/>
          <w:szCs w:val="40"/>
        </w:rPr>
        <w:t xml:space="preserve">   </w:t>
      </w:r>
      <w:r>
        <w:rPr>
          <w:rFonts w:hint="eastAsia" w:ascii="方正小标宋简体" w:hAnsi="方正小标宋简体" w:eastAsia="方正小标宋简体" w:cs="方正小标宋简体"/>
          <w:b w:val="0"/>
          <w:bCs w:val="0"/>
          <w:color w:val="000000"/>
          <w:sz w:val="44"/>
          <w:szCs w:val="40"/>
          <w:lang w:val="zh-CN"/>
        </w:rPr>
        <w:t>录</w:t>
      </w:r>
    </w:p>
    <w:p>
      <w:pPr>
        <w:keepNext w:val="0"/>
        <w:keepLines w:val="0"/>
        <w:pageBreakBefore w:val="0"/>
        <w:widowControl w:val="0"/>
        <w:wordWrap/>
        <w:bidi w:val="0"/>
        <w:spacing w:line="500" w:lineRule="exact"/>
        <w:rPr>
          <w:color w:val="000000"/>
          <w:sz w:val="20"/>
          <w:szCs w:val="21"/>
          <w:lang w:val="zh-CN"/>
        </w:rPr>
      </w:pPr>
    </w:p>
    <w:p>
      <w:pPr>
        <w:pStyle w:val="11"/>
        <w:keepNext w:val="0"/>
        <w:keepLines w:val="0"/>
        <w:pageBreakBefore w:val="0"/>
        <w:widowControl w:val="0"/>
        <w:tabs>
          <w:tab w:val="right" w:leader="dot" w:pos="8296"/>
          <w:tab w:val="clear" w:pos="8720"/>
        </w:tabs>
        <w:wordWrap/>
        <w:bidi w:val="0"/>
        <w:spacing w:before="0" w:after="0" w:line="500" w:lineRule="exact"/>
        <w:ind w:firstLine="560" w:firstLineChars="200"/>
        <w:jc w:val="left"/>
        <w:rPr>
          <w:rFonts w:hint="eastAsia" w:ascii="仿宋_GB2312" w:hAnsi="仿宋" w:eastAsia="仿宋_GB2312" w:cs="仿宋"/>
          <w:b w:val="0"/>
          <w:bCs w:val="0"/>
          <w:i w:val="0"/>
          <w:iCs w:val="0"/>
          <w:color w:val="000000"/>
          <w:sz w:val="28"/>
          <w:szCs w:val="28"/>
        </w:rPr>
      </w:pPr>
      <w:r>
        <w:rPr>
          <w:rFonts w:hint="eastAsia" w:ascii="仿宋_GB2312" w:hAnsi="宋体" w:eastAsia="仿宋_GB2312"/>
          <w:color w:val="000000"/>
          <w:sz w:val="28"/>
          <w:szCs w:val="28"/>
        </w:rPr>
        <w:fldChar w:fldCharType="begin"/>
      </w:r>
      <w:r>
        <w:rPr>
          <w:rFonts w:hint="eastAsia" w:ascii="仿宋_GB2312" w:hAnsi="宋体" w:eastAsia="仿宋_GB2312"/>
          <w:color w:val="000000"/>
          <w:sz w:val="28"/>
          <w:szCs w:val="28"/>
        </w:rPr>
        <w:instrText xml:space="preserve"> TOC \o "1-3" \h \z \u </w:instrText>
      </w:r>
      <w:r>
        <w:rPr>
          <w:rFonts w:hint="eastAsia" w:ascii="仿宋_GB2312" w:hAnsi="宋体" w:eastAsia="仿宋_GB2312"/>
          <w:color w:val="000000"/>
          <w:sz w:val="28"/>
          <w:szCs w:val="28"/>
        </w:rPr>
        <w:fldChar w:fldCharType="separate"/>
      </w:r>
      <w:r>
        <w:rPr>
          <w:rFonts w:hint="eastAsia" w:ascii="仿宋_GB2312" w:hAnsi="仿宋" w:eastAsia="仿宋_GB2312" w:cs="仿宋"/>
          <w:b w:val="0"/>
          <w:bCs w:val="0"/>
          <w:i w:val="0"/>
          <w:iCs w:val="0"/>
          <w:color w:val="000000"/>
          <w:sz w:val="28"/>
          <w:szCs w:val="28"/>
        </w:rPr>
        <w:fldChar w:fldCharType="begin"/>
      </w:r>
      <w:r>
        <w:rPr>
          <w:rFonts w:hint="eastAsia" w:ascii="仿宋_GB2312" w:hAnsi="仿宋" w:eastAsia="仿宋_GB2312" w:cs="仿宋"/>
          <w:b w:val="0"/>
          <w:bCs w:val="0"/>
          <w:i w:val="0"/>
          <w:iCs w:val="0"/>
          <w:color w:val="000000"/>
          <w:sz w:val="28"/>
          <w:szCs w:val="28"/>
        </w:rPr>
        <w:instrText xml:space="preserve"> HYPERLINK \l "_Toc73461831" </w:instrText>
      </w:r>
      <w:r>
        <w:rPr>
          <w:rFonts w:hint="eastAsia" w:ascii="仿宋_GB2312" w:hAnsi="仿宋" w:eastAsia="仿宋_GB2312" w:cs="仿宋"/>
          <w:b w:val="0"/>
          <w:bCs w:val="0"/>
          <w:i w:val="0"/>
          <w:iCs w:val="0"/>
          <w:color w:val="000000"/>
          <w:sz w:val="28"/>
          <w:szCs w:val="28"/>
        </w:rPr>
        <w:fldChar w:fldCharType="separate"/>
      </w:r>
      <w:r>
        <w:rPr>
          <w:rStyle w:val="20"/>
          <w:rFonts w:hint="eastAsia" w:ascii="仿宋_GB2312" w:hAnsi="仿宋" w:eastAsia="仿宋_GB2312" w:cs="仿宋"/>
          <w:b w:val="0"/>
          <w:bCs w:val="0"/>
          <w:i w:val="0"/>
          <w:iCs w:val="0"/>
          <w:color w:val="000000"/>
          <w:sz w:val="28"/>
          <w:szCs w:val="28"/>
        </w:rPr>
        <w:t>第一章  总则</w:t>
      </w:r>
      <w:r>
        <w:rPr>
          <w:rFonts w:hint="eastAsia" w:ascii="仿宋_GB2312" w:hAnsi="仿宋" w:eastAsia="仿宋_GB2312" w:cs="仿宋"/>
          <w:b w:val="0"/>
          <w:bCs w:val="0"/>
          <w:i w:val="0"/>
          <w:iCs w:val="0"/>
          <w:color w:val="000000"/>
          <w:sz w:val="28"/>
          <w:szCs w:val="28"/>
        </w:rPr>
        <w:fldChar w:fldCharType="end"/>
      </w:r>
    </w:p>
    <w:p>
      <w:pPr>
        <w:pStyle w:val="11"/>
        <w:keepNext w:val="0"/>
        <w:keepLines w:val="0"/>
        <w:pageBreakBefore w:val="0"/>
        <w:widowControl w:val="0"/>
        <w:tabs>
          <w:tab w:val="right" w:leader="dot" w:pos="8296"/>
          <w:tab w:val="clear" w:pos="8720"/>
        </w:tabs>
        <w:wordWrap/>
        <w:bidi w:val="0"/>
        <w:spacing w:before="0" w:after="0" w:line="500" w:lineRule="exact"/>
        <w:ind w:firstLine="560" w:firstLineChars="200"/>
        <w:jc w:val="left"/>
        <w:rPr>
          <w:rFonts w:hint="eastAsia" w:ascii="仿宋_GB2312" w:hAnsi="仿宋" w:eastAsia="仿宋_GB2312" w:cs="仿宋"/>
          <w:b w:val="0"/>
          <w:bCs w:val="0"/>
          <w:i w:val="0"/>
          <w:iCs w:val="0"/>
          <w:color w:val="000000"/>
          <w:sz w:val="28"/>
          <w:szCs w:val="28"/>
        </w:rPr>
      </w:pPr>
      <w:r>
        <w:rPr>
          <w:rFonts w:hint="eastAsia" w:ascii="仿宋_GB2312" w:hAnsi="仿宋" w:eastAsia="仿宋_GB2312" w:cs="仿宋"/>
          <w:b w:val="0"/>
          <w:bCs w:val="0"/>
          <w:i w:val="0"/>
          <w:iCs w:val="0"/>
          <w:color w:val="000000"/>
          <w:sz w:val="28"/>
          <w:szCs w:val="28"/>
        </w:rPr>
        <w:fldChar w:fldCharType="begin"/>
      </w:r>
      <w:r>
        <w:rPr>
          <w:rFonts w:hint="eastAsia" w:ascii="仿宋_GB2312" w:hAnsi="仿宋" w:eastAsia="仿宋_GB2312" w:cs="仿宋"/>
          <w:b w:val="0"/>
          <w:bCs w:val="0"/>
          <w:i w:val="0"/>
          <w:iCs w:val="0"/>
          <w:color w:val="000000"/>
          <w:sz w:val="28"/>
          <w:szCs w:val="28"/>
        </w:rPr>
        <w:instrText xml:space="preserve"> HYPERLINK \l "_Toc73461832" </w:instrText>
      </w:r>
      <w:r>
        <w:rPr>
          <w:rFonts w:hint="eastAsia" w:ascii="仿宋_GB2312" w:hAnsi="仿宋" w:eastAsia="仿宋_GB2312" w:cs="仿宋"/>
          <w:b w:val="0"/>
          <w:bCs w:val="0"/>
          <w:i w:val="0"/>
          <w:iCs w:val="0"/>
          <w:color w:val="000000"/>
          <w:sz w:val="28"/>
          <w:szCs w:val="28"/>
        </w:rPr>
        <w:fldChar w:fldCharType="separate"/>
      </w:r>
      <w:r>
        <w:rPr>
          <w:rStyle w:val="20"/>
          <w:rFonts w:hint="eastAsia" w:ascii="仿宋_GB2312" w:hAnsi="仿宋" w:eastAsia="仿宋_GB2312" w:cs="仿宋"/>
          <w:b w:val="0"/>
          <w:bCs w:val="0"/>
          <w:i w:val="0"/>
          <w:iCs w:val="0"/>
          <w:color w:val="000000"/>
          <w:sz w:val="28"/>
          <w:szCs w:val="28"/>
        </w:rPr>
        <w:t>第二章  债权审核流程</w:t>
      </w:r>
      <w:r>
        <w:rPr>
          <w:rFonts w:hint="eastAsia" w:ascii="仿宋_GB2312" w:hAnsi="仿宋" w:eastAsia="仿宋_GB2312" w:cs="仿宋"/>
          <w:b w:val="0"/>
          <w:bCs w:val="0"/>
          <w:i w:val="0"/>
          <w:iCs w:val="0"/>
          <w:color w:val="000000"/>
          <w:sz w:val="28"/>
          <w:szCs w:val="28"/>
        </w:rPr>
        <w:fldChar w:fldCharType="end"/>
      </w:r>
    </w:p>
    <w:p>
      <w:pPr>
        <w:pStyle w:val="13"/>
        <w:keepNext w:val="0"/>
        <w:keepLines w:val="0"/>
        <w:pageBreakBefore w:val="0"/>
        <w:widowControl w:val="0"/>
        <w:tabs>
          <w:tab w:val="right" w:leader="dot" w:pos="8296"/>
        </w:tabs>
        <w:wordWrap/>
        <w:bidi w:val="0"/>
        <w:spacing w:line="500" w:lineRule="exact"/>
        <w:ind w:left="0" w:firstLine="560" w:firstLineChars="200"/>
        <w:jc w:val="left"/>
        <w:rPr>
          <w:rFonts w:hint="eastAsia" w:ascii="仿宋_GB2312" w:hAnsi="仿宋" w:eastAsia="仿宋_GB2312" w:cs="仿宋"/>
          <w:i w:val="0"/>
          <w:iCs w:val="0"/>
          <w:color w:val="000000"/>
          <w:sz w:val="28"/>
          <w:szCs w:val="28"/>
        </w:rPr>
      </w:pPr>
      <w:r>
        <w:rPr>
          <w:rFonts w:hint="eastAsia" w:ascii="仿宋_GB2312" w:hAnsi="仿宋" w:eastAsia="仿宋_GB2312" w:cs="仿宋"/>
          <w:i w:val="0"/>
          <w:iCs w:val="0"/>
          <w:color w:val="000000"/>
          <w:sz w:val="28"/>
          <w:szCs w:val="28"/>
        </w:rPr>
        <w:fldChar w:fldCharType="begin"/>
      </w:r>
      <w:r>
        <w:rPr>
          <w:rFonts w:hint="eastAsia" w:ascii="仿宋_GB2312" w:hAnsi="仿宋" w:eastAsia="仿宋_GB2312" w:cs="仿宋"/>
          <w:i w:val="0"/>
          <w:iCs w:val="0"/>
          <w:color w:val="000000"/>
          <w:sz w:val="28"/>
          <w:szCs w:val="28"/>
        </w:rPr>
        <w:instrText xml:space="preserve"> HYPERLINK \l "_Toc73461833" </w:instrText>
      </w:r>
      <w:r>
        <w:rPr>
          <w:rFonts w:hint="eastAsia" w:ascii="仿宋_GB2312" w:hAnsi="仿宋" w:eastAsia="仿宋_GB2312" w:cs="仿宋"/>
          <w:i w:val="0"/>
          <w:iCs w:val="0"/>
          <w:color w:val="000000"/>
          <w:sz w:val="28"/>
          <w:szCs w:val="28"/>
        </w:rPr>
        <w:fldChar w:fldCharType="separate"/>
      </w:r>
      <w:r>
        <w:rPr>
          <w:rStyle w:val="20"/>
          <w:rFonts w:hint="eastAsia" w:ascii="仿宋_GB2312" w:hAnsi="仿宋" w:eastAsia="仿宋_GB2312" w:cs="仿宋"/>
          <w:i w:val="0"/>
          <w:iCs w:val="0"/>
          <w:color w:val="000000"/>
          <w:sz w:val="28"/>
          <w:szCs w:val="28"/>
        </w:rPr>
        <w:t>第一节  债权通知和公告</w:t>
      </w:r>
      <w:r>
        <w:rPr>
          <w:rFonts w:hint="eastAsia" w:ascii="仿宋_GB2312" w:hAnsi="仿宋" w:eastAsia="仿宋_GB2312" w:cs="仿宋"/>
          <w:i w:val="0"/>
          <w:iCs w:val="0"/>
          <w:color w:val="000000"/>
          <w:sz w:val="28"/>
          <w:szCs w:val="28"/>
        </w:rPr>
        <w:fldChar w:fldCharType="end"/>
      </w:r>
    </w:p>
    <w:p>
      <w:pPr>
        <w:pStyle w:val="13"/>
        <w:keepNext w:val="0"/>
        <w:keepLines w:val="0"/>
        <w:pageBreakBefore w:val="0"/>
        <w:widowControl w:val="0"/>
        <w:tabs>
          <w:tab w:val="right" w:leader="dot" w:pos="8296"/>
        </w:tabs>
        <w:wordWrap/>
        <w:bidi w:val="0"/>
        <w:spacing w:line="500" w:lineRule="exact"/>
        <w:ind w:left="0" w:firstLine="560" w:firstLineChars="200"/>
        <w:jc w:val="left"/>
        <w:rPr>
          <w:rFonts w:hint="eastAsia" w:ascii="仿宋_GB2312" w:hAnsi="仿宋" w:eastAsia="仿宋_GB2312" w:cs="仿宋"/>
          <w:i w:val="0"/>
          <w:iCs w:val="0"/>
          <w:color w:val="000000"/>
          <w:sz w:val="28"/>
          <w:szCs w:val="28"/>
        </w:rPr>
      </w:pPr>
      <w:r>
        <w:rPr>
          <w:rFonts w:hint="eastAsia" w:ascii="仿宋_GB2312" w:hAnsi="仿宋" w:eastAsia="仿宋_GB2312" w:cs="仿宋"/>
          <w:i w:val="0"/>
          <w:iCs w:val="0"/>
          <w:color w:val="000000"/>
          <w:sz w:val="28"/>
          <w:szCs w:val="28"/>
        </w:rPr>
        <w:fldChar w:fldCharType="begin"/>
      </w:r>
      <w:r>
        <w:rPr>
          <w:rFonts w:hint="eastAsia" w:ascii="仿宋_GB2312" w:hAnsi="仿宋" w:eastAsia="仿宋_GB2312" w:cs="仿宋"/>
          <w:i w:val="0"/>
          <w:iCs w:val="0"/>
          <w:color w:val="000000"/>
          <w:sz w:val="28"/>
          <w:szCs w:val="28"/>
        </w:rPr>
        <w:instrText xml:space="preserve"> HYPERLINK \l "_Toc73461834" </w:instrText>
      </w:r>
      <w:r>
        <w:rPr>
          <w:rFonts w:hint="eastAsia" w:ascii="仿宋_GB2312" w:hAnsi="仿宋" w:eastAsia="仿宋_GB2312" w:cs="仿宋"/>
          <w:i w:val="0"/>
          <w:iCs w:val="0"/>
          <w:color w:val="000000"/>
          <w:sz w:val="28"/>
          <w:szCs w:val="28"/>
        </w:rPr>
        <w:fldChar w:fldCharType="separate"/>
      </w:r>
      <w:r>
        <w:rPr>
          <w:rStyle w:val="20"/>
          <w:rFonts w:hint="eastAsia" w:ascii="仿宋_GB2312" w:hAnsi="仿宋" w:eastAsia="仿宋_GB2312" w:cs="仿宋"/>
          <w:i w:val="0"/>
          <w:iCs w:val="0"/>
          <w:color w:val="000000"/>
          <w:sz w:val="28"/>
          <w:szCs w:val="28"/>
        </w:rPr>
        <w:t>第二节  债权申报接收</w:t>
      </w:r>
      <w:r>
        <w:rPr>
          <w:rFonts w:hint="eastAsia" w:ascii="仿宋_GB2312" w:hAnsi="仿宋" w:eastAsia="仿宋_GB2312" w:cs="仿宋"/>
          <w:i w:val="0"/>
          <w:iCs w:val="0"/>
          <w:color w:val="000000"/>
          <w:sz w:val="28"/>
          <w:szCs w:val="28"/>
        </w:rPr>
        <w:fldChar w:fldCharType="end"/>
      </w:r>
    </w:p>
    <w:p>
      <w:pPr>
        <w:pStyle w:val="13"/>
        <w:keepNext w:val="0"/>
        <w:keepLines w:val="0"/>
        <w:pageBreakBefore w:val="0"/>
        <w:widowControl w:val="0"/>
        <w:tabs>
          <w:tab w:val="right" w:leader="dot" w:pos="8296"/>
        </w:tabs>
        <w:wordWrap/>
        <w:bidi w:val="0"/>
        <w:spacing w:line="500" w:lineRule="exact"/>
        <w:ind w:left="0" w:firstLine="560" w:firstLineChars="200"/>
        <w:jc w:val="left"/>
        <w:rPr>
          <w:rFonts w:hint="eastAsia" w:ascii="仿宋_GB2312" w:hAnsi="仿宋" w:eastAsia="仿宋_GB2312" w:cs="仿宋"/>
          <w:i w:val="0"/>
          <w:iCs w:val="0"/>
          <w:color w:val="000000"/>
          <w:sz w:val="28"/>
          <w:szCs w:val="28"/>
        </w:rPr>
      </w:pPr>
      <w:r>
        <w:rPr>
          <w:rFonts w:hint="eastAsia" w:ascii="仿宋_GB2312" w:hAnsi="仿宋" w:eastAsia="仿宋_GB2312" w:cs="仿宋"/>
          <w:i w:val="0"/>
          <w:iCs w:val="0"/>
          <w:color w:val="000000"/>
          <w:sz w:val="28"/>
          <w:szCs w:val="28"/>
        </w:rPr>
        <w:fldChar w:fldCharType="begin"/>
      </w:r>
      <w:r>
        <w:rPr>
          <w:rFonts w:hint="eastAsia" w:ascii="仿宋_GB2312" w:hAnsi="仿宋" w:eastAsia="仿宋_GB2312" w:cs="仿宋"/>
          <w:i w:val="0"/>
          <w:iCs w:val="0"/>
          <w:color w:val="000000"/>
          <w:sz w:val="28"/>
          <w:szCs w:val="28"/>
        </w:rPr>
        <w:instrText xml:space="preserve"> HYPERLINK \l "_Toc73461835" </w:instrText>
      </w:r>
      <w:r>
        <w:rPr>
          <w:rFonts w:hint="eastAsia" w:ascii="仿宋_GB2312" w:hAnsi="仿宋" w:eastAsia="仿宋_GB2312" w:cs="仿宋"/>
          <w:i w:val="0"/>
          <w:iCs w:val="0"/>
          <w:color w:val="000000"/>
          <w:sz w:val="28"/>
          <w:szCs w:val="28"/>
        </w:rPr>
        <w:fldChar w:fldCharType="separate"/>
      </w:r>
      <w:r>
        <w:rPr>
          <w:rStyle w:val="20"/>
          <w:rFonts w:hint="eastAsia" w:ascii="仿宋_GB2312" w:hAnsi="仿宋" w:eastAsia="仿宋_GB2312" w:cs="仿宋"/>
          <w:i w:val="0"/>
          <w:iCs w:val="0"/>
          <w:color w:val="000000"/>
          <w:sz w:val="28"/>
          <w:szCs w:val="28"/>
        </w:rPr>
        <w:t>第三节  债权审核流程</w:t>
      </w:r>
      <w:r>
        <w:rPr>
          <w:rFonts w:hint="eastAsia" w:ascii="仿宋_GB2312" w:hAnsi="仿宋" w:eastAsia="仿宋_GB2312" w:cs="仿宋"/>
          <w:i w:val="0"/>
          <w:iCs w:val="0"/>
          <w:color w:val="000000"/>
          <w:sz w:val="28"/>
          <w:szCs w:val="28"/>
        </w:rPr>
        <w:fldChar w:fldCharType="end"/>
      </w:r>
    </w:p>
    <w:p>
      <w:pPr>
        <w:pStyle w:val="13"/>
        <w:keepNext w:val="0"/>
        <w:keepLines w:val="0"/>
        <w:pageBreakBefore w:val="0"/>
        <w:widowControl w:val="0"/>
        <w:tabs>
          <w:tab w:val="right" w:leader="dot" w:pos="8296"/>
        </w:tabs>
        <w:wordWrap/>
        <w:bidi w:val="0"/>
        <w:spacing w:line="500" w:lineRule="exact"/>
        <w:ind w:left="0" w:firstLine="560" w:firstLineChars="200"/>
        <w:jc w:val="left"/>
        <w:rPr>
          <w:rFonts w:hint="eastAsia" w:ascii="仿宋_GB2312" w:hAnsi="仿宋" w:eastAsia="仿宋_GB2312" w:cs="仿宋"/>
          <w:i w:val="0"/>
          <w:iCs w:val="0"/>
          <w:color w:val="000000"/>
          <w:sz w:val="28"/>
          <w:szCs w:val="28"/>
        </w:rPr>
      </w:pPr>
      <w:r>
        <w:rPr>
          <w:rFonts w:hint="eastAsia" w:ascii="仿宋_GB2312" w:hAnsi="仿宋" w:eastAsia="仿宋_GB2312" w:cs="仿宋"/>
          <w:i w:val="0"/>
          <w:iCs w:val="0"/>
          <w:color w:val="000000"/>
          <w:sz w:val="28"/>
          <w:szCs w:val="28"/>
        </w:rPr>
        <w:fldChar w:fldCharType="begin"/>
      </w:r>
      <w:r>
        <w:rPr>
          <w:rFonts w:hint="eastAsia" w:ascii="仿宋_GB2312" w:hAnsi="仿宋" w:eastAsia="仿宋_GB2312" w:cs="仿宋"/>
          <w:i w:val="0"/>
          <w:iCs w:val="0"/>
          <w:color w:val="000000"/>
          <w:sz w:val="28"/>
          <w:szCs w:val="28"/>
        </w:rPr>
        <w:instrText xml:space="preserve"> HYPERLINK \l "_Toc73461836" </w:instrText>
      </w:r>
      <w:r>
        <w:rPr>
          <w:rFonts w:hint="eastAsia" w:ascii="仿宋_GB2312" w:hAnsi="仿宋" w:eastAsia="仿宋_GB2312" w:cs="仿宋"/>
          <w:i w:val="0"/>
          <w:iCs w:val="0"/>
          <w:color w:val="000000"/>
          <w:sz w:val="28"/>
          <w:szCs w:val="28"/>
        </w:rPr>
        <w:fldChar w:fldCharType="separate"/>
      </w:r>
      <w:r>
        <w:rPr>
          <w:rStyle w:val="20"/>
          <w:rFonts w:hint="eastAsia" w:ascii="仿宋_GB2312" w:hAnsi="仿宋" w:eastAsia="仿宋_GB2312" w:cs="仿宋"/>
          <w:i w:val="0"/>
          <w:iCs w:val="0"/>
          <w:color w:val="000000"/>
          <w:sz w:val="28"/>
          <w:szCs w:val="28"/>
        </w:rPr>
        <w:t>第四节  债权人会议核查</w:t>
      </w:r>
      <w:r>
        <w:rPr>
          <w:rFonts w:hint="eastAsia" w:ascii="仿宋_GB2312" w:hAnsi="仿宋" w:eastAsia="仿宋_GB2312" w:cs="仿宋"/>
          <w:i w:val="0"/>
          <w:iCs w:val="0"/>
          <w:color w:val="000000"/>
          <w:sz w:val="28"/>
          <w:szCs w:val="28"/>
        </w:rPr>
        <w:fldChar w:fldCharType="end"/>
      </w:r>
    </w:p>
    <w:p>
      <w:pPr>
        <w:pStyle w:val="11"/>
        <w:keepNext w:val="0"/>
        <w:keepLines w:val="0"/>
        <w:pageBreakBefore w:val="0"/>
        <w:widowControl w:val="0"/>
        <w:tabs>
          <w:tab w:val="right" w:leader="dot" w:pos="8296"/>
          <w:tab w:val="clear" w:pos="8720"/>
        </w:tabs>
        <w:wordWrap/>
        <w:bidi w:val="0"/>
        <w:spacing w:before="0" w:after="0" w:line="500" w:lineRule="exact"/>
        <w:ind w:firstLine="560" w:firstLineChars="200"/>
        <w:jc w:val="left"/>
        <w:rPr>
          <w:rFonts w:hint="eastAsia" w:ascii="仿宋_GB2312" w:hAnsi="仿宋" w:eastAsia="仿宋_GB2312" w:cs="仿宋"/>
          <w:b w:val="0"/>
          <w:bCs w:val="0"/>
          <w:i w:val="0"/>
          <w:iCs w:val="0"/>
          <w:color w:val="000000"/>
          <w:sz w:val="28"/>
          <w:szCs w:val="28"/>
        </w:rPr>
      </w:pPr>
      <w:r>
        <w:rPr>
          <w:rFonts w:hint="eastAsia" w:ascii="仿宋_GB2312" w:hAnsi="仿宋" w:eastAsia="仿宋_GB2312" w:cs="仿宋"/>
          <w:b w:val="0"/>
          <w:bCs w:val="0"/>
          <w:i w:val="0"/>
          <w:iCs w:val="0"/>
          <w:color w:val="000000"/>
          <w:sz w:val="28"/>
          <w:szCs w:val="28"/>
        </w:rPr>
        <w:fldChar w:fldCharType="begin"/>
      </w:r>
      <w:r>
        <w:rPr>
          <w:rFonts w:hint="eastAsia" w:ascii="仿宋_GB2312" w:hAnsi="仿宋" w:eastAsia="仿宋_GB2312" w:cs="仿宋"/>
          <w:b w:val="0"/>
          <w:bCs w:val="0"/>
          <w:i w:val="0"/>
          <w:iCs w:val="0"/>
          <w:color w:val="000000"/>
          <w:sz w:val="28"/>
          <w:szCs w:val="28"/>
        </w:rPr>
        <w:instrText xml:space="preserve"> HYPERLINK \l "_Toc73461837" </w:instrText>
      </w:r>
      <w:r>
        <w:rPr>
          <w:rFonts w:hint="eastAsia" w:ascii="仿宋_GB2312" w:hAnsi="仿宋" w:eastAsia="仿宋_GB2312" w:cs="仿宋"/>
          <w:b w:val="0"/>
          <w:bCs w:val="0"/>
          <w:i w:val="0"/>
          <w:iCs w:val="0"/>
          <w:color w:val="000000"/>
          <w:sz w:val="28"/>
          <w:szCs w:val="28"/>
        </w:rPr>
        <w:fldChar w:fldCharType="separate"/>
      </w:r>
      <w:r>
        <w:rPr>
          <w:rStyle w:val="20"/>
          <w:rFonts w:hint="eastAsia" w:ascii="仿宋_GB2312" w:hAnsi="仿宋" w:eastAsia="仿宋_GB2312" w:cs="仿宋"/>
          <w:b w:val="0"/>
          <w:bCs w:val="0"/>
          <w:i w:val="0"/>
          <w:iCs w:val="0"/>
          <w:color w:val="000000"/>
          <w:sz w:val="28"/>
          <w:szCs w:val="28"/>
        </w:rPr>
        <w:t>第三章  债权审核标准</w:t>
      </w:r>
      <w:r>
        <w:rPr>
          <w:rFonts w:hint="eastAsia" w:ascii="仿宋_GB2312" w:hAnsi="仿宋" w:eastAsia="仿宋_GB2312" w:cs="仿宋"/>
          <w:b w:val="0"/>
          <w:bCs w:val="0"/>
          <w:i w:val="0"/>
          <w:iCs w:val="0"/>
          <w:color w:val="000000"/>
          <w:sz w:val="28"/>
          <w:szCs w:val="28"/>
        </w:rPr>
        <w:fldChar w:fldCharType="end"/>
      </w:r>
    </w:p>
    <w:p>
      <w:pPr>
        <w:pStyle w:val="13"/>
        <w:keepNext w:val="0"/>
        <w:keepLines w:val="0"/>
        <w:pageBreakBefore w:val="0"/>
        <w:widowControl w:val="0"/>
        <w:tabs>
          <w:tab w:val="right" w:leader="dot" w:pos="8296"/>
        </w:tabs>
        <w:wordWrap/>
        <w:bidi w:val="0"/>
        <w:spacing w:line="500" w:lineRule="exact"/>
        <w:ind w:left="0" w:firstLine="560" w:firstLineChars="200"/>
        <w:jc w:val="left"/>
        <w:rPr>
          <w:rFonts w:hint="eastAsia" w:ascii="仿宋_GB2312" w:hAnsi="仿宋" w:eastAsia="仿宋_GB2312" w:cs="仿宋"/>
          <w:i w:val="0"/>
          <w:iCs w:val="0"/>
          <w:color w:val="000000"/>
          <w:sz w:val="28"/>
          <w:szCs w:val="28"/>
        </w:rPr>
      </w:pPr>
      <w:r>
        <w:rPr>
          <w:rFonts w:hint="eastAsia" w:ascii="仿宋_GB2312" w:hAnsi="仿宋" w:eastAsia="仿宋_GB2312" w:cs="仿宋"/>
          <w:i w:val="0"/>
          <w:iCs w:val="0"/>
          <w:color w:val="000000"/>
          <w:sz w:val="28"/>
          <w:szCs w:val="28"/>
        </w:rPr>
        <w:fldChar w:fldCharType="begin"/>
      </w:r>
      <w:r>
        <w:rPr>
          <w:rFonts w:hint="eastAsia" w:ascii="仿宋_GB2312" w:hAnsi="仿宋" w:eastAsia="仿宋_GB2312" w:cs="仿宋"/>
          <w:i w:val="0"/>
          <w:iCs w:val="0"/>
          <w:color w:val="000000"/>
          <w:sz w:val="28"/>
          <w:szCs w:val="28"/>
        </w:rPr>
        <w:instrText xml:space="preserve"> HYPERLINK \l "_Toc73461838" </w:instrText>
      </w:r>
      <w:r>
        <w:rPr>
          <w:rFonts w:hint="eastAsia" w:ascii="仿宋_GB2312" w:hAnsi="仿宋" w:eastAsia="仿宋_GB2312" w:cs="仿宋"/>
          <w:i w:val="0"/>
          <w:iCs w:val="0"/>
          <w:color w:val="000000"/>
          <w:sz w:val="28"/>
          <w:szCs w:val="28"/>
        </w:rPr>
        <w:fldChar w:fldCharType="separate"/>
      </w:r>
      <w:r>
        <w:rPr>
          <w:rStyle w:val="20"/>
          <w:rFonts w:hint="eastAsia" w:ascii="仿宋_GB2312" w:hAnsi="仿宋" w:eastAsia="仿宋_GB2312" w:cs="仿宋"/>
          <w:i w:val="0"/>
          <w:iCs w:val="0"/>
          <w:color w:val="000000"/>
          <w:sz w:val="28"/>
          <w:szCs w:val="28"/>
        </w:rPr>
        <w:t>第一节  债权利息审核标准</w:t>
      </w:r>
      <w:r>
        <w:rPr>
          <w:rFonts w:hint="eastAsia" w:ascii="仿宋_GB2312" w:hAnsi="仿宋" w:eastAsia="仿宋_GB2312" w:cs="仿宋"/>
          <w:i w:val="0"/>
          <w:iCs w:val="0"/>
          <w:color w:val="000000"/>
          <w:sz w:val="28"/>
          <w:szCs w:val="28"/>
        </w:rPr>
        <w:fldChar w:fldCharType="end"/>
      </w:r>
    </w:p>
    <w:p>
      <w:pPr>
        <w:pStyle w:val="13"/>
        <w:keepNext w:val="0"/>
        <w:keepLines w:val="0"/>
        <w:pageBreakBefore w:val="0"/>
        <w:widowControl w:val="0"/>
        <w:tabs>
          <w:tab w:val="right" w:leader="dot" w:pos="8296"/>
        </w:tabs>
        <w:wordWrap/>
        <w:bidi w:val="0"/>
        <w:spacing w:line="500" w:lineRule="exact"/>
        <w:ind w:left="0" w:firstLine="560" w:firstLineChars="200"/>
        <w:jc w:val="left"/>
        <w:rPr>
          <w:rFonts w:hint="eastAsia" w:ascii="仿宋_GB2312" w:hAnsi="仿宋" w:eastAsia="仿宋_GB2312" w:cs="仿宋"/>
          <w:i w:val="0"/>
          <w:iCs w:val="0"/>
          <w:color w:val="000000"/>
          <w:sz w:val="28"/>
          <w:szCs w:val="28"/>
        </w:rPr>
      </w:pPr>
      <w:r>
        <w:rPr>
          <w:rFonts w:hint="eastAsia" w:ascii="仿宋_GB2312" w:hAnsi="仿宋" w:eastAsia="仿宋_GB2312" w:cs="仿宋"/>
          <w:i w:val="0"/>
          <w:iCs w:val="0"/>
          <w:color w:val="000000"/>
          <w:sz w:val="28"/>
          <w:szCs w:val="28"/>
        </w:rPr>
        <w:fldChar w:fldCharType="begin"/>
      </w:r>
      <w:r>
        <w:rPr>
          <w:rFonts w:hint="eastAsia" w:ascii="仿宋_GB2312" w:hAnsi="仿宋" w:eastAsia="仿宋_GB2312" w:cs="仿宋"/>
          <w:i w:val="0"/>
          <w:iCs w:val="0"/>
          <w:color w:val="000000"/>
          <w:sz w:val="28"/>
          <w:szCs w:val="28"/>
        </w:rPr>
        <w:instrText xml:space="preserve"> HYPERLINK \l "_Toc73461839" </w:instrText>
      </w:r>
      <w:r>
        <w:rPr>
          <w:rFonts w:hint="eastAsia" w:ascii="仿宋_GB2312" w:hAnsi="仿宋" w:eastAsia="仿宋_GB2312" w:cs="仿宋"/>
          <w:i w:val="0"/>
          <w:iCs w:val="0"/>
          <w:color w:val="000000"/>
          <w:sz w:val="28"/>
          <w:szCs w:val="28"/>
        </w:rPr>
        <w:fldChar w:fldCharType="separate"/>
      </w:r>
      <w:r>
        <w:rPr>
          <w:rStyle w:val="20"/>
          <w:rFonts w:hint="eastAsia" w:ascii="仿宋_GB2312" w:hAnsi="仿宋" w:eastAsia="仿宋_GB2312" w:cs="仿宋"/>
          <w:i w:val="0"/>
          <w:iCs w:val="0"/>
          <w:color w:val="000000"/>
          <w:sz w:val="28"/>
          <w:szCs w:val="28"/>
        </w:rPr>
        <w:t>第二节  债权审核一般标准</w:t>
      </w:r>
      <w:r>
        <w:rPr>
          <w:rFonts w:hint="eastAsia" w:ascii="仿宋_GB2312" w:hAnsi="仿宋" w:eastAsia="仿宋_GB2312" w:cs="仿宋"/>
          <w:i w:val="0"/>
          <w:iCs w:val="0"/>
          <w:color w:val="000000"/>
          <w:sz w:val="28"/>
          <w:szCs w:val="28"/>
        </w:rPr>
        <w:fldChar w:fldCharType="end"/>
      </w:r>
    </w:p>
    <w:p>
      <w:pPr>
        <w:pStyle w:val="13"/>
        <w:keepNext w:val="0"/>
        <w:keepLines w:val="0"/>
        <w:pageBreakBefore w:val="0"/>
        <w:widowControl w:val="0"/>
        <w:tabs>
          <w:tab w:val="right" w:leader="dot" w:pos="8296"/>
        </w:tabs>
        <w:wordWrap/>
        <w:bidi w:val="0"/>
        <w:spacing w:line="500" w:lineRule="exact"/>
        <w:ind w:left="0" w:firstLine="560" w:firstLineChars="200"/>
        <w:jc w:val="left"/>
        <w:rPr>
          <w:rFonts w:hint="eastAsia" w:ascii="仿宋_GB2312" w:hAnsi="仿宋" w:eastAsia="仿宋_GB2312" w:cs="仿宋"/>
          <w:i w:val="0"/>
          <w:iCs w:val="0"/>
          <w:color w:val="000000"/>
          <w:sz w:val="28"/>
          <w:szCs w:val="28"/>
        </w:rPr>
      </w:pPr>
      <w:r>
        <w:rPr>
          <w:rFonts w:hint="eastAsia" w:ascii="仿宋_GB2312" w:hAnsi="仿宋" w:eastAsia="仿宋_GB2312" w:cs="仿宋"/>
          <w:i w:val="0"/>
          <w:iCs w:val="0"/>
          <w:color w:val="000000"/>
          <w:sz w:val="28"/>
          <w:szCs w:val="28"/>
        </w:rPr>
        <w:fldChar w:fldCharType="begin"/>
      </w:r>
      <w:r>
        <w:rPr>
          <w:rFonts w:hint="eastAsia" w:ascii="仿宋_GB2312" w:hAnsi="仿宋" w:eastAsia="仿宋_GB2312" w:cs="仿宋"/>
          <w:i w:val="0"/>
          <w:iCs w:val="0"/>
          <w:color w:val="000000"/>
          <w:sz w:val="28"/>
          <w:szCs w:val="28"/>
        </w:rPr>
        <w:instrText xml:space="preserve"> HYPERLINK \l "_Toc73461840" </w:instrText>
      </w:r>
      <w:r>
        <w:rPr>
          <w:rFonts w:hint="eastAsia" w:ascii="仿宋_GB2312" w:hAnsi="仿宋" w:eastAsia="仿宋_GB2312" w:cs="仿宋"/>
          <w:i w:val="0"/>
          <w:iCs w:val="0"/>
          <w:color w:val="000000"/>
          <w:sz w:val="28"/>
          <w:szCs w:val="28"/>
        </w:rPr>
        <w:fldChar w:fldCharType="separate"/>
      </w:r>
      <w:r>
        <w:rPr>
          <w:rStyle w:val="20"/>
          <w:rFonts w:hint="eastAsia" w:ascii="仿宋_GB2312" w:hAnsi="仿宋" w:eastAsia="仿宋_GB2312" w:cs="仿宋"/>
          <w:i w:val="0"/>
          <w:iCs w:val="0"/>
          <w:color w:val="000000"/>
          <w:sz w:val="28"/>
          <w:szCs w:val="28"/>
        </w:rPr>
        <w:t>第三节  其他债权审核标准</w:t>
      </w:r>
      <w:r>
        <w:rPr>
          <w:rFonts w:hint="eastAsia" w:ascii="仿宋_GB2312" w:hAnsi="仿宋" w:eastAsia="仿宋_GB2312" w:cs="仿宋"/>
          <w:i w:val="0"/>
          <w:iCs w:val="0"/>
          <w:color w:val="000000"/>
          <w:sz w:val="28"/>
          <w:szCs w:val="28"/>
        </w:rPr>
        <w:fldChar w:fldCharType="end"/>
      </w:r>
    </w:p>
    <w:p>
      <w:pPr>
        <w:pStyle w:val="11"/>
        <w:keepNext w:val="0"/>
        <w:keepLines w:val="0"/>
        <w:pageBreakBefore w:val="0"/>
        <w:widowControl w:val="0"/>
        <w:tabs>
          <w:tab w:val="right" w:leader="dot" w:pos="8296"/>
          <w:tab w:val="clear" w:pos="8720"/>
        </w:tabs>
        <w:wordWrap/>
        <w:bidi w:val="0"/>
        <w:spacing w:before="0" w:after="0" w:line="500" w:lineRule="exact"/>
        <w:ind w:firstLine="560" w:firstLineChars="200"/>
        <w:jc w:val="left"/>
        <w:rPr>
          <w:rFonts w:hint="eastAsia" w:ascii="仿宋_GB2312" w:hAnsi="仿宋" w:eastAsia="仿宋_GB2312" w:cs="仿宋"/>
          <w:b w:val="0"/>
          <w:bCs w:val="0"/>
          <w:i w:val="0"/>
          <w:iCs w:val="0"/>
          <w:color w:val="000000"/>
          <w:sz w:val="28"/>
          <w:szCs w:val="28"/>
        </w:rPr>
      </w:pPr>
      <w:r>
        <w:rPr>
          <w:rFonts w:hint="eastAsia" w:ascii="仿宋_GB2312" w:hAnsi="仿宋" w:eastAsia="仿宋_GB2312" w:cs="仿宋"/>
          <w:b w:val="0"/>
          <w:bCs w:val="0"/>
          <w:i w:val="0"/>
          <w:iCs w:val="0"/>
          <w:color w:val="000000"/>
          <w:sz w:val="28"/>
          <w:szCs w:val="28"/>
        </w:rPr>
        <w:fldChar w:fldCharType="begin"/>
      </w:r>
      <w:r>
        <w:rPr>
          <w:rFonts w:hint="eastAsia" w:ascii="仿宋_GB2312" w:hAnsi="仿宋" w:eastAsia="仿宋_GB2312" w:cs="仿宋"/>
          <w:b w:val="0"/>
          <w:bCs w:val="0"/>
          <w:i w:val="0"/>
          <w:iCs w:val="0"/>
          <w:color w:val="000000"/>
          <w:sz w:val="28"/>
          <w:szCs w:val="28"/>
        </w:rPr>
        <w:instrText xml:space="preserve"> HYPERLINK \l "_Toc73461841" </w:instrText>
      </w:r>
      <w:r>
        <w:rPr>
          <w:rFonts w:hint="eastAsia" w:ascii="仿宋_GB2312" w:hAnsi="仿宋" w:eastAsia="仿宋_GB2312" w:cs="仿宋"/>
          <w:b w:val="0"/>
          <w:bCs w:val="0"/>
          <w:i w:val="0"/>
          <w:iCs w:val="0"/>
          <w:color w:val="000000"/>
          <w:sz w:val="28"/>
          <w:szCs w:val="28"/>
        </w:rPr>
        <w:fldChar w:fldCharType="separate"/>
      </w:r>
      <w:r>
        <w:rPr>
          <w:rStyle w:val="20"/>
          <w:rFonts w:hint="eastAsia" w:ascii="仿宋_GB2312" w:hAnsi="仿宋" w:eastAsia="仿宋_GB2312" w:cs="仿宋"/>
          <w:b w:val="0"/>
          <w:bCs w:val="0"/>
          <w:i w:val="0"/>
          <w:iCs w:val="0"/>
          <w:color w:val="000000"/>
          <w:sz w:val="28"/>
          <w:szCs w:val="28"/>
        </w:rPr>
        <w:t>第四章  债权审核特别规定</w:t>
      </w:r>
      <w:r>
        <w:rPr>
          <w:rFonts w:hint="eastAsia" w:ascii="仿宋_GB2312" w:hAnsi="仿宋" w:eastAsia="仿宋_GB2312" w:cs="仿宋"/>
          <w:b w:val="0"/>
          <w:bCs w:val="0"/>
          <w:i w:val="0"/>
          <w:iCs w:val="0"/>
          <w:color w:val="000000"/>
          <w:sz w:val="28"/>
          <w:szCs w:val="28"/>
        </w:rPr>
        <w:fldChar w:fldCharType="end"/>
      </w:r>
    </w:p>
    <w:p>
      <w:pPr>
        <w:pStyle w:val="11"/>
        <w:keepNext w:val="0"/>
        <w:keepLines w:val="0"/>
        <w:pageBreakBefore w:val="0"/>
        <w:widowControl w:val="0"/>
        <w:tabs>
          <w:tab w:val="right" w:leader="dot" w:pos="8296"/>
          <w:tab w:val="clear" w:pos="8720"/>
        </w:tabs>
        <w:wordWrap/>
        <w:bidi w:val="0"/>
        <w:spacing w:before="0" w:after="0" w:line="500" w:lineRule="exact"/>
        <w:ind w:firstLine="560" w:firstLineChars="200"/>
        <w:jc w:val="left"/>
        <w:rPr>
          <w:rFonts w:hint="eastAsia" w:ascii="仿宋_GB2312" w:hAnsi="仿宋" w:eastAsia="仿宋_GB2312" w:cs="仿宋"/>
          <w:b w:val="0"/>
          <w:bCs w:val="0"/>
          <w:i w:val="0"/>
          <w:iCs w:val="0"/>
          <w:color w:val="000000"/>
          <w:sz w:val="28"/>
          <w:szCs w:val="28"/>
        </w:rPr>
      </w:pPr>
      <w:r>
        <w:rPr>
          <w:rFonts w:hint="eastAsia" w:ascii="仿宋_GB2312" w:hAnsi="仿宋" w:eastAsia="仿宋_GB2312" w:cs="仿宋"/>
          <w:b w:val="0"/>
          <w:bCs w:val="0"/>
          <w:i w:val="0"/>
          <w:iCs w:val="0"/>
          <w:color w:val="000000"/>
          <w:sz w:val="28"/>
          <w:szCs w:val="28"/>
        </w:rPr>
        <w:fldChar w:fldCharType="begin"/>
      </w:r>
      <w:r>
        <w:rPr>
          <w:rFonts w:hint="eastAsia" w:ascii="仿宋_GB2312" w:hAnsi="仿宋" w:eastAsia="仿宋_GB2312" w:cs="仿宋"/>
          <w:b w:val="0"/>
          <w:bCs w:val="0"/>
          <w:i w:val="0"/>
          <w:iCs w:val="0"/>
          <w:color w:val="000000"/>
          <w:sz w:val="28"/>
          <w:szCs w:val="28"/>
        </w:rPr>
        <w:instrText xml:space="preserve"> HYPERLINK \l "_Toc73461842" </w:instrText>
      </w:r>
      <w:r>
        <w:rPr>
          <w:rFonts w:hint="eastAsia" w:ascii="仿宋_GB2312" w:hAnsi="仿宋" w:eastAsia="仿宋_GB2312" w:cs="仿宋"/>
          <w:b w:val="0"/>
          <w:bCs w:val="0"/>
          <w:i w:val="0"/>
          <w:iCs w:val="0"/>
          <w:color w:val="000000"/>
          <w:sz w:val="28"/>
          <w:szCs w:val="28"/>
        </w:rPr>
        <w:fldChar w:fldCharType="separate"/>
      </w:r>
      <w:r>
        <w:rPr>
          <w:rStyle w:val="20"/>
          <w:rFonts w:hint="eastAsia" w:ascii="仿宋_GB2312" w:hAnsi="仿宋" w:eastAsia="仿宋_GB2312" w:cs="仿宋"/>
          <w:b w:val="0"/>
          <w:bCs w:val="0"/>
          <w:i w:val="0"/>
          <w:iCs w:val="0"/>
          <w:color w:val="000000"/>
          <w:sz w:val="28"/>
          <w:szCs w:val="28"/>
        </w:rPr>
        <w:t>第五章  附则</w:t>
      </w:r>
      <w:r>
        <w:rPr>
          <w:rFonts w:hint="eastAsia" w:ascii="仿宋_GB2312" w:hAnsi="仿宋" w:eastAsia="仿宋_GB2312" w:cs="仿宋"/>
          <w:b w:val="0"/>
          <w:bCs w:val="0"/>
          <w:i w:val="0"/>
          <w:iCs w:val="0"/>
          <w:color w:val="000000"/>
          <w:sz w:val="28"/>
          <w:szCs w:val="28"/>
        </w:rPr>
        <w:fldChar w:fldCharType="end"/>
      </w:r>
    </w:p>
    <w:p>
      <w:pPr>
        <w:pStyle w:val="11"/>
        <w:keepNext w:val="0"/>
        <w:keepLines w:val="0"/>
        <w:pageBreakBefore w:val="0"/>
        <w:widowControl w:val="0"/>
        <w:tabs>
          <w:tab w:val="right" w:leader="dot" w:pos="8296"/>
          <w:tab w:val="clear" w:pos="8720"/>
        </w:tabs>
        <w:wordWrap/>
        <w:bidi w:val="0"/>
        <w:spacing w:before="0" w:after="0" w:line="500" w:lineRule="exact"/>
        <w:ind w:firstLine="560" w:firstLineChars="200"/>
        <w:rPr>
          <w:rFonts w:hint="eastAsia" w:ascii="方正小标宋简体" w:hAnsi="仿宋" w:eastAsia="方正小标宋简体" w:cs="仿宋"/>
          <w:color w:val="000000"/>
          <w:sz w:val="40"/>
          <w:szCs w:val="40"/>
        </w:rPr>
      </w:pPr>
      <w:r>
        <w:rPr>
          <w:rFonts w:hint="eastAsia" w:ascii="仿宋" w:hAnsi="仿宋" w:eastAsia="仿宋" w:cs="仿宋"/>
          <w:b w:val="0"/>
          <w:bCs w:val="0"/>
          <w:color w:val="000000"/>
          <w:sz w:val="28"/>
          <w:szCs w:val="28"/>
        </w:rPr>
        <w:br w:type="page"/>
      </w:r>
      <w:r>
        <w:rPr>
          <w:sz w:val="40"/>
          <w:szCs w:val="21"/>
        </w:rPr>
        <mc:AlternateContent>
          <mc:Choice Requires="wps">
            <w:drawing>
              <wp:anchor distT="0" distB="0" distL="114300" distR="114300" simplePos="0" relativeHeight="251699200" behindDoc="0" locked="0" layoutInCell="1" allowOverlap="1">
                <wp:simplePos x="0" y="0"/>
                <wp:positionH relativeFrom="column">
                  <wp:posOffset>-483870</wp:posOffset>
                </wp:positionH>
                <wp:positionV relativeFrom="paragraph">
                  <wp:posOffset>7643495</wp:posOffset>
                </wp:positionV>
                <wp:extent cx="1524000" cy="1071245"/>
                <wp:effectExtent l="4445" t="4445" r="14605" b="10160"/>
                <wp:wrapNone/>
                <wp:docPr id="110" name="矩形 110"/>
                <wp:cNvGraphicFramePr/>
                <a:graphic xmlns:a="http://schemas.openxmlformats.org/drawingml/2006/main">
                  <a:graphicData uri="http://schemas.microsoft.com/office/word/2010/wordprocessingShape">
                    <wps:wsp>
                      <wps:cNvSpPr/>
                      <wps:spPr>
                        <a:xfrm>
                          <a:off x="0" y="0"/>
                          <a:ext cx="1524000" cy="1071245"/>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8.1pt;margin-top:601.85pt;height:84.35pt;width:120pt;z-index:251699200;mso-width-relative:page;mso-height-relative:page;" fillcolor="#FFFFFF" filled="t" stroked="t" coordsize="21600,21600" o:gfxdata="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RpH792gAAAA0BAAAPAAAAAAAAAAEAIAAAACIAAABkcnMvZG93bnJldi54&#10;bWxQSwECFAAUAAAACACHTuJAkGKoBfgBAAAjBAAADgAAAAAAAAABACAAAAApAQAAZHJzL2Uyb0Rv&#10;Yy54bWxQSwUGAAAAAAYABgBZAQAAkwUAAAAA&#10;">
                <v:fill on="t" focussize="0,0"/>
                <v:stroke color="#FFFFFF" joinstyle="miter"/>
                <v:imagedata o:title=""/>
                <o:lock v:ext="edit" aspectratio="f"/>
              </v:rect>
            </w:pict>
          </mc:Fallback>
        </mc:AlternateContent>
      </w:r>
      <w:r>
        <w:rPr>
          <w:rFonts w:hint="eastAsia" w:ascii="方正小标宋简体" w:hAnsi="仿宋" w:eastAsia="方正小标宋简体" w:cs="仿宋"/>
          <w:color w:val="000000"/>
          <w:sz w:val="40"/>
          <w:szCs w:val="40"/>
        </w:rPr>
        <w:t>关于破产管理人债权审核业务操作指引</w:t>
      </w:r>
    </w:p>
    <w:p>
      <w:pPr>
        <w:keepNext w:val="0"/>
        <w:keepLines w:val="0"/>
        <w:pageBreakBefore w:val="0"/>
        <w:widowControl w:val="0"/>
        <w:wordWrap/>
        <w:bidi w:val="0"/>
        <w:spacing w:line="500" w:lineRule="exact"/>
        <w:rPr>
          <w:rFonts w:hint="eastAsia"/>
          <w:color w:val="000000"/>
          <w:sz w:val="20"/>
          <w:szCs w:val="21"/>
        </w:rPr>
      </w:pPr>
    </w:p>
    <w:p>
      <w:pPr>
        <w:keepNext w:val="0"/>
        <w:keepLines w:val="0"/>
        <w:pageBreakBefore w:val="0"/>
        <w:widowControl w:val="0"/>
        <w:wordWrap/>
        <w:bidi w:val="0"/>
        <w:spacing w:after="0" w:line="500" w:lineRule="exact"/>
        <w:jc w:val="center"/>
        <w:rPr>
          <w:rFonts w:hint="eastAsia" w:ascii="黑体" w:hAnsi="黑体" w:eastAsia="黑体" w:cs="黑体"/>
          <w:color w:val="000000"/>
          <w:sz w:val="28"/>
          <w:szCs w:val="28"/>
        </w:rPr>
      </w:pPr>
      <w:r>
        <w:rPr>
          <w:rFonts w:hint="eastAsia" w:ascii="仿宋_GB2312" w:hAnsi="宋体" w:eastAsia="仿宋_GB2312"/>
          <w:b/>
          <w:bCs/>
          <w:color w:val="000000"/>
          <w:sz w:val="28"/>
          <w:szCs w:val="28"/>
          <w:lang w:val="zh-CN"/>
        </w:rPr>
        <w:fldChar w:fldCharType="end"/>
      </w:r>
      <w:bookmarkStart w:id="703" w:name="_Toc73461831"/>
      <w:r>
        <w:rPr>
          <w:rFonts w:hint="eastAsia" w:ascii="黑体" w:hAnsi="黑体" w:eastAsia="黑体" w:cs="黑体"/>
          <w:color w:val="000000"/>
          <w:sz w:val="28"/>
          <w:szCs w:val="28"/>
        </w:rPr>
        <w:t>第一章  总  则</w:t>
      </w:r>
      <w:bookmarkEnd w:id="703"/>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为指导律师事务所担任破产案件管理人业务，规范和统一破产案件债权审核流程和标准，根据《</w:t>
      </w: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"https://www.waizi.org.cn/law/4471.html" \t "_blank" \o "《中华人民共和国企业破产法》国家主席令第五十四号（全文）"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中华人民共和国企业破产法</w:t>
      </w:r>
      <w:r>
        <w:rPr>
          <w:rFonts w:hint="eastAsia" w:ascii="仿宋_GB2312" w:hAnsi="仿宋" w:eastAsia="仿宋_GB2312" w:cs="仿宋"/>
          <w:color w:val="000000"/>
          <w:sz w:val="28"/>
          <w:szCs w:val="28"/>
        </w:rPr>
        <w:fldChar w:fldCharType="end"/>
      </w:r>
      <w:r>
        <w:rPr>
          <w:rFonts w:hint="eastAsia" w:ascii="仿宋_GB2312" w:hAnsi="仿宋" w:eastAsia="仿宋_GB2312" w:cs="仿宋"/>
          <w:color w:val="000000"/>
          <w:sz w:val="28"/>
          <w:szCs w:val="28"/>
        </w:rPr>
        <w:t>》（以下简称“企业破产法”）及其他相关法律、法规和司法解释的规定，制定本操作指引。</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操作指引适用范围：</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（一）进入人民法院公布的机构管理人名册的律师事务所，接受人民法院指定担任破产案件管理人并依法履行管理人职责的，适用本操作指引。</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（二）人民法院指定清算组为破产案件管理人，作为清算组成员的律师事务所依法履行管理人职责的，适用本操作指引。</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（三）人民法院指定为破产案件管理人的律师事务所聘请的管理人团队非律师成员，在履行管理人职责时，应参照本操作指引执行。</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b/>
          <w:bCs/>
          <w:color w:val="000000"/>
          <w:sz w:val="28"/>
          <w:szCs w:val="28"/>
        </w:rPr>
      </w:pPr>
      <w:r>
        <w:rPr>
          <w:rFonts w:hint="eastAsia" w:ascii="仿宋_GB2312" w:hAnsi="仿宋" w:eastAsia="仿宋_GB2312" w:cs="仿宋"/>
          <w:color w:val="000000"/>
          <w:sz w:val="28"/>
          <w:szCs w:val="28"/>
        </w:rPr>
        <w:t xml:space="preserve">  本操作指引所称的破产案件债权审核，是指对破产案件中债权人申报债权的真实性、合法性、关联性以及债权性质、数额等进行核查并出具意见。</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b/>
          <w:bCs/>
          <w:color w:val="000000"/>
          <w:sz w:val="28"/>
          <w:szCs w:val="28"/>
        </w:rPr>
      </w:pPr>
      <w:r>
        <w:rPr>
          <w:rFonts w:hint="eastAsia" w:ascii="仿宋_GB2312" w:hAnsi="仿宋" w:eastAsia="仿宋_GB2312" w:cs="仿宋"/>
          <w:color w:val="000000"/>
          <w:sz w:val="28"/>
          <w:szCs w:val="28"/>
        </w:rPr>
        <w:t xml:space="preserve">  破产案件债权审核包括债权通知和公告、债权申报的接收、债权的审查、债权复核及债权表编制等内容。</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b/>
          <w:bCs/>
          <w:color w:val="000000"/>
          <w:sz w:val="28"/>
          <w:szCs w:val="28"/>
        </w:rPr>
      </w:pPr>
      <w:r>
        <w:rPr>
          <w:rFonts w:hint="eastAsia" w:ascii="仿宋_GB2312" w:hAnsi="仿宋" w:eastAsia="仿宋_GB2312" w:cs="仿宋"/>
          <w:color w:val="000000"/>
          <w:sz w:val="28"/>
          <w:szCs w:val="28"/>
        </w:rPr>
        <w:t xml:space="preserve">  破产案件债权审核应当遵循标准统一、实体与程序并重、保障实质公平的原则，管理人应严格依照法律规定,公平、公正、客观对债权人所申报债权主体、债权凭证及债权真实性、合法性、关联性等进行形式审查和实质审查。</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b/>
          <w:bCs/>
          <w:color w:val="000000"/>
          <w:sz w:val="28"/>
          <w:szCs w:val="28"/>
        </w:rPr>
      </w:pPr>
      <w:r>
        <w:rPr>
          <w:rFonts w:hint="eastAsia" w:ascii="仿宋_GB2312" w:hAnsi="仿宋" w:eastAsia="仿宋_GB2312" w:cs="仿宋"/>
          <w:color w:val="000000"/>
          <w:sz w:val="28"/>
          <w:szCs w:val="28"/>
        </w:rPr>
        <w:t xml:space="preserve">  审核债权应当在债权人申报的范围之内，不得超出债权人申报的数额和范围。</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b/>
          <w:bCs/>
          <w:color w:val="000000"/>
          <w:sz w:val="28"/>
          <w:szCs w:val="28"/>
        </w:rPr>
      </w:pPr>
      <w:r>
        <w:rPr>
          <w:rFonts w:hint="eastAsia" w:ascii="仿宋_GB2312" w:hAnsi="仿宋" w:eastAsia="仿宋_GB2312" w:cs="仿宋"/>
          <w:color w:val="000000"/>
          <w:sz w:val="28"/>
          <w:szCs w:val="28"/>
        </w:rPr>
        <w:t xml:space="preserve">  审核债权适用法律法规，应当查明效力和适用范围，遵守上位法优于下位法、特别法优于一般法的原则，优先适用</w:t>
      </w: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"https://www.waizi.org.cn/law/4471.html" \t "_blank" \o "《中华人民共和国企业破产法》国家主席令第五十四号（全文）"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企业破产法</w:t>
      </w:r>
      <w:r>
        <w:rPr>
          <w:rFonts w:hint="eastAsia" w:ascii="仿宋_GB2312" w:hAnsi="仿宋" w:eastAsia="仿宋_GB2312" w:cs="仿宋"/>
          <w:color w:val="000000"/>
          <w:sz w:val="28"/>
          <w:szCs w:val="28"/>
        </w:rPr>
        <w:fldChar w:fldCharType="end"/>
      </w:r>
      <w:r>
        <w:rPr>
          <w:rFonts w:hint="eastAsia" w:ascii="仿宋_GB2312" w:hAnsi="仿宋" w:eastAsia="仿宋_GB2312" w:cs="仿宋"/>
          <w:color w:val="000000"/>
          <w:sz w:val="28"/>
          <w:szCs w:val="28"/>
        </w:rPr>
        <w:t>和相关司法解释。</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部门规章、地方政府规章、行业监督管理机构或者具备行业监督管理职能的机构制定的规则及其他规范性文件，不违反上位法规定的，可以参照适用。</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p>
    <w:p>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jc w:val="center"/>
        <w:textAlignment w:val="auto"/>
        <w:rPr>
          <w:rFonts w:hint="eastAsia" w:ascii="黑体" w:hAnsi="黑体" w:eastAsia="黑体" w:cs="黑体"/>
          <w:b w:val="0"/>
          <w:color w:val="000000"/>
          <w:kern w:val="0"/>
          <w:sz w:val="28"/>
          <w:szCs w:val="28"/>
        </w:rPr>
      </w:pPr>
      <w:bookmarkStart w:id="704" w:name="_Toc73461832"/>
      <w:bookmarkStart w:id="705" w:name="_Toc22788"/>
      <w:r>
        <w:rPr>
          <w:rFonts w:hint="eastAsia" w:ascii="黑体" w:hAnsi="黑体" w:eastAsia="黑体" w:cs="黑体"/>
          <w:b w:val="0"/>
          <w:color w:val="000000"/>
          <w:kern w:val="0"/>
          <w:sz w:val="28"/>
          <w:szCs w:val="28"/>
        </w:rPr>
        <w:t>第二章  债权审核流程</w:t>
      </w:r>
      <w:bookmarkEnd w:id="704"/>
      <w:bookmarkEnd w:id="705"/>
    </w:p>
    <w:p>
      <w:pPr>
        <w:pStyle w:val="3"/>
        <w:keepNext w:val="0"/>
        <w:keepLines w:val="0"/>
        <w:pageBreakBefore w:val="0"/>
        <w:widowControl w:val="0"/>
        <w:wordWrap/>
        <w:bidi w:val="0"/>
        <w:spacing w:before="0" w:after="0" w:line="500" w:lineRule="exact"/>
        <w:jc w:val="center"/>
        <w:rPr>
          <w:rFonts w:hint="eastAsia" w:ascii="楷体" w:hAnsi="楷体" w:eastAsia="楷体" w:cs="楷体"/>
          <w:color w:val="000000"/>
          <w:sz w:val="28"/>
          <w:szCs w:val="28"/>
        </w:rPr>
      </w:pPr>
      <w:bookmarkStart w:id="706" w:name="_Toc73461833"/>
      <w:r>
        <w:rPr>
          <w:rFonts w:hint="eastAsia" w:ascii="楷体" w:hAnsi="楷体" w:eastAsia="楷体" w:cs="楷体"/>
          <w:color w:val="000000"/>
          <w:sz w:val="28"/>
          <w:szCs w:val="28"/>
        </w:rPr>
        <w:t>第一节 债权通知和公告</w:t>
      </w:r>
      <w:bookmarkEnd w:id="706"/>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自人民法院裁定受理破产申请之日起二十五日内，接受人民法院指定担任破产案件的管理人应当协助法院通知已知债权人申报债权，协助法院公布包括债权申报内容的破产案件受理公告或者单独的债权申报公告。</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管理人协助法院通知已知债权人申报债权，应当按照民事诉讼法的规定采取直接送达、邮寄送达或者债权人确认的其他方式送达债权申报通知。</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通知已知债权人时，应当提供债权申报登记表、授权委托书、法定代表人（负责人）身份证明书、债权申报材料清单，以及其他便于债权人申报债权的说明性文件。</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本操作指引所称已知债权人是指根据债务人提供的资料，以及通过受案法院案件卷宗或者其他途径获得的有效信息，初步判断对债务人享有债权并且能够查明联系方式的债权人。</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管理人根据债务人提供的资料初步判断债务人欠缴税款的，应当通知相应税收征管机关申报债权。</w:t>
      </w:r>
    </w:p>
    <w:p>
      <w:pPr>
        <w:pStyle w:val="3"/>
        <w:keepNext w:val="0"/>
        <w:keepLines w:val="0"/>
        <w:pageBreakBefore w:val="0"/>
        <w:widowControl w:val="0"/>
        <w:wordWrap/>
        <w:bidi w:val="0"/>
        <w:spacing w:before="0" w:after="0" w:line="500" w:lineRule="exact"/>
        <w:jc w:val="center"/>
        <w:rPr>
          <w:rFonts w:hint="eastAsia" w:ascii="楷体" w:hAnsi="楷体" w:eastAsia="楷体" w:cs="楷体"/>
          <w:color w:val="000000"/>
          <w:sz w:val="28"/>
          <w:szCs w:val="28"/>
        </w:rPr>
      </w:pPr>
      <w:bookmarkStart w:id="707" w:name="_Toc73461834"/>
      <w:r>
        <w:rPr>
          <w:rFonts w:hint="eastAsia" w:ascii="楷体" w:hAnsi="楷体" w:eastAsia="楷体" w:cs="楷体"/>
          <w:color w:val="000000"/>
          <w:sz w:val="28"/>
          <w:szCs w:val="28"/>
        </w:rPr>
        <w:t>第二节 债权申报接收</w:t>
      </w:r>
      <w:bookmarkEnd w:id="707"/>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管理人应当在人民法院确定的债权申报期限内指派专门工作人员在通知和公告的债权申报地点接收债权申报资料。</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债权申报期限由人民法院依法确定，管理人可以根据破产案件实际情况向法院提出关于债权申报期限的建议。</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债权申报地点可以是管理人处理事务的地址、债务人住所地，或者是管理人报法院备案后专门设立的债权申报地点。</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破产案件债权范围包括：</w:t>
      </w:r>
    </w:p>
    <w:p>
      <w:pPr>
        <w:pStyle w:val="25"/>
        <w:keepNext w:val="0"/>
        <w:keepLines w:val="0"/>
        <w:pageBreakBefore w:val="0"/>
        <w:widowControl w:val="0"/>
        <w:numPr>
          <w:ilvl w:val="0"/>
          <w:numId w:val="409"/>
        </w:numPr>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破产申请受理前发生的无财产担保的债权;</w:t>
      </w:r>
    </w:p>
    <w:p>
      <w:pPr>
        <w:pStyle w:val="25"/>
        <w:keepNext w:val="0"/>
        <w:keepLines w:val="0"/>
        <w:pageBreakBefore w:val="0"/>
        <w:widowControl w:val="0"/>
        <w:numPr>
          <w:ilvl w:val="0"/>
          <w:numId w:val="409"/>
        </w:numPr>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破产申请受理前发生的虽有财产担保但是债权人放弃优先受偿的债权;</w:t>
      </w:r>
    </w:p>
    <w:p>
      <w:pPr>
        <w:pStyle w:val="25"/>
        <w:keepNext w:val="0"/>
        <w:keepLines w:val="0"/>
        <w:pageBreakBefore w:val="0"/>
        <w:widowControl w:val="0"/>
        <w:numPr>
          <w:ilvl w:val="0"/>
          <w:numId w:val="409"/>
        </w:numPr>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破产申请受理前发生的虽有财产担保但是债权数额超过担保物价值部分的债权;</w:t>
      </w:r>
    </w:p>
    <w:p>
      <w:pPr>
        <w:pStyle w:val="25"/>
        <w:keepNext w:val="0"/>
        <w:keepLines w:val="0"/>
        <w:pageBreakBefore w:val="0"/>
        <w:widowControl w:val="0"/>
        <w:numPr>
          <w:ilvl w:val="0"/>
          <w:numId w:val="409"/>
        </w:numPr>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管理人解除的合同或依法应当解除、撤销、确认无效的合同及双方协商解除的合同，对方当事人依法或者依照合同约定产生的对债务人可以用货币计算的债权;</w:t>
      </w:r>
    </w:p>
    <w:p>
      <w:pPr>
        <w:pStyle w:val="25"/>
        <w:keepNext w:val="0"/>
        <w:keepLines w:val="0"/>
        <w:pageBreakBefore w:val="0"/>
        <w:widowControl w:val="0"/>
        <w:numPr>
          <w:ilvl w:val="0"/>
          <w:numId w:val="409"/>
        </w:numPr>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债务人的保证人代替债务人清偿债务后依法可以向债务人追偿的债权,债务人的保证人按照法律规定预先行使追偿权而申报的债权;</w:t>
      </w:r>
    </w:p>
    <w:p>
      <w:pPr>
        <w:pStyle w:val="25"/>
        <w:keepNext w:val="0"/>
        <w:keepLines w:val="0"/>
        <w:pageBreakBefore w:val="0"/>
        <w:widowControl w:val="0"/>
        <w:numPr>
          <w:ilvl w:val="0"/>
          <w:numId w:val="409"/>
        </w:numPr>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债务人在破产申请受理前因侵权、违约给他人造成财产损失而产生的赔偿责任;</w:t>
      </w:r>
    </w:p>
    <w:p>
      <w:pPr>
        <w:pStyle w:val="25"/>
        <w:keepNext w:val="0"/>
        <w:keepLines w:val="0"/>
        <w:pageBreakBefore w:val="0"/>
        <w:widowControl w:val="0"/>
        <w:numPr>
          <w:ilvl w:val="0"/>
          <w:numId w:val="409"/>
        </w:numPr>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财政、扶贫、科技管理等行政部门通过签订合同,按有偿使用定期归还原则发放的款项;</w:t>
      </w:r>
    </w:p>
    <w:p>
      <w:pPr>
        <w:pStyle w:val="25"/>
        <w:keepNext w:val="0"/>
        <w:keepLines w:val="0"/>
        <w:pageBreakBefore w:val="0"/>
        <w:widowControl w:val="0"/>
        <w:numPr>
          <w:ilvl w:val="0"/>
          <w:numId w:val="409"/>
        </w:numPr>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人民法院认可的其他债权。</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管理人在接收债权申报材料时应当进行形式审查。</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形式审查包括审查债权人的身份证明文件、申报的债权是否为前款所述的破产债权范围、是否属于破产案件债务人所负债务、申报的权利种类和性质。</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管理人经形式审查合格的，应当接收债权申报并进行登记，出具债权申报回执，接收的申报材料应采用一人一号的形式进行单独建档编号。</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管理人经形式审查不合格的，应当要求申报人限期补充材料。申报人逾期不补充或者补充后仍不合格的，管理人可以根据申报人的要求出具不予接收的回执。</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管理人应当向债权人释明其在破产程序中的权利和义务。管理人可以要求债权人填写债权申报表和送达地址、送达方式确认书。</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管理人接收债权申报后应当编制债权申报统计表。 </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债权申报统计表应当包括以下内容：</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（一）债权人的姓名或者名称。债权人委托代理人申报债权的，应当包括代理人的姓名和代理权限；</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（二）债权人或者代理人的地址和电话等联系方式；</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（三）债权申报的时间；</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（四）申报的债权性质和债权数额；</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（五）债权有无担保和担保形式；</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（六）债权是否经过生效法律文书确认，是否经过人民法院强制执行或者采取了保全措施；</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（七）管理人认为应当统计的其他内容。</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管理人在调查职工债权情况时，可以要求债务人自破产案件受理之日起十五日内向管理人提供职工名册、工资发放记录、社会保险费用和住房公积金缴纳记录；要求债务人向管理人说明是否欠付职工工资和医疗、伤残补助、抚恤费用，所欠的基本养老保险、基本医疗保险费用，以及法律、行政法规、地方性法规规定应当支付给职工的补偿金及相关职工的安置情况等。</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管理人根据职工债权调查的需要，可以要求债务人提供劳动合同、考勤记录、解除或者终止劳动合同的通知、劳动仲裁裁决书等涉及职工权益的生效法律文书、死亡证明书、工伤认定书、伤残登记鉴定报告等资料。</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债务人下落不明、债务人不提供或者无法提供上述资料的，管理人可以通过债务人住所地的劳动监察机构和社会保险机构进行调查。</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职工主动申报债权的，管理人予以登记。</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债务人下落不明或债务人无法提供职工债权情况，管理人通过债务人住所地的劳动监察机构和社会保险机构仍无法查明职工债权情况的，按照已知债权通知相关职工进行申报，并根据申报情况予以登记制作职工债权清单。</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劳动监察机构、社会保险机构、欠薪保障基金管理机构、工会、债务人经营场所的房屋出租方以及其他为债务人垫付了工资和医疗、伤残补助、抚恤费用、基本养老保险、基本医疗保险费用、住房公积金、补偿金等债权的主体向管理人申报债权的，管理人应当接收。</w:t>
      </w:r>
    </w:p>
    <w:p>
      <w:pPr>
        <w:pStyle w:val="3"/>
        <w:keepNext w:val="0"/>
        <w:keepLines w:val="0"/>
        <w:pageBreakBefore w:val="0"/>
        <w:widowControl w:val="0"/>
        <w:wordWrap/>
        <w:bidi w:val="0"/>
        <w:spacing w:before="0" w:after="0" w:line="500" w:lineRule="exact"/>
        <w:jc w:val="center"/>
        <w:rPr>
          <w:rFonts w:hint="eastAsia" w:ascii="楷体" w:hAnsi="楷体" w:eastAsia="楷体" w:cs="楷体"/>
          <w:color w:val="000000"/>
          <w:sz w:val="28"/>
          <w:szCs w:val="28"/>
        </w:rPr>
      </w:pPr>
      <w:bookmarkStart w:id="708" w:name="_Toc73461835"/>
      <w:r>
        <w:rPr>
          <w:rFonts w:hint="eastAsia" w:ascii="楷体" w:hAnsi="楷体" w:eastAsia="楷体" w:cs="楷体"/>
          <w:color w:val="000000"/>
          <w:sz w:val="28"/>
          <w:szCs w:val="28"/>
        </w:rPr>
        <w:t>第三节  债权审核流程</w:t>
      </w:r>
      <w:bookmarkEnd w:id="708"/>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债权审核流程包括管理人审查、债务人核查反馈、债权人异议、管理人复核、债权表编制。</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管理人应当结合债权人的申报材料和债务人提供的材料对债权是否成立、债权性质、债权数额、担保情况等进行实质审查。</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管理人可以根据审查需要通知债权人补充材料或者说明情况。</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管理人可以将债权申报统计表和债权人的申报材料送交债务人核查，并要求债务人在管理人规定的期限内反馈意见。管理人可以根据审查需要，通知债务人的相关人员到场配合并说明情况。</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债务人反馈意见应当包括债权是否成立、债权性质、债权数额、担保情况和管理人要求说明的其他情况。</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债务人下落不明或者不发表意见的，管理人可以依据债权人的申报材料迳行审查。</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b/>
          <w:bCs/>
          <w:color w:val="000000"/>
          <w:sz w:val="28"/>
          <w:szCs w:val="28"/>
        </w:rPr>
      </w:pPr>
      <w:r>
        <w:rPr>
          <w:rFonts w:hint="eastAsia" w:ascii="仿宋_GB2312" w:hAnsi="仿宋" w:eastAsia="仿宋_GB2312" w:cs="仿宋"/>
          <w:color w:val="000000"/>
          <w:sz w:val="28"/>
          <w:szCs w:val="28"/>
        </w:rPr>
        <w:t xml:space="preserve">  管理人应当将审核意见通知债权人。</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审核意见为债权不成立、债权性质和担保与申报不一致、债权数额与申报存在差异，应当在通知中说明债权不成立或者产生相关差异的原因。</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管理人通知债权人审核意见，应当给予债权人不少于七日的异议期。</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债权人提出异议的，管理人可以将异议送交债务人核查。</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管理人应当书面通知债权人复核意见，并告知债权人有权自收到审核意见之日起十五日内向法院提起诉讼。</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管理人应当根据债权审核意见编制债权表。债权表应当列明债权人的姓名或者名称、申报的债权性质和债权数额、审核的债权性质和债权数额。</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暂缓核定的债权和不予核定的债权应另行列表并提交债权人会议。</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暂缓核定的债权包括管理人尚未作出审核意见或者复核意见的债权、管理人作出审核意见或者复核意见后债权人提起诉讼的债权、附条件但条件在尚未成就的债权、诉讼和仲裁未决的债权、债务人的保证人或者其他连带债务人对债务人将来求偿权的债权等。</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管理人可以告知债权人暂缓核定的原因。暂缓核定的原因消除后，管理人应当及时完成审查并将审核意见通知债权人。</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管理人应当在第一次债权人会议召开之前完成债权审查和债权表的编制，因特殊情况未完成债权审查和债权表编制的，应当向债权人会议作出书面说明。</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管理人应当编制并公示职工债权清单。职工债权清单应当包括职工债权人的姓名或者名称、职工债权的类别、职工债权的数额。职工对职工债权清单记载有异议并要求更正的，管理人应当进行复核并将复核结论书面通知职工。管理人复核后不予更正的，应当告知职工可以在接到书面通知之日起十五日内依法提起诉讼。</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管理人应当在第一次债权人会议召开之前完成职工债权清单的编制并在债权申报地点、债务人住所地或者相关场地、网络平台进行公示，因特殊情况未完成职工债权清单编制并公示的，应当向债权人会议作出书面说明。</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管理人应当保存债权表和债权申报材料，供利害关系人查阅。</w:t>
      </w:r>
    </w:p>
    <w:p>
      <w:pPr>
        <w:pStyle w:val="3"/>
        <w:keepNext w:val="0"/>
        <w:keepLines w:val="0"/>
        <w:pageBreakBefore w:val="0"/>
        <w:widowControl w:val="0"/>
        <w:wordWrap/>
        <w:bidi w:val="0"/>
        <w:spacing w:before="0" w:after="0" w:line="500" w:lineRule="exact"/>
        <w:jc w:val="center"/>
        <w:rPr>
          <w:rFonts w:hint="eastAsia" w:ascii="楷体" w:hAnsi="楷体" w:eastAsia="楷体" w:cs="楷体"/>
          <w:color w:val="000000"/>
          <w:sz w:val="28"/>
          <w:szCs w:val="28"/>
        </w:rPr>
      </w:pPr>
      <w:bookmarkStart w:id="709" w:name="_Toc73461836"/>
      <w:r>
        <w:rPr>
          <w:rFonts w:hint="eastAsia" w:ascii="楷体" w:hAnsi="楷体" w:eastAsia="楷体" w:cs="楷体"/>
          <w:color w:val="000000"/>
          <w:sz w:val="28"/>
          <w:szCs w:val="28"/>
        </w:rPr>
        <w:t>第四节  债权人会议核查</w:t>
      </w:r>
      <w:bookmarkEnd w:id="709"/>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管理人应当将债权表提交第一次债权人会议核查。第一次债权人会议未能核查的债权，管理人应当提交之后的债权人会议核查。</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管理人将债权表提交债权人会议核查时，应当同时送交债务人核查。</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债权人和债务人对债权表记载的内容有异议的，应当在债权人会议核查结束后十五日内向人民法院提起债权确认诉讼。</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职工对职工债权清单记载的内容有异议的，应当自清单公示之日起十五日内向有管辖权的法院提起债权确认诉讼。</w:t>
      </w:r>
    </w:p>
    <w:p>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jc w:val="center"/>
        <w:textAlignment w:val="auto"/>
        <w:outlineLvl w:val="9"/>
        <w:rPr>
          <w:rFonts w:hint="eastAsia" w:ascii="黑体" w:hAnsi="黑体" w:eastAsia="黑体" w:cs="黑体"/>
          <w:b w:val="0"/>
          <w:bCs/>
          <w:color w:val="000000"/>
          <w:sz w:val="28"/>
          <w:szCs w:val="28"/>
        </w:rPr>
      </w:pPr>
      <w:bookmarkStart w:id="710" w:name="_Toc73461837"/>
    </w:p>
    <w:p>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jc w:val="center"/>
        <w:textAlignment w:val="auto"/>
        <w:rPr>
          <w:rFonts w:hint="eastAsia" w:ascii="黑体" w:hAnsi="黑体" w:eastAsia="黑体" w:cs="黑体"/>
          <w:b w:val="0"/>
          <w:bCs/>
          <w:color w:val="000000"/>
          <w:sz w:val="28"/>
          <w:szCs w:val="28"/>
        </w:rPr>
      </w:pPr>
      <w:bookmarkStart w:id="711" w:name="_Toc13950"/>
      <w:r>
        <w:rPr>
          <w:rFonts w:hint="eastAsia" w:ascii="黑体" w:hAnsi="黑体" w:eastAsia="黑体" w:cs="黑体"/>
          <w:b w:val="0"/>
          <w:bCs/>
          <w:color w:val="000000"/>
          <w:sz w:val="28"/>
          <w:szCs w:val="28"/>
        </w:rPr>
        <w:t>第三章  债权审核标准</w:t>
      </w:r>
      <w:bookmarkEnd w:id="710"/>
      <w:bookmarkEnd w:id="711"/>
    </w:p>
    <w:p>
      <w:pPr>
        <w:pStyle w:val="3"/>
        <w:keepNext w:val="0"/>
        <w:keepLines w:val="0"/>
        <w:pageBreakBefore w:val="0"/>
        <w:widowControl w:val="0"/>
        <w:wordWrap/>
        <w:bidi w:val="0"/>
        <w:spacing w:before="0" w:after="0" w:line="500" w:lineRule="exact"/>
        <w:jc w:val="center"/>
        <w:rPr>
          <w:rFonts w:hint="eastAsia" w:ascii="楷体" w:hAnsi="楷体" w:eastAsia="楷体" w:cs="楷体"/>
          <w:color w:val="000000"/>
          <w:sz w:val="28"/>
          <w:szCs w:val="28"/>
        </w:rPr>
      </w:pPr>
      <w:bookmarkStart w:id="712" w:name="_Toc73461838"/>
      <w:r>
        <w:rPr>
          <w:rFonts w:hint="eastAsia" w:ascii="楷体" w:hAnsi="楷体" w:eastAsia="楷体" w:cs="楷体"/>
          <w:color w:val="000000"/>
          <w:sz w:val="28"/>
          <w:szCs w:val="28"/>
        </w:rPr>
        <w:t>第一节  债权利息审核标准</w:t>
      </w:r>
      <w:bookmarkEnd w:id="712"/>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本操作指引所称的债权利息，包括依照法律法规、生效法律文书、合同以及根据交易习惯应当计算的利息、逾期利息、罚息、复利、逾期还款或付款的违约金或滞纳金、资金占用费等。</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借贷合同的债权人向债务人收取的咨询费、顾问费、管理费、手续费、综合费等费用按利息处理。</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债权申报的利息按照合同约定审核，合同成立于2020年8月20日之前，利息约定的年利率不得超过24%。合同约定逾期利息、罚息、复利、违约金、滞纳金，或资金占用费、管理费、手续费、咨询费、综合费等费用的，从其约定，但总额折算不得超过年利率24%。</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合同成立于2020年8月20日之后，利息约定的利率及相关费用总额不得超过合同成立时一年期贷款市场报价利率的四倍。</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法院受理破产申请前一年内，债务人已支付利息超过的前两款规定的部分应在申报的债权数额中核减。</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债权申报有生效法律文书的，管理人应当按照生效法律文书确定的方法计算利息。债务人未履行生效法律文书确定的义务，应加倍支付迟延履行期间的债务利息，包括迟延履行期间的一般债务利息和加倍部分债务利息。</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迟延履行期间的一般债务利息，根据生效法律文书确定的方法计算；生效法律文书未确定给付该利息的，不予计算。</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加倍部分债务利息的计算方法为：加倍部分债务利息=债务人尚未清偿的生效法律文书确定的除一般债务利息之外的金钱债务×日万分之一点七五×迟延履行期间。</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加倍部分债务利息自生效法律文书确定的履行期间届满之日起计算；生效法律文书确定分期履行的，自每次履行期间届满之日起计算；生效法律文书未确定履行期间的，自法律文书生效之日起计算。</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债权申报依据的合同未约定利息或者生效法律文书未确定给付利息的，不计算债权利息，但履行期限届满后或者法律规定催告后的利息除外。</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债权申报依据的合同约定利息不明，但根据交易习惯应当计算利息或者资金占用费的，管理人根据债务人实际情况，可以按照中国人民银行公布的同期银行一年期贷款利率计算利息。</w:t>
      </w:r>
    </w:p>
    <w:p>
      <w:pPr>
        <w:pStyle w:val="3"/>
        <w:keepNext w:val="0"/>
        <w:keepLines w:val="0"/>
        <w:pageBreakBefore w:val="0"/>
        <w:widowControl w:val="0"/>
        <w:wordWrap/>
        <w:bidi w:val="0"/>
        <w:spacing w:before="0" w:after="0" w:line="500" w:lineRule="exact"/>
        <w:jc w:val="center"/>
        <w:rPr>
          <w:rFonts w:hint="eastAsia" w:ascii="楷体" w:hAnsi="楷体" w:eastAsia="楷体" w:cs="楷体"/>
          <w:color w:val="000000"/>
          <w:sz w:val="28"/>
          <w:szCs w:val="28"/>
        </w:rPr>
      </w:pPr>
      <w:bookmarkStart w:id="713" w:name="_Toc73461839"/>
      <w:r>
        <w:rPr>
          <w:rFonts w:hint="eastAsia" w:ascii="楷体" w:hAnsi="楷体" w:eastAsia="楷体" w:cs="楷体"/>
          <w:color w:val="000000"/>
          <w:sz w:val="28"/>
          <w:szCs w:val="28"/>
        </w:rPr>
        <w:t>第二节  债权本金审核标准</w:t>
      </w:r>
      <w:bookmarkEnd w:id="713"/>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债权人申报的债权已经人民法院生效判决书、裁定书、调解书，仲裁机构、劳动仲裁机关生效裁决书，或者公证机关公证债权文书确定的，管理人按照生效法律文书确定的数额或者生效法律文书确定的计算方法予以审核。</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生效法律文书确有错误，符合申请再审条件或者符合第三人撤销之诉要件的，管理人可以在取得相应证据后申请再审或者提起第三人撤销之诉。</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管理人申请再审或者提起第三人撤销之诉的，应当书面报告人民法院，相应债权暂缓审核。</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诉讼、仲裁未决的债权暂缓审核。管理人可以根据案件实际情况决定是否上诉。</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债务人下落不明、不反馈意见、不提交证据材料，或者财务记录不明的债权，管理人可以根据债权人申报材料和管理人依法取得的其他材料予以审核。</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管理人应当依照民事诉讼证据的相关规定对债权人的申报材料、债务人的反馈材料和财务账册以及管理人取得的其他证据材料进行审核，必要时可以申请人民法院调查取证，也可以申请聘请相关审计、鉴定机构进行专项审计、鉴定。</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债权人申报合同之债的，管理人应当查明合同成立、生效、履行、变更、中止和发生争议的情况。</w:t>
      </w:r>
    </w:p>
    <w:p>
      <w:pPr>
        <w:pStyle w:val="25"/>
        <w:keepNext w:val="0"/>
        <w:keepLines w:val="0"/>
        <w:pageBreakBefore w:val="0"/>
        <w:widowControl w:val="0"/>
        <w:numPr>
          <w:ilvl w:val="0"/>
          <w:numId w:val="410"/>
        </w:numPr>
        <w:shd w:val="clear" w:color="auto" w:fill="FFFFFF"/>
        <w:wordWrap/>
        <w:bidi w:val="0"/>
        <w:spacing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债权人申报债权为民间借贷类债权，严格审查债务人企业财务入账情况，防止债务人企业法定代表人、股东或其他实际控制人利用破产程序转移财产或承认不真实债务，债权人未提交银行转账凭证或其他付款证据佐证且债务人企业财务无入账记录，导致债权无法查实的，对其申报债权管理人不予确认。</w:t>
      </w:r>
    </w:p>
    <w:p>
      <w:pPr>
        <w:pStyle w:val="25"/>
        <w:keepNext w:val="0"/>
        <w:keepLines w:val="0"/>
        <w:pageBreakBefore w:val="0"/>
        <w:widowControl w:val="0"/>
        <w:numPr>
          <w:ilvl w:val="0"/>
          <w:numId w:val="410"/>
        </w:numPr>
        <w:shd w:val="clear" w:color="auto" w:fill="FFFFFF"/>
        <w:wordWrap/>
        <w:bidi w:val="0"/>
        <w:spacing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债权人申报债权为股东个人借款所产生的债权，原则上不予确，但有证据证明股东借款系债权人转入债务人企业公账或用于债务人企业日常经营的除外。</w:t>
      </w:r>
    </w:p>
    <w:p>
      <w:pPr>
        <w:pStyle w:val="25"/>
        <w:keepNext w:val="0"/>
        <w:keepLines w:val="0"/>
        <w:pageBreakBefore w:val="0"/>
        <w:widowControl w:val="0"/>
        <w:numPr>
          <w:ilvl w:val="0"/>
          <w:numId w:val="410"/>
        </w:numPr>
        <w:shd w:val="clear" w:color="auto" w:fill="FFFFFF"/>
        <w:wordWrap/>
        <w:bidi w:val="0"/>
        <w:spacing w:line="500" w:lineRule="exact"/>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所申报债权为债务人企业为股东和利害关系人提供担保而形成的债权，管理人应对担保债权的程序合法性和担保时效性进行审查，除有证据证明债权人在担保合同订立时系善意相对人，且担保行为符合《公司法》及相关法律法规规定的担保程序的外，相关债权不予确认。</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债权人申报侵权之债的，管理人应当查明债务人行为的违法性、债权人受损害事实和损害后果、因果关系和债务人过错的情况。</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债权人申报不当得利之债的，管理人应当查明债权人受损与债务人获益之间的因果关系、债务人获益有无法律或者合同依据的情况。</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债权人申报无因管理之债的，管理人应当查明债权人管理债务人的事务、债权人确无法定或者约定义务的情况。</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未到期的债权在破产案件受理时视为到期。附条件的债权，管理人应当审查所附条件是否成就；条件尚未成就的，暂缓审核。</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连带债权人可以由其中一人代表全体连带债权人申报债权，也可以共同申报债权。连带债权人由其中一人代表全体连带债权人申报债权或者共同申报债权的，应当认定为一笔债权。</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债权人未向管理人申报全部债权时，债务人的保证人或者其他连带债务人尚未代替债务人清偿债务，但以其对债务人的将来求偿权申报债权的，管理人应当接收并暂缓审核。</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债权人申报的下列债权不予认定：</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（一）行政、司法机关对债务人的罚款、罚金及其他有关费用；</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（二）债务人未履行生效法律文书应当加倍支付的迟延利息和劳动保险金的滞纳金；</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（三）债务人逾期不履行行政决定的金钱给付义务，行政机构加处的超过金钱给付义务数额一倍的滞纳金；</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（四）破产案件受理日以后的债务利息；</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（五）债权人参加破产程序所支出的费用；</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（六）债务人的股权、股票持有人在股权、股票上的权利；</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（七）超过诉讼时效的债权，超过法律规定的期限未申请强制执行的债权；</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（八）债务人开办单位对债务人未收取的管理费、承包费；</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（九）管理人或债务人在破产程序内解除合同，合同相对方申报的超出实际损失的赔偿请求或者要求返还定金的加倍部分；</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（十）政府无偿拨付给债务人的资金，但财政扶贫、科技管理等行政部门通过签订合同，按有偿使用、定期归还原则发放的款项除外；</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（十一）超过债权人申报范围的债权；</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（十二）其他依据相关法律法规不予认定的债权。</w:t>
      </w:r>
    </w:p>
    <w:p>
      <w:pPr>
        <w:pStyle w:val="3"/>
        <w:keepNext w:val="0"/>
        <w:keepLines w:val="0"/>
        <w:pageBreakBefore w:val="0"/>
        <w:widowControl w:val="0"/>
        <w:wordWrap/>
        <w:bidi w:val="0"/>
        <w:spacing w:before="0" w:after="0" w:line="500" w:lineRule="exact"/>
        <w:jc w:val="center"/>
        <w:rPr>
          <w:rFonts w:hint="eastAsia" w:ascii="楷体" w:hAnsi="楷体" w:eastAsia="楷体" w:cs="楷体"/>
          <w:color w:val="000000"/>
          <w:sz w:val="28"/>
          <w:szCs w:val="28"/>
        </w:rPr>
      </w:pPr>
      <w:bookmarkStart w:id="714" w:name="_Toc73461840"/>
      <w:r>
        <w:rPr>
          <w:rFonts w:hint="eastAsia" w:ascii="楷体" w:hAnsi="楷体" w:eastAsia="楷体" w:cs="楷体"/>
          <w:color w:val="000000"/>
          <w:sz w:val="28"/>
          <w:szCs w:val="28"/>
        </w:rPr>
        <w:t>第三节  特殊债权审核标准</w:t>
      </w:r>
      <w:bookmarkEnd w:id="714"/>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其他债权是指所申报债权具有特殊性，如所申报为涉及刑事犯罪债权、建设工程价款优先受偿权、有财产担保债权、管理人解除合同产生债权、职工债权或职工集资债权、税款债权和抵销权等，或因债务人为房地产企业，债权人履行合同义务后，相关房地产未达到不动产办证条件所产生的购房类债权等。</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除本节另有规定外，其他债权按照普通债权审核标准执行。</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债权人申报的债权涉及犯罪嫌疑，已经进入侦查、起诉或者审判程序的，且刑事案件与债权基于同一法律关系、其结果对债权审核有影响的，在人民法院作出生效的刑事判决或者裁定前，管理人应暂缓审核。</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债权人申报的债权涉及非法集资刑事案件，经刑事生效判决确认属于非法集资刑事案件中所产生的债权，债权人本金尚未归还的，债权人申报的利息不予支持，债务人已支付的利息、分红等回报予以折抵债权本金。</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债权人申报的债权涉及非法集资刑事案件，在刑事生效判决之前已有生效民事判决书确认，且未经刑事生效判决确认为非法集资刑事案件所产生的债权，管理人按照民事生效判决确认的金额进行审核。</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所申报债权为建设工程价款债权的，应当在法律规定的期限内申报或者提交在法律规定的期限内主张权利的证据，债权人未在法律规定的期限内申报或者不能提交在法律规定的期限内主张权利证据的，作为普通债权审核。</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工程款债权符合《民法典》第八百零七条和《最高人民法院关于审理建设工程施工合同纠纷案件适用法律问题的解释（一）》第三十五条至第四十二条规定的关于工程价款优先受偿条件，债权人就相关工程折价或者拍卖的价款享有优先受偿，管理人予以支持。</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消费者已支付商品房的全部或者大部分购买款项的，承包人就该商品房享有的工程价款优先受偿权不得对抗买受人。</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有财产担保债权是指债务人以不动产、动产、权利提供担保所对应的债权。破产案件的债务人仅是抵押人、出质人、留置物的所有权人，不是主债务人，担保权人要求在破产程序内实现担保物权的，参照法律和本规则关于有财产担保债权的规定审核。</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依法应当办理登记的担保物权，未办理登记的，作为普通债权审核。</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以动产设定抵押的，未登记或者登记不符合法律法规规定的，不得对抗已经对动产取得相应权利的善意第三人。</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抵押登记时土地上已有建筑物的，债权人仅办理了土地使用权抵押登记或者建筑物抵押登记，抵押权的范围包括地上建筑物和土地使用权，但土地和房产已分别办理了抵押登记的除外。</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建设用地使用权抵押后，该土地上新增的建筑物不属于抵押财产。该建设用地使用权实现抵押权时，应当将该土地上新增的建筑物与建设用地适用权一并处分，但是新增建筑物所得的价款，抵押权人无权优先受偿。</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同一财产向两个以上债权人抵押的，依照《</w:t>
      </w:r>
      <w:r>
        <w:rPr>
          <w:rFonts w:hint="eastAsia" w:ascii="仿宋_GB2312" w:hAnsi="仿宋" w:eastAsia="仿宋_GB2312" w:cs="仿宋"/>
          <w:color w:val="000000"/>
          <w:sz w:val="28"/>
          <w:szCs w:val="28"/>
        </w:rPr>
        <w:fldChar w:fldCharType="begin"/>
      </w:r>
      <w:r>
        <w:rPr>
          <w:rFonts w:hint="eastAsia" w:ascii="仿宋_GB2312" w:hAnsi="仿宋" w:eastAsia="仿宋_GB2312" w:cs="仿宋"/>
          <w:color w:val="000000"/>
          <w:sz w:val="28"/>
          <w:szCs w:val="28"/>
        </w:rPr>
        <w:instrText xml:space="preserve"> HYPERLINK "https://www.waizi.org.cn/law/5222.html" \t "_blank" \o "《中华人民共和国物权法》国家主席令第六十二号（全文）" </w:instrText>
      </w:r>
      <w:r>
        <w:rPr>
          <w:rFonts w:hint="eastAsia" w:ascii="仿宋_GB2312" w:hAnsi="仿宋" w:eastAsia="仿宋_GB2312" w:cs="仿宋"/>
          <w:color w:val="000000"/>
          <w:sz w:val="28"/>
          <w:szCs w:val="28"/>
        </w:rPr>
        <w:fldChar w:fldCharType="separate"/>
      </w:r>
      <w:r>
        <w:rPr>
          <w:rFonts w:hint="eastAsia" w:ascii="仿宋_GB2312" w:hAnsi="仿宋" w:eastAsia="仿宋_GB2312" w:cs="仿宋"/>
          <w:color w:val="000000"/>
          <w:sz w:val="28"/>
          <w:szCs w:val="28"/>
        </w:rPr>
        <w:t>中华人民共和国民法典</w:t>
      </w:r>
      <w:r>
        <w:rPr>
          <w:rFonts w:hint="eastAsia" w:ascii="仿宋_GB2312" w:hAnsi="仿宋" w:eastAsia="仿宋_GB2312" w:cs="仿宋"/>
          <w:color w:val="000000"/>
          <w:sz w:val="28"/>
          <w:szCs w:val="28"/>
        </w:rPr>
        <w:fldChar w:fldCharType="end"/>
      </w:r>
      <w:r>
        <w:rPr>
          <w:rFonts w:hint="eastAsia" w:ascii="仿宋_GB2312" w:hAnsi="仿宋" w:eastAsia="仿宋_GB2312" w:cs="仿宋"/>
          <w:color w:val="000000"/>
          <w:sz w:val="28"/>
          <w:szCs w:val="28"/>
        </w:rPr>
        <w:t>》物权编之规定确定优先受偿权。</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债权人对担保财产的优先受偿权，及于担保财产的保险赔偿金、损害赔偿金、征收款、拆迁补偿金，以及担保财产变价所得的价款。</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上述资金在破产案件受理前取得的，债权人主张优先受偿需符合独立存放且未被挪用的条件。</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所申报债权为解除合同产生的债权，原则上按普通债权处理，但符合消费者购房条件的，管理人基于保障消费者生存权原则考虑，可以确认其购房款为优先债权。</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管理人审核职工债权，应当调查债务人财务账册、劳动合同、工资发放记录、社会保险和住房公积金缴纳记录、考勤记录、人事档案等证据材料，查明债务人企业职工的在职岗位、工作年限、劳动合同签订情况、社会保险和住房公积金缴纳情况、工资发放情况，结合审计报告与债务人企业相关负责人进行核对，列明职工债权清单予以公示。 </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对于债务人企业董事、监事和高级管理人工资按照企业职工平均工资计算（平均工资计算时应剔除董、监、高的工资），超过职工平均工资的部分按普通债权处理。</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因债务人陷入经营危机，向债务人企业内部职工集资所产生的债权，按照集资款用途确定，集资款用于垫付工资和医疗、伤残补助、抚恤费用、基本养老保险、基本医疗保险费用、住房公积金、补偿金等费用的，参照职工债权处理。</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集资款用于企业日常经营，管理人根据债务人实际情况，可以参照职工债权处理。</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劳动监察机构、社会保险机构、欠薪保障基金管理机构、工会、债务人经营场所的房屋出租方以及其他主体为债务人垫付工资和医疗、伤残补助、抚恤费用、基本养老保险、基本医疗保险费用、住房公积金、补偿金等费用的，视为职工债权。</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管理人审核税款债权，应当核查债务人财务账册和税收征管机关的申报材料。债务人欠缴税款以及欠缴税款对应的各类附加属于税款债权。债务人在破产案件受理前因欠缴税款产生的滞纳金属于普通债权。债务人因欠缴税款产生的罚款，以及破产案件受理后因欠缴税款产生的滞纳金，不认定为破产债权。</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管理人不应主动通知债权人进行抵销，但抵销使债务人财产受益或者享有抵销权的债权人亦已被人民法院受理破产的除外。</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互负债权债务的双方当事人均已破产的，以破产案件受理前的双方债权债务进行抵销，不得以一方的全部债权额与另一方的破产债权分配额进行抵销。</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管理人审核正常购房产生的债权，应当根据债务人企业移交的商品房销售清单、网签清单、财务资料和购房人提交的《商品房买卖合同》、银行流水、收款收据等证据材料，结合审计机构提供的数据，审查债权人是否履行完全部付款义务。</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对于付清全部购房款且符合正常购房条件，确认债权人与债务人企业签订的《商品房买卖合同》继续履行。</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对于尚未履行完全部付款义务的债权人，管理人应向债权人送达书面《通知书》，催收其欠付的购房款，对于暂时缺乏支付能力但愿意继续履行付款义务的债权人，管理人可与债权人约定欠付的购房款采用分期（不超过三期）方式进行支付；催收后付清购房款，管理人可确定购房合同继续履行。</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经管理人催收后，债权人拒绝履行付款义务的，管理人可基于《破产法》第十八条的规定，解除《商品房买卖合同》，已付购房款作为普通债权处理，但符合消费者购房条件的除外，资金占用费列为普通债权。</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管理人审核名为购房实为借贷的购房债权，应当根据债务人企业财务资料等相关证据，结合审计报告确认双方真实意思表示。现有证据足以证明债务人企业与债权人之间是名为购房实为借贷的，管理人对于其申报的购房债权不予支持，同时通知债权人按基础法律关系向管理人申报普通金钱债权，所购房屋系为借款提供担保的，按让与担保法律关系处理，即实际借款本息在拍卖、变卖所购房的价款中或折价优先受偿。</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债务人企业的财务资料显示为借贷，但现有证据不足以证明债务人企业与债权人之间借贷法律关系成立，相反能证明为购房法律关系的，管理人拟确认债务人企业与债权人之间基础法律关系为房屋买卖关系，继续履行《商品房买卖合同》，但房屋单价明显低于合同签订时市场价格的，管理人可参照当前市场价格与相关购房人协商谈判，在原购房合同约定的价款基础上增加价款，促使破产财产增值。</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管理人审核以房抵债而产生的购房债权，对于债权履行期届满后，债务人企业与债权人以签订《商品房买卖合同》达成的以房抵债，由管理人通知债权人，按照原债权债务关系申报债权，所申报债权为普通债权；债权人已通过诉讼、仲裁方式，获取改变原有物权关系的生效判决书、裁定书，或人民法院在执行程序中作出拍卖成交裁定书、以物抵债裁定书，管理人审核为房屋所有权。</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对于债权履行期届满前，债务人企业与债权人以签订《商品房买卖合同》达成的以房抵债，但尚未完成权属变更登记的，由当事人按照原债权债务关系申报债权；不动产已经完成登记的，按照让与担保的规定处理。</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经生效文书确认合同有效但实为债权债务关系的购房债权，即法院判决或仲裁的生效法律文书确认购房合同的效力，判决债务人企业交付房产但双方基础法律关系为债权债务关系，且生效文书并未判决或裁定改变原有物权关系的，由管理人通知债权人按照原债权债务关系向管理人申报债权，所申报债权拟确认为普通债权；人民法院在执行程序中已依法作出拍卖成交裁定书或以物抵债裁定书的，管理人审核为房屋所有权。</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所申报债权为债务人企业挪用维修资金、契税等办证费用所产生的债权，在所购房产达到办证条件时，可以参照共益债务优先处理，原则上购房人无需申报债权，由管理人将已代收的费用（按照多退少补原则，即多收取部分按共益债退还购房人，少收取部分由购房人自行补足）统一缴纳至相关部门。</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购房债权人为办理不动产权证，重新向相关部门缴纳的，债权人凭重复缴纳的证据材料向管理人申报债权，该部分债权可以参照共益债权处理。</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债务人企业未按《商品房买卖合同》约定按时交付房屋或办理房屋权属登记而产生的违约金、滞纳金、利息等，符合正常购房的条件，且债权人企业与购房债权人签订的《商品房买卖合同》对于违约金、滞纳金、利息等有约定的，原则上从其约定，所申报债权按照普通债权处理。</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属于非正常购房（包括名为购房实为借贷、以房抵债等）或者购房债权人未按《商品房买卖合同》约定履行完其全部合同义务的（视为双方违约），对购房债权人所申报的违约金、滞纳金或利息均不予认可。</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p>
    <w:p>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jc w:val="center"/>
        <w:textAlignment w:val="auto"/>
        <w:rPr>
          <w:rFonts w:hint="eastAsia" w:ascii="黑体" w:hAnsi="黑体" w:eastAsia="黑体" w:cs="黑体"/>
          <w:b w:val="0"/>
          <w:bCs/>
          <w:color w:val="000000"/>
          <w:sz w:val="28"/>
          <w:szCs w:val="28"/>
        </w:rPr>
      </w:pPr>
      <w:bookmarkStart w:id="715" w:name="_Toc10188"/>
      <w:bookmarkStart w:id="716" w:name="_Toc73461841"/>
      <w:r>
        <w:rPr>
          <w:rFonts w:hint="eastAsia" w:ascii="黑体" w:hAnsi="黑体" w:eastAsia="黑体" w:cs="黑体"/>
          <w:b w:val="0"/>
          <w:bCs/>
          <w:color w:val="000000"/>
          <w:sz w:val="28"/>
          <w:szCs w:val="28"/>
        </w:rPr>
        <w:t>第四章  债权审核特别规定</w:t>
      </w:r>
      <w:bookmarkEnd w:id="715"/>
      <w:bookmarkEnd w:id="716"/>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 w:hAnsi="仿宋" w:eastAsia="仿宋" w:cs="仿宋"/>
          <w:color w:val="000000"/>
          <w:sz w:val="28"/>
          <w:szCs w:val="28"/>
        </w:rPr>
        <w:t xml:space="preserve">  </w:t>
      </w:r>
      <w:r>
        <w:rPr>
          <w:rFonts w:hint="eastAsia" w:ascii="仿宋_GB2312" w:hAnsi="仿宋" w:eastAsia="仿宋_GB2312" w:cs="仿宋"/>
          <w:color w:val="000000"/>
          <w:sz w:val="28"/>
          <w:szCs w:val="28"/>
        </w:rPr>
        <w:t>债务人自行管理财产和营业事务的重整案件、和解案件、破产清算案件均由管理人负责接收债权申报、审核债权、编制债权表。</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重整程序中，债权人未在债权申报期限内申报债权，但其在重整计划草案提交债权人会议表决前补充申报债权的，管理人应当接收并进行审查。债权在重整计划草案表决前未经法院裁定确认的，债权人不享有重整计划草案的表决权，但在法院裁定批准重整计划后，该债权人被确认的债权可依照重整计划确定的债权受偿方案获得清偿。</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债权人未在债权申报期限内申报债权，在法院裁定批准重整计划后重整计划执行完毕前补充申报债权的，管理人可以接收申报并进行审查，但债权人在重整计划执行期间不得行使权利；在重整计划执行完毕后，可以按照重整计划规定的同类债权的清偿条件行使权利。</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债权人未在债权申报期限内申报债权，在重整计划执行完毕后补充申报债权的，管理人不再接收申报，告知债权人向债务人主张权利</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管理人可以根据重整案件的实际情况制定符合法律和司法解释规定的供个案适用的债权审核标准，经债权人会议通过并报法院备案后施行。</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和解程序中，债权人未在债权申报期限内申报债权，但其在和解协议草案提交债权人会议表决前补充申报债权的，管理人应当接收并进行审查。债权在和解协议草案表决前未经法院裁定确认的，债权人不享有和解协议草案的表决权，在法院裁定认可和解协议后，该债权人被确认的债权可依照和解协议确定的债权受偿方案获得清偿。</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债权人未在债权申报期限内申报债权，在法院裁定认可和解协议后和解协议执行完毕前补充申报债权的，管理人可以接收申报并进行审查，但债权人在和解协议执行期间不得行使权利；在和解协议执行完毕后，可以按照和解协议规定的同类债权的清偿条件行使权利。</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债权人未在债权申报期限内申报债权，在和解协议执行完毕后补充申报债权的，管理人不再接收申报，告知债权人向债务人主张权利。</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管理人可以根据和解案件的实际情况制定符合法律和司法解释规定的供个案适用的债权审核标准，经债权人会议通过并报法院备案后施行。</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破产清算程序中，债权人未在债权申报期限内申报债权的，可以在法院裁定认可最后分配方案之前补充申报，对于其申报债权之前已经进行的分配，不再对其补充分配。</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前款规定的已经进行的分配，是指债权人补充申报时法院已经裁定认可破产财产分配方案。</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为审核补充申报债权产生的核查债权额外支出的费用，包括重新召开债权人会议费用和差旅费用等，由补充申报人承担。</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法院受理破产申请前，债务人已经自行清算的，管理人可以参考债务人清算组自行清算期间的工作成果审核债权和编制债权表。</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法院受理破产申请前，债务人已经人民法院指定清算组进行强制清算的，破产程序可以不再指定新的债权申报期间。</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强制清算期间的债权申报视为破产债权申报。</w:t>
      </w:r>
    </w:p>
    <w:p>
      <w:pPr>
        <w:pStyle w:val="25"/>
        <w:keepNext w:val="0"/>
        <w:keepLines w:val="0"/>
        <w:pageBreakBefore w:val="0"/>
        <w:widowControl w:val="0"/>
        <w:numPr>
          <w:ilvl w:val="0"/>
          <w:numId w:val="0"/>
        </w:numPr>
        <w:shd w:val="clear" w:color="auto" w:fill="FFFFFF"/>
        <w:wordWrap/>
        <w:bidi w:val="0"/>
        <w:spacing w:line="500" w:lineRule="exact"/>
        <w:ind w:firstLine="560" w:firstLineChars="200"/>
        <w:jc w:val="both"/>
        <w:rPr>
          <w:rFonts w:hint="eastAsia" w:ascii="仿宋_GB2312" w:hAnsi="仿宋" w:eastAsia="仿宋_GB2312" w:cs="仿宋"/>
          <w:color w:val="000000"/>
          <w:sz w:val="28"/>
          <w:szCs w:val="28"/>
        </w:rPr>
      </w:pPr>
    </w:p>
    <w:p>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jc w:val="center"/>
        <w:textAlignment w:val="auto"/>
        <w:rPr>
          <w:rFonts w:hint="eastAsia" w:ascii="黑体" w:hAnsi="黑体" w:eastAsia="黑体" w:cs="黑体"/>
          <w:b w:val="0"/>
          <w:bCs/>
          <w:color w:val="000000"/>
          <w:sz w:val="28"/>
          <w:szCs w:val="28"/>
        </w:rPr>
      </w:pPr>
      <w:bookmarkStart w:id="717" w:name="_Toc73461842"/>
      <w:bookmarkStart w:id="718" w:name="_Toc23909"/>
      <w:r>
        <w:rPr>
          <w:rFonts w:hint="eastAsia" w:ascii="黑体" w:hAnsi="黑体" w:eastAsia="黑体" w:cs="黑体"/>
          <w:b w:val="0"/>
          <w:bCs/>
          <w:color w:val="000000"/>
          <w:sz w:val="28"/>
          <w:szCs w:val="28"/>
        </w:rPr>
        <w:t>第五章   附则</w:t>
      </w:r>
      <w:bookmarkEnd w:id="717"/>
      <w:bookmarkEnd w:id="718"/>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textAlignment w:val="baseline"/>
        <w:rPr>
          <w:rFonts w:hint="eastAsia" w:ascii="仿宋_GB2312" w:hAnsi="仿宋" w:eastAsia="仿宋_GB2312" w:cs="仿宋"/>
          <w:color w:val="000000"/>
          <w:sz w:val="28"/>
          <w:szCs w:val="28"/>
        </w:rPr>
      </w:pPr>
      <w:r>
        <w:rPr>
          <w:rFonts w:hint="eastAsia" w:ascii="仿宋" w:hAnsi="仿宋" w:eastAsia="仿宋" w:cs="仿宋"/>
          <w:color w:val="000000"/>
          <w:sz w:val="28"/>
          <w:szCs w:val="28"/>
        </w:rPr>
        <w:t xml:space="preserve">  </w:t>
      </w:r>
      <w:r>
        <w:rPr>
          <w:rFonts w:hint="eastAsia" w:ascii="仿宋_GB2312" w:hAnsi="仿宋" w:eastAsia="仿宋_GB2312" w:cs="仿宋"/>
          <w:color w:val="000000"/>
          <w:sz w:val="28"/>
          <w:szCs w:val="28"/>
        </w:rPr>
        <w:t>本操作指引为律师事务所担任破产案件管理人业务的操作指导性意见，本操作指引与相关法律、行政法规及司法解释有抵触的，以相关法律、行政法规及司法解释的规定为准。</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textAlignment w:val="baseline"/>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 xml:space="preserve">  本操作指引中管理人对债权核查的意见为“审核意见”，债权审核最终意见以法院裁定书确认为准。</w:t>
      </w:r>
    </w:p>
    <w:p>
      <w:pPr>
        <w:pStyle w:val="25"/>
        <w:keepNext w:val="0"/>
        <w:keepLines w:val="0"/>
        <w:pageBreakBefore w:val="0"/>
        <w:widowControl w:val="0"/>
        <w:numPr>
          <w:ilvl w:val="0"/>
          <w:numId w:val="408"/>
        </w:numPr>
        <w:shd w:val="clear" w:color="auto" w:fill="FFFFFF"/>
        <w:wordWrap/>
        <w:bidi w:val="0"/>
        <w:spacing w:line="500" w:lineRule="exact"/>
        <w:ind w:left="0" w:firstLine="560" w:firstLineChars="200"/>
        <w:jc w:val="both"/>
        <w:textAlignment w:val="baseline"/>
        <w:rPr>
          <w:sz w:val="20"/>
          <w:szCs w:val="21"/>
        </w:rPr>
      </w:pPr>
      <w:r>
        <w:rPr>
          <w:rFonts w:hint="eastAsia" w:ascii="仿宋_GB2312" w:hAnsi="仿宋" w:eastAsia="仿宋_GB2312" w:cs="仿宋"/>
          <w:color w:val="000000"/>
          <w:sz w:val="28"/>
          <w:szCs w:val="28"/>
        </w:rPr>
        <w:t xml:space="preserve">  本操作指引由湖南省律师协会发布并负责解释。</w:t>
      </w:r>
    </w:p>
    <w:p/>
    <w:sectPr>
      <w:footerReference r:id="rId14" w:type="default"/>
      <w:footerReference r:id="rId15" w:type="even"/>
      <w:pgSz w:w="9978" w:h="13946"/>
      <w:pgMar w:top="1871" w:right="1304" w:bottom="1701" w:left="1304" w:header="850" w:footer="1247" w:gutter="0"/>
      <w:pgNumType w:fmt="decimal"/>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golian Baiti">
    <w:panose1 w:val="03000500000000000000"/>
    <w:charset w:val="00"/>
    <w:family w:val="script"/>
    <w:pitch w:val="default"/>
    <w:sig w:usb0="80000023" w:usb1="00000000" w:usb2="00020000" w:usb3="00000000" w:csb0="00000001" w:csb1="00000000"/>
  </w:font>
  <w:font w:name="FangSong_GB2312">
    <w:altName w:val="仿宋"/>
    <w:panose1 w:val="02010609060101010101"/>
    <w:charset w:val="00"/>
    <w:family w:val="modern"/>
    <w:pitch w:val="default"/>
    <w:sig w:usb0="00000000" w:usb1="00000000" w:usb2="00000016" w:usb3="00000000" w:csb0="00040001"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3000509000000000000"/>
    <w:charset w:val="86"/>
    <w:family w:val="auto"/>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方正粗倩简体">
    <w:altName w:val="宋体"/>
    <w:panose1 w:val="03000509000000000000"/>
    <w:charset w:val="86"/>
    <w:family w:val="auto"/>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黑体简体">
    <w:altName w:val="微软雅黑"/>
    <w:panose1 w:val="03000509000000000000"/>
    <w:charset w:val="86"/>
    <w:family w:val="auto"/>
    <w:pitch w:val="default"/>
    <w:sig w:usb0="00000000" w:usb1="00000000" w:usb2="00000000" w:usb3="00000000" w:csb0="00040000" w:csb1="00000000"/>
  </w:font>
  <w:font w:name="新宋体">
    <w:panose1 w:val="02010609030101010101"/>
    <w:charset w:val="86"/>
    <w:family w:val="auto"/>
    <w:pitch w:val="default"/>
    <w:sig w:usb0="00000283" w:usb1="288F0000" w:usb2="00000006" w:usb3="00000000" w:csb0="00040001" w:csb1="00000000"/>
  </w:font>
  <w:font w:name="MS Gothic">
    <w:panose1 w:val="020B0609070205080204"/>
    <w:charset w:val="80"/>
    <w:family w:val="modern"/>
    <w:pitch w:val="default"/>
    <w:sig w:usb0="E00002FF" w:usb1="6AC7FDFB" w:usb2="08000012" w:usb3="00000000" w:csb0="4002009F" w:csb1="DFD7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华文仿宋">
    <w:altName w:val="仿宋"/>
    <w:panose1 w:val="02010600040101010101"/>
    <w:charset w:val="86"/>
    <w:family w:val="auto"/>
    <w:pitch w:val="default"/>
    <w:sig w:usb0="00000000" w:usb1="00000000" w:usb2="00000000" w:usb3="00000000" w:csb0="0004009F" w:csb1="DFD70000"/>
  </w:font>
  <w:font w:name="方正仿宋简体">
    <w:altName w:val="微软雅黑"/>
    <w:panose1 w:val="02010601030101010101"/>
    <w:charset w:val="86"/>
    <w:family w:val="auto"/>
    <w:pitch w:val="default"/>
    <w:sig w:usb0="00000000" w:usb1="00000000" w:usb2="0000000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top w:val="none" w:color="auto" w:sz="0" w:space="1"/>
        <w:left w:val="none" w:color="auto" w:sz="0" w:space="4"/>
        <w:bottom w:val="none" w:color="auto" w:sz="0" w:space="1"/>
        <w:right w:val="none" w:color="auto" w:sz="0" w:space="4"/>
      </w:pBdr>
      <w:jc w:val="right"/>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gUys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gWN+GaEsctTvz888f515/z7+8E&#10;fShQH6DGvIeAmWn44AdMnv2Azsx7UNHmLzIiGEd5Txd55ZCIyI9Wy9WqwpDA2HxBfPb4PERIH6W3&#10;JBsNjTi/Iis/3kEaU+eUXM35W21MmaFx/zkQM3tY7n3sMVtp2A0ToZ1vT8inx9E31OGmU2I+OVQ2&#10;b8lsxNnYzcYhRL3vyhrlehDeHxI2UXrLFUbYqTDOrLCb9isvxb/3kvX4T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OBTKyQEAAJsDAAAOAAAAAAAAAAEAIAAAAB4BAABkcnMvZTJvRG9j&#10;LnhtbFBLBQYAAAAABgAGAFkBAABZBQAAAAA=&#10;">
              <v:fill on="f" focussize="0,0"/>
              <v:stroke on="f"/>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outside" w:y="1"/>
      <w:rPr>
        <w:rStyle w:val="19"/>
      </w:rPr>
    </w:pPr>
    <w:r>
      <w:rPr>
        <w:rStyle w:val="19"/>
      </w:rPr>
      <w:fldChar w:fldCharType="begin"/>
    </w:r>
    <w:r>
      <w:rPr>
        <w:rStyle w:val="19"/>
      </w:rPr>
      <w:instrText xml:space="preserve">PAGE  </w:instrText>
    </w:r>
    <w:r>
      <w:rPr>
        <w:rStyle w:val="19"/>
      </w:rPr>
      <w:fldChar w:fldCharType="end"/>
    </w:r>
  </w:p>
  <w:p>
    <w:pPr>
      <w:pStyle w:val="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top w:val="none" w:color="auto" w:sz="0" w:space="1"/>
        <w:left w:val="none" w:color="auto" w:sz="0" w:space="4"/>
        <w:bottom w:val="none" w:color="auto" w:sz="0" w:space="1"/>
        <w:right w:val="none" w:color="auto" w:sz="0" w:space="4"/>
      </w:pBdr>
      <w:ind w:right="360" w:firstLine="360"/>
      <w:jc w:val="right"/>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Style w:val="19"/>
                              <w:rFonts w:hint="eastAsia" w:ascii="宋体" w:hAnsi="宋体" w:eastAsia="宋体" w:cs="宋体"/>
                              <w:sz w:val="21"/>
                              <w:szCs w:val="21"/>
                              <w:lang w:eastAsia="zh-CN"/>
                            </w:rPr>
                          </w:pPr>
                          <w:r>
                            <w:rPr>
                              <w:rStyle w:val="19"/>
                              <w:rFonts w:hint="eastAsia" w:ascii="宋体" w:hAnsi="宋体" w:eastAsia="宋体" w:cs="宋体"/>
                              <w:sz w:val="21"/>
                              <w:szCs w:val="21"/>
                              <w:lang w:val="en-US" w:eastAsia="zh-CN"/>
                            </w:rPr>
                            <w:t>—</w:t>
                          </w:r>
                          <w:r>
                            <w:rPr>
                              <w:rStyle w:val="19"/>
                              <w:rFonts w:hint="default" w:ascii="Times New Roman" w:hAnsi="Times New Roman" w:eastAsia="宋体" w:cs="Times New Roman"/>
                              <w:sz w:val="21"/>
                              <w:szCs w:val="21"/>
                              <w:lang w:val="en-US" w:eastAsia="zh-CN"/>
                            </w:rPr>
                            <w:t xml:space="preserve"> </w:t>
                          </w:r>
                          <w:r>
                            <w:rPr>
                              <w:rStyle w:val="19"/>
                              <w:rFonts w:hint="default" w:ascii="Times New Roman" w:hAnsi="Times New Roman" w:eastAsia="宋体" w:cs="Times New Roman"/>
                              <w:sz w:val="21"/>
                              <w:szCs w:val="21"/>
                            </w:rPr>
                            <w:fldChar w:fldCharType="begin"/>
                          </w:r>
                          <w:r>
                            <w:rPr>
                              <w:rStyle w:val="19"/>
                              <w:rFonts w:hint="default" w:ascii="Times New Roman" w:hAnsi="Times New Roman" w:eastAsia="宋体" w:cs="Times New Roman"/>
                              <w:sz w:val="21"/>
                              <w:szCs w:val="21"/>
                            </w:rPr>
                            <w:instrText xml:space="preserve">PAGE  </w:instrText>
                          </w:r>
                          <w:r>
                            <w:rPr>
                              <w:rStyle w:val="19"/>
                              <w:rFonts w:hint="default" w:ascii="Times New Roman" w:hAnsi="Times New Roman" w:eastAsia="宋体" w:cs="Times New Roman"/>
                              <w:sz w:val="21"/>
                              <w:szCs w:val="21"/>
                            </w:rPr>
                            <w:fldChar w:fldCharType="separate"/>
                          </w:r>
                          <w:r>
                            <w:rPr>
                              <w:rStyle w:val="19"/>
                              <w:rFonts w:hint="default" w:ascii="Times New Roman" w:hAnsi="Times New Roman" w:eastAsia="宋体" w:cs="Times New Roman"/>
                              <w:sz w:val="21"/>
                              <w:szCs w:val="21"/>
                            </w:rPr>
                            <w:t>30</w:t>
                          </w:r>
                          <w:r>
                            <w:rPr>
                              <w:rStyle w:val="19"/>
                              <w:rFonts w:hint="default" w:ascii="Times New Roman" w:hAnsi="Times New Roman" w:eastAsia="宋体" w:cs="Times New Roman"/>
                              <w:sz w:val="21"/>
                              <w:szCs w:val="21"/>
                            </w:rPr>
                            <w:fldChar w:fldCharType="end"/>
                          </w:r>
                          <w:r>
                            <w:rPr>
                              <w:rStyle w:val="19"/>
                              <w:rFonts w:hint="eastAsia" w:ascii="宋体" w:hAnsi="宋体" w:eastAsia="宋体" w:cs="宋体"/>
                              <w:sz w:val="21"/>
                              <w:szCs w:val="21"/>
                              <w:lang w:val="en-US" w:eastAsia="zh-CN"/>
                            </w:rPr>
                            <w:t xml:space="preserve"> </w:t>
                          </w:r>
                          <w:r>
                            <w:rPr>
                              <w:rStyle w:val="19"/>
                              <w:rFonts w:hint="eastAsia" w:ascii="宋体" w:hAnsi="宋体" w:eastAsia="宋体" w:cs="宋体"/>
                              <w:sz w:val="21"/>
                              <w:szCs w:val="21"/>
                              <w:lang w:eastAsia="zh-CN"/>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xjdksg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VhS4rjFiV9+/rj8+nP5/Z2g&#10;DwXqA9SYdx8wMw3v/IDJsx/QmXkPKtr8RUYE4yjv+SqvHBIR+dF6tV5XGBIYmy+Izx6ehwjpvfSW&#10;ZKOhEedXZOWnj5DG1DklV3P+ThtTZmjcPw7EzB6Wex97zFYa9sNEaO/bM/LpcfQNdbjplJgPDpXN&#10;WzIbcTb2s3EMUR+6ska5HoTbY8ImSm+5wgg7FcaZFXbTfuWleHwvWQ//1PY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cY3ZLIAQAAmwMAAA4AAAAAAAAAAQAgAAAAHgEAAGRycy9lMm9Eb2Mu&#10;eG1sUEsFBgAAAAAGAAYAWQEAAFgFAAAAAA==&#10;">
              <v:fill on="f" focussize="0,0"/>
              <v:stroke on="f"/>
              <v:imagedata o:title=""/>
              <o:lock v:ext="edit" aspectratio="f"/>
              <v:textbox inset="0mm,0mm,0mm,0mm" style="mso-fit-shape-to-text:t;">
                <w:txbxContent>
                  <w:p>
                    <w:pPr>
                      <w:pStyle w:val="9"/>
                      <w:rPr>
                        <w:rStyle w:val="19"/>
                        <w:rFonts w:hint="eastAsia" w:ascii="宋体" w:hAnsi="宋体" w:eastAsia="宋体" w:cs="宋体"/>
                        <w:sz w:val="21"/>
                        <w:szCs w:val="21"/>
                        <w:lang w:eastAsia="zh-CN"/>
                      </w:rPr>
                    </w:pPr>
                    <w:r>
                      <w:rPr>
                        <w:rStyle w:val="19"/>
                        <w:rFonts w:hint="eastAsia" w:ascii="宋体" w:hAnsi="宋体" w:eastAsia="宋体" w:cs="宋体"/>
                        <w:sz w:val="21"/>
                        <w:szCs w:val="21"/>
                        <w:lang w:val="en-US" w:eastAsia="zh-CN"/>
                      </w:rPr>
                      <w:t>—</w:t>
                    </w:r>
                    <w:r>
                      <w:rPr>
                        <w:rStyle w:val="19"/>
                        <w:rFonts w:hint="default" w:ascii="Times New Roman" w:hAnsi="Times New Roman" w:eastAsia="宋体" w:cs="Times New Roman"/>
                        <w:sz w:val="21"/>
                        <w:szCs w:val="21"/>
                        <w:lang w:val="en-US" w:eastAsia="zh-CN"/>
                      </w:rPr>
                      <w:t xml:space="preserve"> </w:t>
                    </w:r>
                    <w:r>
                      <w:rPr>
                        <w:rStyle w:val="19"/>
                        <w:rFonts w:hint="default" w:ascii="Times New Roman" w:hAnsi="Times New Roman" w:eastAsia="宋体" w:cs="Times New Roman"/>
                        <w:sz w:val="21"/>
                        <w:szCs w:val="21"/>
                      </w:rPr>
                      <w:fldChar w:fldCharType="begin"/>
                    </w:r>
                    <w:r>
                      <w:rPr>
                        <w:rStyle w:val="19"/>
                        <w:rFonts w:hint="default" w:ascii="Times New Roman" w:hAnsi="Times New Roman" w:eastAsia="宋体" w:cs="Times New Roman"/>
                        <w:sz w:val="21"/>
                        <w:szCs w:val="21"/>
                      </w:rPr>
                      <w:instrText xml:space="preserve">PAGE  </w:instrText>
                    </w:r>
                    <w:r>
                      <w:rPr>
                        <w:rStyle w:val="19"/>
                        <w:rFonts w:hint="default" w:ascii="Times New Roman" w:hAnsi="Times New Roman" w:eastAsia="宋体" w:cs="Times New Roman"/>
                        <w:sz w:val="21"/>
                        <w:szCs w:val="21"/>
                      </w:rPr>
                      <w:fldChar w:fldCharType="separate"/>
                    </w:r>
                    <w:r>
                      <w:rPr>
                        <w:rStyle w:val="19"/>
                        <w:rFonts w:hint="default" w:ascii="Times New Roman" w:hAnsi="Times New Roman" w:eastAsia="宋体" w:cs="Times New Roman"/>
                        <w:sz w:val="21"/>
                        <w:szCs w:val="21"/>
                      </w:rPr>
                      <w:t>30</w:t>
                    </w:r>
                    <w:r>
                      <w:rPr>
                        <w:rStyle w:val="19"/>
                        <w:rFonts w:hint="default" w:ascii="Times New Roman" w:hAnsi="Times New Roman" w:eastAsia="宋体" w:cs="Times New Roman"/>
                        <w:sz w:val="21"/>
                        <w:szCs w:val="21"/>
                      </w:rPr>
                      <w:fldChar w:fldCharType="end"/>
                    </w:r>
                    <w:r>
                      <w:rPr>
                        <w:rStyle w:val="19"/>
                        <w:rFonts w:hint="eastAsia" w:ascii="宋体" w:hAnsi="宋体" w:eastAsia="宋体" w:cs="宋体"/>
                        <w:sz w:val="21"/>
                        <w:szCs w:val="21"/>
                        <w:lang w:val="en-US" w:eastAsia="zh-CN"/>
                      </w:rPr>
                      <w:t xml:space="preserve"> </w:t>
                    </w:r>
                    <w:r>
                      <w:rPr>
                        <w:rStyle w:val="19"/>
                        <w:rFonts w:hint="eastAsia" w:ascii="宋体" w:hAnsi="宋体" w:eastAsia="宋体" w:cs="宋体"/>
                        <w:sz w:val="21"/>
                        <w:szCs w:val="21"/>
                        <w:lang w:eastAsia="zh-CN"/>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ind w:right="360"/>
      <w:rPr>
        <w:sz w:val="20"/>
        <w:szCs w:val="20"/>
      </w:rP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686435" cy="19748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686435" cy="197485"/>
                      </a:xfrm>
                      <a:prstGeom prst="rect">
                        <a:avLst/>
                      </a:prstGeom>
                      <a:noFill/>
                      <a:ln>
                        <a:noFill/>
                      </a:ln>
                    </wps:spPr>
                    <wps:txbx>
                      <w:txbxContent>
                        <w:p>
                          <w:pPr>
                            <w:pStyle w:val="9"/>
                            <w:rPr>
                              <w:rFonts w:hint="default" w:ascii="Times New Roman" w:hAnsi="Times New Roman" w:eastAsia="宋体" w:cs="Times New Roman"/>
                              <w:sz w:val="21"/>
                              <w:szCs w:val="21"/>
                            </w:rPr>
                          </w:pPr>
                          <w:r>
                            <w:rPr>
                              <w:rStyle w:val="19"/>
                              <w:rFonts w:hint="eastAsia" w:ascii="宋体" w:hAnsi="宋体" w:eastAsia="宋体" w:cs="宋体"/>
                              <w:sz w:val="21"/>
                              <w:szCs w:val="21"/>
                              <w:lang w:val="en-US" w:eastAsia="zh-CN"/>
                            </w:rPr>
                            <w:t>—</w:t>
                          </w:r>
                          <w:r>
                            <w:rPr>
                              <w:rFonts w:hint="default" w:ascii="Times New Roman" w:hAnsi="Times New Roman" w:eastAsia="宋体" w:cs="Times New Roman"/>
                              <w:sz w:val="21"/>
                              <w:szCs w:val="21"/>
                            </w:rPr>
                            <w:t xml:space="preserve"> </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  \* MERGEFORMAT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148</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t xml:space="preserve"> </w:t>
                          </w:r>
                          <w:r>
                            <w:rPr>
                              <w:rStyle w:val="19"/>
                              <w:rFonts w:hint="eastAsia" w:ascii="宋体" w:hAnsi="宋体" w:eastAsia="宋体" w:cs="宋体"/>
                              <w:sz w:val="21"/>
                              <w:szCs w:val="21"/>
                              <w:lang w:val="en-US" w:eastAsia="zh-CN"/>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5.55pt;width:54.05pt;mso-position-horizontal:outside;mso-position-horizontal-relative:margin;mso-wrap-style:none;z-index:251659264;mso-width-relative:page;mso-height-relative:page;" filled="f" stroked="f" coordsize="21600,21600" o:gfxdata="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7TocytEAAAAEAQAADwAAAAAAAAABACAAAAAiAAAAZHJzL2Rv&#10;d25yZXYueG1sUEsBAhQAFAAAAAgAh07iQMvQJx7PAQAAmQMAAA4AAAAAAAAAAQAgAAAAIAEAAGRy&#10;cy9lMm9Eb2MueG1sUEsFBgAAAAAGAAYAWQEAAGEFAAAAAA==&#10;">
              <v:fill on="f" focussize="0,0"/>
              <v:stroke on="f"/>
              <v:imagedata o:title=""/>
              <o:lock v:ext="edit" aspectratio="f"/>
              <v:textbox inset="0mm,0mm,0mm,0mm" style="mso-fit-shape-to-text:t;">
                <w:txbxContent>
                  <w:p>
                    <w:pPr>
                      <w:pStyle w:val="9"/>
                      <w:rPr>
                        <w:rFonts w:hint="default" w:ascii="Times New Roman" w:hAnsi="Times New Roman" w:eastAsia="宋体" w:cs="Times New Roman"/>
                        <w:sz w:val="21"/>
                        <w:szCs w:val="21"/>
                      </w:rPr>
                    </w:pPr>
                    <w:r>
                      <w:rPr>
                        <w:rStyle w:val="19"/>
                        <w:rFonts w:hint="eastAsia" w:ascii="宋体" w:hAnsi="宋体" w:eastAsia="宋体" w:cs="宋体"/>
                        <w:sz w:val="21"/>
                        <w:szCs w:val="21"/>
                        <w:lang w:val="en-US" w:eastAsia="zh-CN"/>
                      </w:rPr>
                      <w:t>—</w:t>
                    </w:r>
                    <w:r>
                      <w:rPr>
                        <w:rFonts w:hint="default" w:ascii="Times New Roman" w:hAnsi="Times New Roman" w:eastAsia="宋体" w:cs="Times New Roman"/>
                        <w:sz w:val="21"/>
                        <w:szCs w:val="21"/>
                      </w:rPr>
                      <w:t xml:space="preserve"> </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  \* MERGEFORMAT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148</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t xml:space="preserve"> </w:t>
                    </w:r>
                    <w:r>
                      <w:rPr>
                        <w:rStyle w:val="19"/>
                        <w:rFonts w:hint="eastAsia" w:ascii="宋体" w:hAnsi="宋体" w:eastAsia="宋体" w:cs="宋体"/>
                        <w:sz w:val="21"/>
                        <w:szCs w:val="21"/>
                        <w:lang w:val="en-US" w:eastAsia="zh-CN"/>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outside" w:y="1"/>
      <w:rPr>
        <w:rStyle w:val="19"/>
      </w:rPr>
    </w:pPr>
    <w:r>
      <w:rPr>
        <w:rStyle w:val="19"/>
      </w:rPr>
      <w:fldChar w:fldCharType="begin"/>
    </w:r>
    <w:r>
      <w:rPr>
        <w:rStyle w:val="19"/>
      </w:rPr>
      <w:instrText xml:space="preserve"> PAGE </w:instrText>
    </w:r>
    <w:r>
      <w:rPr>
        <w:rStyle w:val="19"/>
      </w:rPr>
      <w:fldChar w:fldCharType="end"/>
    </w:r>
  </w:p>
  <w:p>
    <w:pPr>
      <w:pStyle w:val="9"/>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ind w:right="360" w:firstLine="360"/>
    </w:pPr>
    <w:r>
      <w:rPr>
        <w:sz w:val="21"/>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eastAsia="宋体"/>
                              <w:lang w:val="en-US" w:eastAsia="zh-CN"/>
                            </w:rPr>
                          </w:pPr>
                          <w:r>
                            <w:rPr>
                              <w:rStyle w:val="19"/>
                              <w:rFonts w:hint="eastAsia" w:ascii="宋体" w:hAnsi="宋体" w:eastAsia="宋体" w:cs="宋体"/>
                              <w:sz w:val="21"/>
                              <w:szCs w:val="21"/>
                              <w:lang w:val="en-US" w:eastAsia="zh-CN"/>
                            </w:rPr>
                            <w:t>—</w:t>
                          </w:r>
                          <w:r>
                            <w:rPr>
                              <w:rFonts w:hint="eastAsia" w:ascii="Times New Roman" w:hAnsi="Times New Roman" w:eastAsia="宋体" w:cs="Times New Roman"/>
                              <w:sz w:val="21"/>
                              <w:szCs w:val="21"/>
                              <w:lang w:val="en-US" w:eastAsia="zh-CN"/>
                            </w:rPr>
                            <w:t xml:space="preserve"> </w:t>
                          </w:r>
                          <w:r>
                            <w:rPr>
                              <w:sz w:val="21"/>
                              <w:szCs w:val="21"/>
                            </w:rPr>
                            <w:fldChar w:fldCharType="begin"/>
                          </w:r>
                          <w:r>
                            <w:rPr>
                              <w:sz w:val="21"/>
                              <w:szCs w:val="21"/>
                            </w:rPr>
                            <w:instrText xml:space="preserve"> PAGE  \* MERGEFORMAT </w:instrText>
                          </w:r>
                          <w:r>
                            <w:rPr>
                              <w:sz w:val="21"/>
                              <w:szCs w:val="21"/>
                            </w:rPr>
                            <w:fldChar w:fldCharType="separate"/>
                          </w:r>
                          <w:r>
                            <w:rPr>
                              <w:sz w:val="21"/>
                              <w:szCs w:val="21"/>
                            </w:rPr>
                            <w:t>159</w:t>
                          </w:r>
                          <w:r>
                            <w:rPr>
                              <w:sz w:val="21"/>
                              <w:szCs w:val="21"/>
                            </w:rPr>
                            <w:fldChar w:fldCharType="end"/>
                          </w:r>
                          <w:r>
                            <w:rPr>
                              <w:rFonts w:hint="eastAsia"/>
                              <w:sz w:val="21"/>
                              <w:szCs w:val="21"/>
                              <w:lang w:val="en-US" w:eastAsia="zh-CN"/>
                            </w:rPr>
                            <w:t xml:space="preserve"> </w:t>
                          </w:r>
                          <w:r>
                            <w:rPr>
                              <w:rStyle w:val="19"/>
                              <w:rFonts w:hint="eastAsia" w:ascii="宋体" w:hAnsi="宋体" w:eastAsia="宋体" w:cs="宋体"/>
                              <w:sz w:val="21"/>
                              <w:szCs w:val="21"/>
                              <w:lang w:val="en-US" w:eastAsia="zh-CN"/>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nWELckBAACb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mZJieMWJ375/u3y49fl51eC&#10;PhSoD1Bj3kPAzDTc+QHXZvYDOjPvQUWbv8iIYBzlPV/llUMiIj9ar9brCkMCY/MF8dnj8xAhvZXe&#10;kmw0NOL8iqz89B7SmDqn5GrO32tjygyN+8uBmNnDcu9jj9lKw36YCO19e0Y+PY6+oQ43nRLzzqGy&#10;eUtmI87GfjaOIepDV9Yo14Nwe0zYROktVxhhp8I4s8Ju2q+8FH/eS9bjP7X9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CdYQtyQEAAJsDAAAOAAAAAAAAAAEAIAAAAB4BAABkcnMvZTJvRG9j&#10;LnhtbFBLBQYAAAAABgAGAFkBAABZBQAAAAA=&#10;">
              <v:fill on="f" focussize="0,0"/>
              <v:stroke on="f"/>
              <v:imagedata o:title=""/>
              <o:lock v:ext="edit" aspectratio="f"/>
              <v:textbox inset="0mm,0mm,0mm,0mm" style="mso-fit-shape-to-text:t;">
                <w:txbxContent>
                  <w:p>
                    <w:pPr>
                      <w:pStyle w:val="9"/>
                      <w:rPr>
                        <w:rFonts w:hint="eastAsia" w:eastAsia="宋体"/>
                        <w:lang w:val="en-US" w:eastAsia="zh-CN"/>
                      </w:rPr>
                    </w:pPr>
                    <w:r>
                      <w:rPr>
                        <w:rStyle w:val="19"/>
                        <w:rFonts w:hint="eastAsia" w:ascii="宋体" w:hAnsi="宋体" w:eastAsia="宋体" w:cs="宋体"/>
                        <w:sz w:val="21"/>
                        <w:szCs w:val="21"/>
                        <w:lang w:val="en-US" w:eastAsia="zh-CN"/>
                      </w:rPr>
                      <w:t>—</w:t>
                    </w:r>
                    <w:r>
                      <w:rPr>
                        <w:rFonts w:hint="eastAsia" w:ascii="Times New Roman" w:hAnsi="Times New Roman" w:eastAsia="宋体" w:cs="Times New Roman"/>
                        <w:sz w:val="21"/>
                        <w:szCs w:val="21"/>
                        <w:lang w:val="en-US" w:eastAsia="zh-CN"/>
                      </w:rPr>
                      <w:t xml:space="preserve"> </w:t>
                    </w:r>
                    <w:r>
                      <w:rPr>
                        <w:sz w:val="21"/>
                        <w:szCs w:val="21"/>
                      </w:rPr>
                      <w:fldChar w:fldCharType="begin"/>
                    </w:r>
                    <w:r>
                      <w:rPr>
                        <w:sz w:val="21"/>
                        <w:szCs w:val="21"/>
                      </w:rPr>
                      <w:instrText xml:space="preserve"> PAGE  \* MERGEFORMAT </w:instrText>
                    </w:r>
                    <w:r>
                      <w:rPr>
                        <w:sz w:val="21"/>
                        <w:szCs w:val="21"/>
                      </w:rPr>
                      <w:fldChar w:fldCharType="separate"/>
                    </w:r>
                    <w:r>
                      <w:rPr>
                        <w:sz w:val="21"/>
                        <w:szCs w:val="21"/>
                      </w:rPr>
                      <w:t>159</w:t>
                    </w:r>
                    <w:r>
                      <w:rPr>
                        <w:sz w:val="21"/>
                        <w:szCs w:val="21"/>
                      </w:rPr>
                      <w:fldChar w:fldCharType="end"/>
                    </w:r>
                    <w:r>
                      <w:rPr>
                        <w:rFonts w:hint="eastAsia"/>
                        <w:sz w:val="21"/>
                        <w:szCs w:val="21"/>
                        <w:lang w:val="en-US" w:eastAsia="zh-CN"/>
                      </w:rPr>
                      <w:t xml:space="preserve"> </w:t>
                    </w:r>
                    <w:r>
                      <w:rPr>
                        <w:rStyle w:val="19"/>
                        <w:rFonts w:hint="eastAsia" w:ascii="宋体" w:hAnsi="宋体" w:eastAsia="宋体" w:cs="宋体"/>
                        <w:sz w:val="21"/>
                        <w:szCs w:val="21"/>
                        <w:lang w:val="en-US" w:eastAsia="zh-CN"/>
                      </w:rPr>
                      <w:t>—</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rPr>
        <w:rFonts w:ascii="宋体" w:hAnsi="宋体"/>
        <w:sz w:val="21"/>
        <w:szCs w:val="21"/>
      </w:rPr>
    </w:pPr>
    <w:r>
      <w:rPr>
        <w:sz w:val="21"/>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eastAsia="宋体"/>
                              <w:sz w:val="21"/>
                              <w:szCs w:val="21"/>
                              <w:lang w:val="en-US" w:eastAsia="zh-CN"/>
                            </w:rPr>
                          </w:pPr>
                          <w:r>
                            <w:rPr>
                              <w:rStyle w:val="19"/>
                              <w:rFonts w:hint="eastAsia" w:ascii="宋体" w:hAnsi="宋体" w:eastAsia="宋体" w:cs="宋体"/>
                              <w:sz w:val="21"/>
                              <w:szCs w:val="21"/>
                              <w:lang w:val="en-US" w:eastAsia="zh-CN"/>
                            </w:rPr>
                            <w:t xml:space="preserve">— </w:t>
                          </w:r>
                          <w:r>
                            <w:rPr>
                              <w:sz w:val="21"/>
                              <w:szCs w:val="21"/>
                            </w:rPr>
                            <w:fldChar w:fldCharType="begin"/>
                          </w:r>
                          <w:r>
                            <w:rPr>
                              <w:sz w:val="21"/>
                              <w:szCs w:val="21"/>
                            </w:rPr>
                            <w:instrText xml:space="preserve"> PAGE  \* MERGEFORMAT </w:instrText>
                          </w:r>
                          <w:r>
                            <w:rPr>
                              <w:sz w:val="21"/>
                              <w:szCs w:val="21"/>
                            </w:rPr>
                            <w:fldChar w:fldCharType="separate"/>
                          </w:r>
                          <w:r>
                            <w:rPr>
                              <w:sz w:val="21"/>
                              <w:szCs w:val="21"/>
                            </w:rPr>
                            <w:t>569</w:t>
                          </w:r>
                          <w:r>
                            <w:rPr>
                              <w:sz w:val="21"/>
                              <w:szCs w:val="21"/>
                            </w:rPr>
                            <w:fldChar w:fldCharType="end"/>
                          </w:r>
                          <w:r>
                            <w:rPr>
                              <w:rFonts w:hint="eastAsia"/>
                              <w:sz w:val="21"/>
                              <w:szCs w:val="21"/>
                              <w:lang w:val="en-US" w:eastAsia="zh-CN"/>
                            </w:rPr>
                            <w:t xml:space="preserve"> </w:t>
                          </w:r>
                          <w:r>
                            <w:rPr>
                              <w:rStyle w:val="19"/>
                              <w:rFonts w:hint="eastAsia" w:ascii="宋体" w:hAnsi="宋体" w:eastAsia="宋体" w:cs="宋体"/>
                              <w:sz w:val="21"/>
                              <w:szCs w:val="21"/>
                              <w:lang w:val="en-US" w:eastAsia="zh-CN"/>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b0DacoBAACd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nVG0octzjy888f51+P54fv&#10;JDtRoj5AjZl3AXPT8N4PmD77AZ2Z+aCizV/kRDCOAp8uAsshEZEfrZarVYUhgbH5gvjs6XmIkD5I&#10;b0k2GhpxgkVYfvwEaUydU3I152+1MWWKxv3lQMzsYbn3scdspWE3TIR2vj0hnx6H31CHu06J+ehQ&#10;27wnsxFnYzcbhxD1viuLlOtBeHdI2ETpLVcYYafCOLXCbtqwvBZ/3kvW01+1+Q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nb0DacoBAACdAwAADgAAAAAAAAABACAAAAAeAQAAZHJzL2Uyb0Rv&#10;Yy54bWxQSwUGAAAAAAYABgBZAQAAWgUAAAAA&#10;">
              <v:fill on="f" focussize="0,0"/>
              <v:stroke on="f"/>
              <v:imagedata o:title=""/>
              <o:lock v:ext="edit" aspectratio="f"/>
              <v:textbox inset="0mm,0mm,0mm,0mm" style="mso-fit-shape-to-text:t;">
                <w:txbxContent>
                  <w:p>
                    <w:pPr>
                      <w:pStyle w:val="9"/>
                      <w:rPr>
                        <w:rFonts w:hint="eastAsia" w:eastAsia="宋体"/>
                        <w:sz w:val="21"/>
                        <w:szCs w:val="21"/>
                        <w:lang w:val="en-US" w:eastAsia="zh-CN"/>
                      </w:rPr>
                    </w:pPr>
                    <w:r>
                      <w:rPr>
                        <w:rStyle w:val="19"/>
                        <w:rFonts w:hint="eastAsia" w:ascii="宋体" w:hAnsi="宋体" w:eastAsia="宋体" w:cs="宋体"/>
                        <w:sz w:val="21"/>
                        <w:szCs w:val="21"/>
                        <w:lang w:val="en-US" w:eastAsia="zh-CN"/>
                      </w:rPr>
                      <w:t xml:space="preserve">— </w:t>
                    </w:r>
                    <w:r>
                      <w:rPr>
                        <w:sz w:val="21"/>
                        <w:szCs w:val="21"/>
                      </w:rPr>
                      <w:fldChar w:fldCharType="begin"/>
                    </w:r>
                    <w:r>
                      <w:rPr>
                        <w:sz w:val="21"/>
                        <w:szCs w:val="21"/>
                      </w:rPr>
                      <w:instrText xml:space="preserve"> PAGE  \* MERGEFORMAT </w:instrText>
                    </w:r>
                    <w:r>
                      <w:rPr>
                        <w:sz w:val="21"/>
                        <w:szCs w:val="21"/>
                      </w:rPr>
                      <w:fldChar w:fldCharType="separate"/>
                    </w:r>
                    <w:r>
                      <w:rPr>
                        <w:sz w:val="21"/>
                        <w:szCs w:val="21"/>
                      </w:rPr>
                      <w:t>569</w:t>
                    </w:r>
                    <w:r>
                      <w:rPr>
                        <w:sz w:val="21"/>
                        <w:szCs w:val="21"/>
                      </w:rPr>
                      <w:fldChar w:fldCharType="end"/>
                    </w:r>
                    <w:r>
                      <w:rPr>
                        <w:rFonts w:hint="eastAsia"/>
                        <w:sz w:val="21"/>
                        <w:szCs w:val="21"/>
                        <w:lang w:val="en-US" w:eastAsia="zh-CN"/>
                      </w:rPr>
                      <w:t xml:space="preserve"> </w:t>
                    </w:r>
                    <w:r>
                      <w:rPr>
                        <w:rStyle w:val="19"/>
                        <w:rFonts w:hint="eastAsia" w:ascii="宋体" w:hAnsi="宋体" w:eastAsia="宋体" w:cs="宋体"/>
                        <w:sz w:val="21"/>
                        <w:szCs w:val="21"/>
                        <w:lang w:val="en-US" w:eastAsia="zh-CN"/>
                      </w:rPr>
                      <w:t>—</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ascii="宋体" w:hAnsi="宋体"/>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posOffset>0</wp:posOffset>
              </wp:positionH>
              <wp:positionV relativeFrom="paragraph">
                <wp:posOffset>156845</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eastAsia="宋体"/>
                              <w:sz w:val="21"/>
                              <w:szCs w:val="21"/>
                              <w:lang w:val="en-US" w:eastAsia="zh-CN"/>
                            </w:rPr>
                          </w:pPr>
                          <w:r>
                            <w:rPr>
                              <w:rStyle w:val="19"/>
                              <w:rFonts w:hint="eastAsia" w:ascii="宋体" w:hAnsi="宋体" w:eastAsia="宋体" w:cs="宋体"/>
                              <w:sz w:val="21"/>
                              <w:szCs w:val="21"/>
                              <w:lang w:val="en-US" w:eastAsia="zh-CN"/>
                            </w:rPr>
                            <w:t xml:space="preserve">— </w:t>
                          </w:r>
                          <w:r>
                            <w:rPr>
                              <w:sz w:val="21"/>
                              <w:szCs w:val="21"/>
                            </w:rPr>
                            <w:fldChar w:fldCharType="begin"/>
                          </w:r>
                          <w:r>
                            <w:rPr>
                              <w:sz w:val="21"/>
                              <w:szCs w:val="21"/>
                            </w:rPr>
                            <w:instrText xml:space="preserve"> PAGE  \* MERGEFORMAT </w:instrText>
                          </w:r>
                          <w:r>
                            <w:rPr>
                              <w:sz w:val="21"/>
                              <w:szCs w:val="21"/>
                            </w:rPr>
                            <w:fldChar w:fldCharType="separate"/>
                          </w:r>
                          <w:r>
                            <w:rPr>
                              <w:sz w:val="21"/>
                              <w:szCs w:val="21"/>
                            </w:rPr>
                            <w:t>570</w:t>
                          </w:r>
                          <w:r>
                            <w:rPr>
                              <w:sz w:val="21"/>
                              <w:szCs w:val="21"/>
                            </w:rPr>
                            <w:fldChar w:fldCharType="end"/>
                          </w:r>
                          <w:r>
                            <w:rPr>
                              <w:rFonts w:hint="eastAsia"/>
                              <w:sz w:val="21"/>
                              <w:szCs w:val="21"/>
                              <w:lang w:val="en-US" w:eastAsia="zh-CN"/>
                            </w:rPr>
                            <w:t xml:space="preserve"> </w:t>
                          </w:r>
                          <w:r>
                            <w:rPr>
                              <w:rStyle w:val="19"/>
                              <w:rFonts w:hint="eastAsia" w:ascii="宋体" w:hAnsi="宋体" w:eastAsia="宋体" w:cs="宋体"/>
                              <w:sz w:val="21"/>
                              <w:szCs w:val="21"/>
                              <w:lang w:val="en-US" w:eastAsia="zh-CN"/>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left:0pt;margin-top:12.35pt;height:144pt;width:144pt;mso-position-horizontal-relative:margin;mso-wrap-style:none;z-index:251663360;mso-width-relative:page;mso-height-relative:page;" filled="f" stroked="f" coordsize="21600,21600" o:gfxdata="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DHn2JHUAAAABwEAAA8AAAAAAAAAAQAgAAAAIgAAAGRycy9kb3du&#10;cmV2LnhtbFBLAQIUABQAAAAIAIdO4kBh48ZvygEAAJ0DAAAOAAAAAAAAAAEAIAAAACMBAABkcnMv&#10;ZTJvRG9jLnhtbFBLBQYAAAAABgAGAFkBAABfBQAAAAA=&#10;">
              <v:fill on="f" focussize="0,0"/>
              <v:stroke on="f"/>
              <v:imagedata o:title=""/>
              <o:lock v:ext="edit" aspectratio="f"/>
              <v:textbox inset="0mm,0mm,0mm,0mm" style="mso-fit-shape-to-text:t;">
                <w:txbxContent>
                  <w:p>
                    <w:pPr>
                      <w:pStyle w:val="9"/>
                      <w:rPr>
                        <w:rFonts w:hint="eastAsia" w:eastAsia="宋体"/>
                        <w:sz w:val="21"/>
                        <w:szCs w:val="21"/>
                        <w:lang w:val="en-US" w:eastAsia="zh-CN"/>
                      </w:rPr>
                    </w:pPr>
                    <w:r>
                      <w:rPr>
                        <w:rStyle w:val="19"/>
                        <w:rFonts w:hint="eastAsia" w:ascii="宋体" w:hAnsi="宋体" w:eastAsia="宋体" w:cs="宋体"/>
                        <w:sz w:val="21"/>
                        <w:szCs w:val="21"/>
                        <w:lang w:val="en-US" w:eastAsia="zh-CN"/>
                      </w:rPr>
                      <w:t xml:space="preserve">— </w:t>
                    </w:r>
                    <w:r>
                      <w:rPr>
                        <w:sz w:val="21"/>
                        <w:szCs w:val="21"/>
                      </w:rPr>
                      <w:fldChar w:fldCharType="begin"/>
                    </w:r>
                    <w:r>
                      <w:rPr>
                        <w:sz w:val="21"/>
                        <w:szCs w:val="21"/>
                      </w:rPr>
                      <w:instrText xml:space="preserve"> PAGE  \* MERGEFORMAT </w:instrText>
                    </w:r>
                    <w:r>
                      <w:rPr>
                        <w:sz w:val="21"/>
                        <w:szCs w:val="21"/>
                      </w:rPr>
                      <w:fldChar w:fldCharType="separate"/>
                    </w:r>
                    <w:r>
                      <w:rPr>
                        <w:sz w:val="21"/>
                        <w:szCs w:val="21"/>
                      </w:rPr>
                      <w:t>570</w:t>
                    </w:r>
                    <w:r>
                      <w:rPr>
                        <w:sz w:val="21"/>
                        <w:szCs w:val="21"/>
                      </w:rPr>
                      <w:fldChar w:fldCharType="end"/>
                    </w:r>
                    <w:r>
                      <w:rPr>
                        <w:rFonts w:hint="eastAsia"/>
                        <w:sz w:val="21"/>
                        <w:szCs w:val="21"/>
                        <w:lang w:val="en-US" w:eastAsia="zh-CN"/>
                      </w:rPr>
                      <w:t xml:space="preserve"> </w:t>
                    </w:r>
                    <w:r>
                      <w:rPr>
                        <w:rStyle w:val="19"/>
                        <w:rFonts w:hint="eastAsia" w:ascii="宋体" w:hAnsi="宋体" w:eastAsia="宋体" w:cs="宋体"/>
                        <w:sz w:val="21"/>
                        <w:szCs w:val="21"/>
                        <w:lang w:val="en-US" w:eastAsia="zh-CN"/>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34">
    <w:p>
      <w:r>
        <w:separator/>
      </w:r>
    </w:p>
  </w:footnote>
  <w:footnote w:type="continuationSeparator" w:id="35">
    <w:p>
      <w:r>
        <w:continuationSeparator/>
      </w:r>
    </w:p>
  </w:footnote>
  <w:footnote w:id="0">
    <w:p>
      <w:pPr>
        <w:shd w:val="clear" w:color="auto" w:fill="FFFFFF"/>
        <w:spacing w:line="520" w:lineRule="exact"/>
        <w:rPr>
          <w:rFonts w:hint="eastAsia" w:ascii="仿宋" w:hAnsi="仿宋" w:eastAsia="仿宋" w:cs="仿宋"/>
          <w:color w:val="000000"/>
          <w:sz w:val="18"/>
          <w:szCs w:val="18"/>
          <w:shd w:val="clear" w:color="auto" w:fill="FFFFFF"/>
        </w:rPr>
      </w:pPr>
      <w:r>
        <w:rPr>
          <w:rStyle w:val="21"/>
          <w:rFonts w:hint="eastAsia" w:ascii="仿宋" w:hAnsi="仿宋" w:eastAsia="仿宋" w:cs="仿宋"/>
          <w:sz w:val="18"/>
          <w:szCs w:val="18"/>
        </w:rPr>
        <w:footnoteRef/>
      </w:r>
      <w:r>
        <w:rPr>
          <w:rFonts w:hint="eastAsia" w:ascii="仿宋" w:hAnsi="仿宋" w:eastAsia="仿宋" w:cs="仿宋"/>
          <w:sz w:val="18"/>
          <w:szCs w:val="18"/>
        </w:rPr>
        <w:t xml:space="preserve"> </w:t>
      </w:r>
      <w:r>
        <w:rPr>
          <w:rFonts w:hint="eastAsia" w:ascii="仿宋" w:hAnsi="仿宋" w:eastAsia="仿宋" w:cs="仿宋"/>
          <w:color w:val="000000"/>
          <w:sz w:val="18"/>
          <w:szCs w:val="18"/>
          <w:shd w:val="clear" w:color="auto" w:fill="FFFFFF"/>
        </w:rPr>
        <w:t>法律依据：《公司法》第180、182条。</w:t>
      </w:r>
    </w:p>
    <w:p>
      <w:pPr>
        <w:pStyle w:val="12"/>
      </w:pPr>
    </w:p>
  </w:footnote>
  <w:footnote w:id="1">
    <w:p>
      <w:pPr>
        <w:pStyle w:val="12"/>
        <w:rPr>
          <w:rFonts w:hint="eastAsia" w:ascii="仿宋" w:hAnsi="仿宋" w:eastAsia="仿宋" w:cs="仿宋"/>
        </w:rPr>
      </w:pPr>
      <w:r>
        <w:rPr>
          <w:rStyle w:val="21"/>
          <w:rFonts w:hint="eastAsia" w:ascii="仿宋" w:hAnsi="仿宋" w:eastAsia="仿宋" w:cs="仿宋"/>
        </w:rPr>
        <w:footnoteRef/>
      </w:r>
      <w:r>
        <w:rPr>
          <w:rFonts w:hint="eastAsia" w:ascii="仿宋" w:hAnsi="仿宋" w:eastAsia="仿宋" w:cs="仿宋"/>
        </w:rPr>
        <w:t xml:space="preserve"> 法律依据：</w:t>
      </w:r>
      <w:r>
        <w:rPr>
          <w:rFonts w:hint="eastAsia" w:ascii="仿宋" w:hAnsi="仿宋" w:eastAsia="仿宋" w:cs="仿宋"/>
          <w:color w:val="000000"/>
          <w:szCs w:val="21"/>
          <w:shd w:val="clear" w:color="auto" w:fill="FFFFFF"/>
        </w:rPr>
        <w:t>《公司法》183条。</w:t>
      </w:r>
    </w:p>
  </w:footnote>
  <w:footnote w:id="2">
    <w:p>
      <w:pPr>
        <w:pStyle w:val="12"/>
        <w:rPr>
          <w:rFonts w:hint="eastAsia" w:ascii="仿宋" w:hAnsi="仿宋" w:eastAsia="仿宋" w:cs="仿宋"/>
        </w:rPr>
      </w:pPr>
      <w:r>
        <w:rPr>
          <w:rStyle w:val="21"/>
          <w:rFonts w:hint="eastAsia" w:ascii="仿宋" w:hAnsi="仿宋" w:eastAsia="仿宋" w:cs="仿宋"/>
        </w:rPr>
        <w:footnoteRef/>
      </w:r>
      <w:r>
        <w:rPr>
          <w:rFonts w:hint="eastAsia" w:ascii="仿宋" w:hAnsi="仿宋" w:eastAsia="仿宋" w:cs="仿宋"/>
        </w:rPr>
        <w:t xml:space="preserve"> 法律依据：</w:t>
      </w:r>
      <w:r>
        <w:rPr>
          <w:rFonts w:hint="eastAsia" w:ascii="仿宋" w:hAnsi="仿宋" w:eastAsia="仿宋" w:cs="仿宋"/>
          <w:color w:val="000000"/>
          <w:szCs w:val="21"/>
          <w:shd w:val="clear" w:color="auto" w:fill="FFFFFF"/>
        </w:rPr>
        <w:t>《公司法》183条；《最高人民法院关于审理公司强制清算案件工作座谈会纪要》第23条。</w:t>
      </w:r>
    </w:p>
  </w:footnote>
  <w:footnote w:id="3">
    <w:p>
      <w:pPr>
        <w:pStyle w:val="12"/>
        <w:rPr>
          <w:rFonts w:hint="eastAsia" w:ascii="仿宋" w:hAnsi="仿宋" w:eastAsia="仿宋" w:cs="仿宋"/>
        </w:rPr>
      </w:pPr>
      <w:r>
        <w:rPr>
          <w:rStyle w:val="21"/>
          <w:rFonts w:hint="eastAsia" w:ascii="仿宋" w:hAnsi="仿宋" w:eastAsia="仿宋" w:cs="仿宋"/>
        </w:rPr>
        <w:footnoteRef/>
      </w:r>
      <w:r>
        <w:rPr>
          <w:rFonts w:hint="eastAsia" w:ascii="仿宋" w:hAnsi="仿宋" w:eastAsia="仿宋" w:cs="仿宋"/>
        </w:rPr>
        <w:t xml:space="preserve"> 法律依据：</w:t>
      </w:r>
      <w:r>
        <w:rPr>
          <w:rFonts w:hint="eastAsia" w:ascii="仿宋" w:hAnsi="仿宋" w:eastAsia="仿宋" w:cs="仿宋"/>
          <w:color w:val="000000"/>
          <w:szCs w:val="21"/>
          <w:shd w:val="clear" w:color="auto" w:fill="FFFFFF"/>
        </w:rPr>
        <w:t>《最高人民法院关于审理公司强制清算案件工作座谈会纪要》第22条。</w:t>
      </w:r>
    </w:p>
  </w:footnote>
  <w:footnote w:id="4">
    <w:p>
      <w:pPr>
        <w:pStyle w:val="12"/>
        <w:rPr>
          <w:rFonts w:hint="eastAsia" w:ascii="仿宋" w:hAnsi="仿宋" w:eastAsia="仿宋" w:cs="仿宋"/>
        </w:rPr>
      </w:pPr>
      <w:r>
        <w:rPr>
          <w:rStyle w:val="21"/>
          <w:rFonts w:hint="eastAsia" w:ascii="仿宋" w:hAnsi="仿宋" w:eastAsia="仿宋" w:cs="仿宋"/>
        </w:rPr>
        <w:footnoteRef/>
      </w:r>
      <w:r>
        <w:rPr>
          <w:rFonts w:hint="eastAsia" w:ascii="仿宋" w:hAnsi="仿宋" w:eastAsia="仿宋" w:cs="仿宋"/>
        </w:rPr>
        <w:t xml:space="preserve"> 法律依据：</w:t>
      </w:r>
      <w:r>
        <w:rPr>
          <w:rFonts w:hint="eastAsia" w:ascii="仿宋" w:hAnsi="仿宋" w:eastAsia="仿宋" w:cs="仿宋"/>
          <w:color w:val="000000"/>
          <w:szCs w:val="21"/>
          <w:shd w:val="clear" w:color="auto" w:fill="FFFFFF"/>
        </w:rPr>
        <w:t>《公司法》41条。</w:t>
      </w:r>
    </w:p>
  </w:footnote>
  <w:footnote w:id="5">
    <w:p>
      <w:pPr>
        <w:pStyle w:val="12"/>
        <w:rPr>
          <w:rFonts w:hint="eastAsia" w:ascii="仿宋" w:hAnsi="仿宋" w:eastAsia="仿宋" w:cs="仿宋"/>
        </w:rPr>
      </w:pPr>
      <w:r>
        <w:rPr>
          <w:rStyle w:val="21"/>
          <w:rFonts w:hint="eastAsia" w:ascii="仿宋" w:hAnsi="仿宋" w:eastAsia="仿宋" w:cs="仿宋"/>
        </w:rPr>
        <w:footnoteRef/>
      </w:r>
      <w:r>
        <w:rPr>
          <w:rFonts w:hint="eastAsia" w:ascii="仿宋" w:hAnsi="仿宋" w:eastAsia="仿宋" w:cs="仿宋"/>
        </w:rPr>
        <w:t xml:space="preserve"> 法律依据：</w:t>
      </w:r>
      <w:r>
        <w:rPr>
          <w:rFonts w:hint="eastAsia" w:ascii="仿宋" w:hAnsi="仿宋" w:eastAsia="仿宋" w:cs="仿宋"/>
          <w:color w:val="000000"/>
          <w:szCs w:val="21"/>
          <w:shd w:val="clear" w:color="auto" w:fill="FFFFFF"/>
        </w:rPr>
        <w:t>《公司法》41条。</w:t>
      </w:r>
    </w:p>
  </w:footnote>
  <w:footnote w:id="6">
    <w:p>
      <w:pPr>
        <w:pStyle w:val="12"/>
        <w:rPr>
          <w:rFonts w:hint="eastAsia" w:ascii="仿宋" w:hAnsi="仿宋" w:eastAsia="仿宋" w:cs="仿宋"/>
        </w:rPr>
      </w:pPr>
      <w:r>
        <w:rPr>
          <w:rStyle w:val="21"/>
          <w:rFonts w:hint="eastAsia" w:ascii="仿宋" w:hAnsi="仿宋" w:eastAsia="仿宋" w:cs="仿宋"/>
        </w:rPr>
        <w:footnoteRef/>
      </w:r>
      <w:r>
        <w:rPr>
          <w:rFonts w:hint="eastAsia" w:ascii="仿宋" w:hAnsi="仿宋" w:eastAsia="仿宋" w:cs="仿宋"/>
        </w:rPr>
        <w:t xml:space="preserve"> 法律依据：</w:t>
      </w:r>
      <w:r>
        <w:rPr>
          <w:rFonts w:hint="eastAsia" w:ascii="仿宋" w:hAnsi="仿宋" w:eastAsia="仿宋" w:cs="仿宋"/>
          <w:color w:val="000000"/>
          <w:szCs w:val="21"/>
          <w:shd w:val="clear" w:color="auto" w:fill="FFFFFF"/>
        </w:rPr>
        <w:t>《公司法》101条。</w:t>
      </w:r>
    </w:p>
  </w:footnote>
  <w:footnote w:id="7">
    <w:p>
      <w:pPr>
        <w:pStyle w:val="12"/>
        <w:rPr>
          <w:rFonts w:hint="eastAsia" w:ascii="仿宋" w:hAnsi="仿宋" w:eastAsia="仿宋" w:cs="仿宋"/>
        </w:rPr>
      </w:pPr>
      <w:r>
        <w:rPr>
          <w:rStyle w:val="21"/>
          <w:rFonts w:hint="eastAsia" w:ascii="仿宋" w:hAnsi="仿宋" w:eastAsia="仿宋" w:cs="仿宋"/>
        </w:rPr>
        <w:footnoteRef/>
      </w:r>
      <w:r>
        <w:rPr>
          <w:rFonts w:hint="eastAsia" w:ascii="仿宋" w:hAnsi="仿宋" w:eastAsia="仿宋" w:cs="仿宋"/>
        </w:rPr>
        <w:t xml:space="preserve"> 法律依据：</w:t>
      </w:r>
      <w:r>
        <w:rPr>
          <w:rFonts w:hint="eastAsia" w:ascii="仿宋" w:hAnsi="仿宋" w:eastAsia="仿宋" w:cs="仿宋"/>
          <w:color w:val="000000"/>
          <w:szCs w:val="21"/>
          <w:shd w:val="clear" w:color="auto" w:fill="FFFFFF"/>
        </w:rPr>
        <w:t>《公司法》103条。</w:t>
      </w:r>
    </w:p>
  </w:footnote>
  <w:footnote w:id="8">
    <w:p>
      <w:pPr>
        <w:pStyle w:val="12"/>
        <w:rPr>
          <w:rFonts w:hint="eastAsia" w:ascii="仿宋" w:hAnsi="仿宋" w:eastAsia="仿宋" w:cs="仿宋"/>
        </w:rPr>
      </w:pPr>
      <w:r>
        <w:rPr>
          <w:rStyle w:val="21"/>
          <w:rFonts w:hint="eastAsia" w:ascii="仿宋" w:hAnsi="仿宋" w:eastAsia="仿宋" w:cs="仿宋"/>
        </w:rPr>
        <w:footnoteRef/>
      </w:r>
      <w:r>
        <w:rPr>
          <w:rFonts w:hint="eastAsia" w:ascii="仿宋" w:hAnsi="仿宋" w:eastAsia="仿宋" w:cs="仿宋"/>
        </w:rPr>
        <w:t xml:space="preserve"> 法律依据：</w:t>
      </w:r>
      <w:r>
        <w:rPr>
          <w:rFonts w:hint="eastAsia" w:ascii="仿宋" w:hAnsi="仿宋" w:eastAsia="仿宋" w:cs="仿宋"/>
          <w:color w:val="000000"/>
          <w:szCs w:val="21"/>
          <w:shd w:val="clear" w:color="auto" w:fill="FFFFFF"/>
        </w:rPr>
        <w:t>《公司法》107条。</w:t>
      </w:r>
    </w:p>
  </w:footnote>
  <w:footnote w:id="9">
    <w:p>
      <w:pPr>
        <w:pStyle w:val="12"/>
        <w:rPr>
          <w:rFonts w:hint="eastAsia" w:ascii="仿宋" w:hAnsi="仿宋" w:eastAsia="仿宋" w:cs="仿宋"/>
        </w:rPr>
      </w:pPr>
      <w:r>
        <w:rPr>
          <w:rStyle w:val="21"/>
          <w:rFonts w:hint="eastAsia" w:ascii="仿宋" w:hAnsi="仿宋" w:eastAsia="仿宋" w:cs="仿宋"/>
        </w:rPr>
        <w:footnoteRef/>
      </w:r>
      <w:r>
        <w:rPr>
          <w:rFonts w:hint="eastAsia" w:ascii="仿宋" w:hAnsi="仿宋" w:eastAsia="仿宋" w:cs="仿宋"/>
        </w:rPr>
        <w:t xml:space="preserve"> 法律依据：</w:t>
      </w:r>
      <w:r>
        <w:rPr>
          <w:rFonts w:hint="eastAsia" w:ascii="仿宋" w:hAnsi="仿宋" w:eastAsia="仿宋" w:cs="仿宋"/>
          <w:color w:val="000000"/>
          <w:szCs w:val="21"/>
          <w:shd w:val="clear" w:color="auto" w:fill="FFFFFF"/>
        </w:rPr>
        <w:t>《公司法》61条。</w:t>
      </w:r>
    </w:p>
  </w:footnote>
  <w:footnote w:id="10">
    <w:p>
      <w:pPr>
        <w:pStyle w:val="12"/>
        <w:rPr>
          <w:rFonts w:hint="eastAsia" w:ascii="仿宋" w:hAnsi="仿宋" w:eastAsia="仿宋" w:cs="仿宋"/>
        </w:rPr>
      </w:pPr>
      <w:r>
        <w:rPr>
          <w:rStyle w:val="21"/>
          <w:rFonts w:hint="eastAsia" w:ascii="仿宋" w:hAnsi="仿宋" w:eastAsia="仿宋" w:cs="仿宋"/>
        </w:rPr>
        <w:footnoteRef/>
      </w:r>
      <w:r>
        <w:rPr>
          <w:rFonts w:hint="eastAsia" w:ascii="仿宋" w:hAnsi="仿宋" w:eastAsia="仿宋" w:cs="仿宋"/>
        </w:rPr>
        <w:t xml:space="preserve"> 法律依据：</w:t>
      </w:r>
      <w:r>
        <w:rPr>
          <w:rFonts w:hint="eastAsia" w:ascii="仿宋" w:hAnsi="仿宋" w:eastAsia="仿宋" w:cs="仿宋"/>
          <w:color w:val="000000"/>
          <w:szCs w:val="21"/>
          <w:shd w:val="clear" w:color="auto" w:fill="FFFFFF"/>
        </w:rPr>
        <w:t>《公司法》184条。</w:t>
      </w:r>
    </w:p>
  </w:footnote>
  <w:footnote w:id="11">
    <w:p>
      <w:pPr>
        <w:pStyle w:val="12"/>
        <w:rPr>
          <w:rFonts w:hint="eastAsia" w:ascii="仿宋" w:hAnsi="仿宋" w:eastAsia="仿宋" w:cs="仿宋"/>
        </w:rPr>
      </w:pPr>
      <w:r>
        <w:rPr>
          <w:rStyle w:val="21"/>
          <w:rFonts w:hint="eastAsia" w:ascii="仿宋" w:hAnsi="仿宋" w:eastAsia="仿宋" w:cs="仿宋"/>
        </w:rPr>
        <w:footnoteRef/>
      </w:r>
      <w:r>
        <w:rPr>
          <w:rFonts w:hint="eastAsia" w:ascii="仿宋" w:hAnsi="仿宋" w:eastAsia="仿宋" w:cs="仿宋"/>
          <w:color w:val="000000"/>
          <w:szCs w:val="21"/>
          <w:shd w:val="clear" w:color="auto" w:fill="FFFFFF"/>
        </w:rPr>
        <w:t>《最高人民法院关于审理公司强制清算案件工作座谈会纪要》第23条。</w:t>
      </w:r>
    </w:p>
  </w:footnote>
  <w:footnote w:id="12">
    <w:p>
      <w:pPr>
        <w:pStyle w:val="12"/>
        <w:rPr>
          <w:rFonts w:hint="eastAsia" w:ascii="仿宋" w:hAnsi="仿宋" w:eastAsia="仿宋" w:cs="仿宋"/>
        </w:rPr>
      </w:pPr>
      <w:r>
        <w:rPr>
          <w:rStyle w:val="21"/>
          <w:rFonts w:hint="eastAsia" w:ascii="仿宋" w:hAnsi="仿宋" w:eastAsia="仿宋" w:cs="仿宋"/>
        </w:rPr>
        <w:footnoteRef/>
      </w:r>
      <w:r>
        <w:rPr>
          <w:rFonts w:hint="eastAsia" w:ascii="仿宋" w:hAnsi="仿宋" w:eastAsia="仿宋" w:cs="仿宋"/>
        </w:rPr>
        <w:t xml:space="preserve"> 法律依据：</w:t>
      </w:r>
      <w:r>
        <w:rPr>
          <w:rFonts w:hint="eastAsia" w:ascii="仿宋" w:hAnsi="仿宋" w:eastAsia="仿宋" w:cs="仿宋"/>
          <w:color w:val="000000"/>
          <w:szCs w:val="21"/>
          <w:shd w:val="clear" w:color="auto" w:fill="FFFFFF"/>
        </w:rPr>
        <w:t>《公司法》189条。</w:t>
      </w:r>
    </w:p>
  </w:footnote>
  <w:footnote w:id="13">
    <w:p>
      <w:pPr>
        <w:pStyle w:val="12"/>
        <w:rPr>
          <w:rFonts w:hint="eastAsia" w:ascii="仿宋" w:hAnsi="仿宋" w:eastAsia="仿宋" w:cs="仿宋"/>
        </w:rPr>
      </w:pPr>
      <w:r>
        <w:rPr>
          <w:rStyle w:val="21"/>
          <w:rFonts w:hint="eastAsia" w:ascii="仿宋" w:hAnsi="仿宋" w:eastAsia="仿宋" w:cs="仿宋"/>
        </w:rPr>
        <w:footnoteRef/>
      </w:r>
      <w:r>
        <w:rPr>
          <w:rFonts w:hint="eastAsia" w:ascii="仿宋" w:hAnsi="仿宋" w:eastAsia="仿宋" w:cs="仿宋"/>
        </w:rPr>
        <w:t xml:space="preserve"> </w:t>
      </w:r>
      <w:r>
        <w:rPr>
          <w:rFonts w:hint="eastAsia" w:ascii="仿宋" w:hAnsi="仿宋" w:eastAsia="仿宋" w:cs="仿宋"/>
          <w:color w:val="000000"/>
          <w:szCs w:val="21"/>
          <w:shd w:val="clear" w:color="auto" w:fill="FFFFFF"/>
        </w:rPr>
        <w:t>《最高人民法院关于审理公司强制清算案件工作座谈会纪要》第26条。</w:t>
      </w:r>
    </w:p>
  </w:footnote>
  <w:footnote w:id="14">
    <w:p>
      <w:pPr>
        <w:pStyle w:val="12"/>
        <w:rPr>
          <w:rFonts w:hint="eastAsia" w:ascii="仿宋" w:hAnsi="仿宋" w:eastAsia="仿宋" w:cs="仿宋"/>
        </w:rPr>
      </w:pPr>
      <w:r>
        <w:rPr>
          <w:rStyle w:val="21"/>
          <w:rFonts w:hint="eastAsia" w:ascii="仿宋" w:hAnsi="仿宋" w:eastAsia="仿宋" w:cs="仿宋"/>
        </w:rPr>
        <w:footnoteRef/>
      </w:r>
      <w:r>
        <w:rPr>
          <w:rFonts w:hint="eastAsia" w:ascii="仿宋" w:hAnsi="仿宋" w:eastAsia="仿宋" w:cs="仿宋"/>
        </w:rPr>
        <w:t xml:space="preserve"> 法律依据：《公司登记管理条例》第41条。《</w:t>
      </w:r>
      <w:r>
        <w:rPr>
          <w:rFonts w:hint="eastAsia" w:ascii="仿宋" w:hAnsi="仿宋" w:eastAsia="仿宋" w:cs="仿宋"/>
          <w:color w:val="191919"/>
        </w:rPr>
        <w:t>市场监管总局办公厅关于进一步做好企业注销清算组备案有关工作的通知》第1条。</w:t>
      </w:r>
    </w:p>
  </w:footnote>
  <w:footnote w:id="15">
    <w:p>
      <w:pPr>
        <w:pStyle w:val="12"/>
        <w:rPr>
          <w:rFonts w:hint="eastAsia" w:ascii="仿宋" w:hAnsi="仿宋" w:eastAsia="仿宋" w:cs="仿宋"/>
        </w:rPr>
      </w:pPr>
      <w:r>
        <w:rPr>
          <w:rStyle w:val="21"/>
          <w:rFonts w:hint="eastAsia" w:ascii="仿宋" w:hAnsi="仿宋" w:eastAsia="仿宋" w:cs="仿宋"/>
        </w:rPr>
        <w:footnoteRef/>
      </w:r>
      <w:r>
        <w:rPr>
          <w:rFonts w:hint="eastAsia" w:ascii="仿宋" w:hAnsi="仿宋" w:eastAsia="仿宋" w:cs="仿宋"/>
        </w:rPr>
        <w:t>湖南省市场监督管理局办事指南：“企业备案”的相关指引。</w:t>
      </w:r>
    </w:p>
  </w:footnote>
  <w:footnote w:id="16">
    <w:p>
      <w:pPr>
        <w:pStyle w:val="12"/>
      </w:pPr>
      <w:r>
        <w:rPr>
          <w:rStyle w:val="21"/>
        </w:rPr>
        <w:footnoteRef/>
      </w:r>
      <w:r>
        <w:t xml:space="preserve"> </w:t>
      </w:r>
      <w:r>
        <w:rPr>
          <w:rFonts w:hint="eastAsia"/>
        </w:rPr>
        <w:t>法律依据：</w:t>
      </w:r>
      <w:r>
        <w:rPr>
          <w:rFonts w:hint="eastAsia" w:ascii="宋体" w:hAnsi="宋体"/>
          <w:color w:val="000000"/>
          <w:szCs w:val="21"/>
          <w:shd w:val="clear" w:color="auto" w:fill="FFFFFF"/>
        </w:rPr>
        <w:t>《最高人民法院关于审理公司强制清算案件工作座谈会纪要》第2</w:t>
      </w:r>
      <w:r>
        <w:rPr>
          <w:rFonts w:ascii="宋体" w:hAnsi="宋体"/>
          <w:color w:val="000000"/>
          <w:szCs w:val="21"/>
          <w:shd w:val="clear" w:color="auto" w:fill="FFFFFF"/>
        </w:rPr>
        <w:t>4</w:t>
      </w:r>
      <w:r>
        <w:rPr>
          <w:rFonts w:hint="eastAsia" w:ascii="宋体" w:hAnsi="宋体"/>
          <w:color w:val="000000"/>
          <w:szCs w:val="21"/>
          <w:shd w:val="clear" w:color="auto" w:fill="FFFFFF"/>
        </w:rPr>
        <w:t>、2</w:t>
      </w:r>
      <w:r>
        <w:rPr>
          <w:rFonts w:ascii="宋体" w:hAnsi="宋体"/>
          <w:color w:val="000000"/>
          <w:szCs w:val="21"/>
          <w:shd w:val="clear" w:color="auto" w:fill="FFFFFF"/>
        </w:rPr>
        <w:t>5</w:t>
      </w:r>
      <w:r>
        <w:rPr>
          <w:rFonts w:hint="eastAsia" w:ascii="宋体" w:hAnsi="宋体"/>
          <w:color w:val="000000"/>
          <w:szCs w:val="21"/>
          <w:shd w:val="clear" w:color="auto" w:fill="FFFFFF"/>
        </w:rPr>
        <w:t>条。</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4200"/>
        <w:tab w:val="left" w:pos="4620"/>
        <w:tab w:val="left" w:pos="5040"/>
        <w:tab w:val="left" w:pos="5460"/>
        <w:tab w:val="left" w:pos="5880"/>
        <w:tab w:val="left" w:pos="6300"/>
        <w:tab w:val="clear" w:pos="8306"/>
      </w:tabs>
      <w:jc w:val="left"/>
    </w:pPr>
    <w:r>
      <w:tab/>
    </w:r>
    <w:r>
      <w:tab/>
    </w:r>
    <w:r>
      <w:tab/>
    </w:r>
    <w:r>
      <w:tab/>
    </w:r>
    <w:r>
      <w:tab/>
    </w:r>
    <w:r>
      <w:tab/>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before="120" w:after="120" w:line="14" w:lineRule="auto"/>
      <w:ind w:firstLine="400"/>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102443"/>
    <w:multiLevelType w:val="singleLevel"/>
    <w:tmpl w:val="80102443"/>
    <w:lvl w:ilvl="0" w:tentative="0">
      <w:start w:val="1"/>
      <w:numFmt w:val="decimal"/>
      <w:suff w:val="nothing"/>
      <w:lvlText w:val="%1."/>
      <w:lvlJc w:val="left"/>
      <w:pPr>
        <w:ind w:left="5600" w:firstLine="0"/>
      </w:pPr>
      <w:rPr>
        <w:rFonts w:hint="default"/>
      </w:rPr>
    </w:lvl>
  </w:abstractNum>
  <w:abstractNum w:abstractNumId="1">
    <w:nsid w:val="81289FD8"/>
    <w:multiLevelType w:val="singleLevel"/>
    <w:tmpl w:val="81289FD8"/>
    <w:lvl w:ilvl="0" w:tentative="0">
      <w:start w:val="1"/>
      <w:numFmt w:val="decimal"/>
      <w:suff w:val="nothing"/>
      <w:lvlText w:val="%1."/>
      <w:lvlJc w:val="left"/>
      <w:pPr>
        <w:ind w:left="0" w:firstLine="0"/>
      </w:pPr>
      <w:rPr>
        <w:rFonts w:hint="default"/>
      </w:rPr>
    </w:lvl>
  </w:abstractNum>
  <w:abstractNum w:abstractNumId="2">
    <w:nsid w:val="816E44CF"/>
    <w:multiLevelType w:val="singleLevel"/>
    <w:tmpl w:val="816E44CF"/>
    <w:lvl w:ilvl="0" w:tentative="0">
      <w:start w:val="1"/>
      <w:numFmt w:val="chineseCounting"/>
      <w:suff w:val="nothing"/>
      <w:lvlText w:val="（%1）"/>
      <w:lvlJc w:val="left"/>
      <w:pPr>
        <w:ind w:left="0" w:firstLine="420"/>
      </w:pPr>
      <w:rPr>
        <w:rFonts w:hint="eastAsia"/>
      </w:rPr>
    </w:lvl>
  </w:abstractNum>
  <w:abstractNum w:abstractNumId="3">
    <w:nsid w:val="81A79F9F"/>
    <w:multiLevelType w:val="singleLevel"/>
    <w:tmpl w:val="81A79F9F"/>
    <w:lvl w:ilvl="0" w:tentative="0">
      <w:start w:val="1"/>
      <w:numFmt w:val="chineseCounting"/>
      <w:suff w:val="nothing"/>
      <w:lvlText w:val="（%1）"/>
      <w:lvlJc w:val="left"/>
      <w:pPr>
        <w:ind w:left="0" w:firstLine="420"/>
      </w:pPr>
      <w:rPr>
        <w:rFonts w:hint="eastAsia"/>
      </w:rPr>
    </w:lvl>
  </w:abstractNum>
  <w:abstractNum w:abstractNumId="4">
    <w:nsid w:val="81E9BDD4"/>
    <w:multiLevelType w:val="singleLevel"/>
    <w:tmpl w:val="81E9BDD4"/>
    <w:lvl w:ilvl="0" w:tentative="0">
      <w:start w:val="1"/>
      <w:numFmt w:val="decimal"/>
      <w:lvlText w:val="%1."/>
      <w:lvlJc w:val="left"/>
      <w:pPr>
        <w:ind w:left="0" w:firstLine="0"/>
      </w:pPr>
      <w:rPr>
        <w:rFonts w:hint="default"/>
      </w:rPr>
    </w:lvl>
  </w:abstractNum>
  <w:abstractNum w:abstractNumId="5">
    <w:nsid w:val="8286333F"/>
    <w:multiLevelType w:val="singleLevel"/>
    <w:tmpl w:val="8286333F"/>
    <w:lvl w:ilvl="0" w:tentative="0">
      <w:start w:val="1"/>
      <w:numFmt w:val="chineseCounting"/>
      <w:suff w:val="nothing"/>
      <w:lvlText w:val="（%1）"/>
      <w:lvlJc w:val="left"/>
      <w:pPr>
        <w:ind w:left="0" w:firstLine="420"/>
      </w:pPr>
      <w:rPr>
        <w:rFonts w:hint="eastAsia"/>
      </w:rPr>
    </w:lvl>
  </w:abstractNum>
  <w:abstractNum w:abstractNumId="6">
    <w:nsid w:val="8315CF20"/>
    <w:multiLevelType w:val="singleLevel"/>
    <w:tmpl w:val="8315CF20"/>
    <w:lvl w:ilvl="0" w:tentative="0">
      <w:start w:val="1"/>
      <w:numFmt w:val="chineseCounting"/>
      <w:suff w:val="nothing"/>
      <w:lvlText w:val="（%1）"/>
      <w:lvlJc w:val="left"/>
      <w:pPr>
        <w:ind w:left="0" w:firstLine="420"/>
      </w:pPr>
      <w:rPr>
        <w:rFonts w:hint="eastAsia"/>
      </w:rPr>
    </w:lvl>
  </w:abstractNum>
  <w:abstractNum w:abstractNumId="7">
    <w:nsid w:val="8405988E"/>
    <w:multiLevelType w:val="singleLevel"/>
    <w:tmpl w:val="8405988E"/>
    <w:lvl w:ilvl="0" w:tentative="0">
      <w:start w:val="14"/>
      <w:numFmt w:val="chineseCounting"/>
      <w:suff w:val="nothing"/>
      <w:lvlText w:val="（%1）"/>
      <w:lvlJc w:val="left"/>
      <w:rPr>
        <w:rFonts w:hint="eastAsia"/>
        <w:color w:val="auto"/>
      </w:rPr>
    </w:lvl>
  </w:abstractNum>
  <w:abstractNum w:abstractNumId="8">
    <w:nsid w:val="8461FADE"/>
    <w:multiLevelType w:val="multilevel"/>
    <w:tmpl w:val="8461FADE"/>
    <w:lvl w:ilvl="0" w:tentative="0">
      <w:start w:val="1"/>
      <w:numFmt w:val="decimal"/>
      <w:lvlText w:val="（%1）"/>
      <w:lvlJc w:val="left"/>
      <w:pPr>
        <w:ind w:left="120" w:hanging="702"/>
      </w:pPr>
      <w:rPr>
        <w:rFonts w:hint="default" w:ascii="仿宋" w:hAnsi="仿宋" w:eastAsia="仿宋" w:cs="仿宋"/>
        <w:spacing w:val="-2"/>
        <w:w w:val="100"/>
        <w:sz w:val="32"/>
        <w:szCs w:val="32"/>
        <w:lang w:val="zh-CN" w:eastAsia="zh-CN" w:bidi="zh-CN"/>
      </w:rPr>
    </w:lvl>
    <w:lvl w:ilvl="1" w:tentative="0">
      <w:start w:val="0"/>
      <w:numFmt w:val="bullet"/>
      <w:lvlText w:val="•"/>
      <w:lvlJc w:val="left"/>
      <w:pPr>
        <w:ind w:left="1130" w:hanging="702"/>
      </w:pPr>
      <w:rPr>
        <w:rFonts w:hint="default"/>
        <w:lang w:val="zh-CN" w:eastAsia="zh-CN" w:bidi="zh-CN"/>
      </w:rPr>
    </w:lvl>
    <w:lvl w:ilvl="2" w:tentative="0">
      <w:start w:val="0"/>
      <w:numFmt w:val="bullet"/>
      <w:lvlText w:val="•"/>
      <w:lvlJc w:val="left"/>
      <w:pPr>
        <w:ind w:left="2141" w:hanging="702"/>
      </w:pPr>
      <w:rPr>
        <w:rFonts w:hint="default"/>
        <w:lang w:val="zh-CN" w:eastAsia="zh-CN" w:bidi="zh-CN"/>
      </w:rPr>
    </w:lvl>
    <w:lvl w:ilvl="3" w:tentative="0">
      <w:start w:val="0"/>
      <w:numFmt w:val="bullet"/>
      <w:lvlText w:val="•"/>
      <w:lvlJc w:val="left"/>
      <w:pPr>
        <w:ind w:left="3151" w:hanging="702"/>
      </w:pPr>
      <w:rPr>
        <w:rFonts w:hint="default"/>
        <w:lang w:val="zh-CN" w:eastAsia="zh-CN" w:bidi="zh-CN"/>
      </w:rPr>
    </w:lvl>
    <w:lvl w:ilvl="4" w:tentative="0">
      <w:start w:val="0"/>
      <w:numFmt w:val="bullet"/>
      <w:lvlText w:val="•"/>
      <w:lvlJc w:val="left"/>
      <w:pPr>
        <w:ind w:left="4162" w:hanging="702"/>
      </w:pPr>
      <w:rPr>
        <w:rFonts w:hint="default"/>
        <w:lang w:val="zh-CN" w:eastAsia="zh-CN" w:bidi="zh-CN"/>
      </w:rPr>
    </w:lvl>
    <w:lvl w:ilvl="5" w:tentative="0">
      <w:start w:val="0"/>
      <w:numFmt w:val="bullet"/>
      <w:lvlText w:val="•"/>
      <w:lvlJc w:val="left"/>
      <w:pPr>
        <w:ind w:left="5173" w:hanging="702"/>
      </w:pPr>
      <w:rPr>
        <w:rFonts w:hint="default"/>
        <w:lang w:val="zh-CN" w:eastAsia="zh-CN" w:bidi="zh-CN"/>
      </w:rPr>
    </w:lvl>
    <w:lvl w:ilvl="6" w:tentative="0">
      <w:start w:val="0"/>
      <w:numFmt w:val="bullet"/>
      <w:lvlText w:val="•"/>
      <w:lvlJc w:val="left"/>
      <w:pPr>
        <w:ind w:left="6183" w:hanging="702"/>
      </w:pPr>
      <w:rPr>
        <w:rFonts w:hint="default"/>
        <w:lang w:val="zh-CN" w:eastAsia="zh-CN" w:bidi="zh-CN"/>
      </w:rPr>
    </w:lvl>
    <w:lvl w:ilvl="7" w:tentative="0">
      <w:start w:val="0"/>
      <w:numFmt w:val="bullet"/>
      <w:lvlText w:val="•"/>
      <w:lvlJc w:val="left"/>
      <w:pPr>
        <w:ind w:left="7194" w:hanging="702"/>
      </w:pPr>
      <w:rPr>
        <w:rFonts w:hint="default"/>
        <w:lang w:val="zh-CN" w:eastAsia="zh-CN" w:bidi="zh-CN"/>
      </w:rPr>
    </w:lvl>
    <w:lvl w:ilvl="8" w:tentative="0">
      <w:start w:val="0"/>
      <w:numFmt w:val="bullet"/>
      <w:lvlText w:val="•"/>
      <w:lvlJc w:val="left"/>
      <w:pPr>
        <w:ind w:left="8204" w:hanging="702"/>
      </w:pPr>
      <w:rPr>
        <w:rFonts w:hint="default"/>
        <w:lang w:val="zh-CN" w:eastAsia="zh-CN" w:bidi="zh-CN"/>
      </w:rPr>
    </w:lvl>
  </w:abstractNum>
  <w:abstractNum w:abstractNumId="9">
    <w:nsid w:val="85307D72"/>
    <w:multiLevelType w:val="singleLevel"/>
    <w:tmpl w:val="85307D72"/>
    <w:lvl w:ilvl="0" w:tentative="0">
      <w:start w:val="1"/>
      <w:numFmt w:val="decimal"/>
      <w:suff w:val="nothing"/>
      <w:lvlText w:val="%1."/>
      <w:lvlJc w:val="left"/>
      <w:pPr>
        <w:ind w:left="0" w:firstLine="0"/>
      </w:pPr>
      <w:rPr>
        <w:rFonts w:hint="default"/>
      </w:rPr>
    </w:lvl>
  </w:abstractNum>
  <w:abstractNum w:abstractNumId="10">
    <w:nsid w:val="861909B9"/>
    <w:multiLevelType w:val="singleLevel"/>
    <w:tmpl w:val="861909B9"/>
    <w:lvl w:ilvl="0" w:tentative="0">
      <w:start w:val="1"/>
      <w:numFmt w:val="chineseCounting"/>
      <w:suff w:val="nothing"/>
      <w:lvlText w:val="（%1）"/>
      <w:lvlJc w:val="left"/>
      <w:pPr>
        <w:ind w:left="0" w:firstLine="420"/>
      </w:pPr>
      <w:rPr>
        <w:rFonts w:hint="eastAsia"/>
      </w:rPr>
    </w:lvl>
  </w:abstractNum>
  <w:abstractNum w:abstractNumId="11">
    <w:nsid w:val="86C3C066"/>
    <w:multiLevelType w:val="singleLevel"/>
    <w:tmpl w:val="86C3C066"/>
    <w:lvl w:ilvl="0" w:tentative="0">
      <w:start w:val="1"/>
      <w:numFmt w:val="chineseCounting"/>
      <w:suff w:val="nothing"/>
      <w:lvlText w:val="（%1）"/>
      <w:lvlJc w:val="left"/>
      <w:pPr>
        <w:ind w:left="0" w:firstLine="420"/>
      </w:pPr>
      <w:rPr>
        <w:rFonts w:hint="eastAsia"/>
      </w:rPr>
    </w:lvl>
  </w:abstractNum>
  <w:abstractNum w:abstractNumId="12">
    <w:nsid w:val="88717403"/>
    <w:multiLevelType w:val="singleLevel"/>
    <w:tmpl w:val="88717403"/>
    <w:lvl w:ilvl="0" w:tentative="0">
      <w:start w:val="1"/>
      <w:numFmt w:val="chineseCounting"/>
      <w:suff w:val="nothing"/>
      <w:lvlText w:val="（%1）"/>
      <w:lvlJc w:val="left"/>
      <w:pPr>
        <w:ind w:left="0" w:firstLine="420"/>
      </w:pPr>
      <w:rPr>
        <w:rFonts w:hint="eastAsia"/>
      </w:rPr>
    </w:lvl>
  </w:abstractNum>
  <w:abstractNum w:abstractNumId="13">
    <w:nsid w:val="888B407A"/>
    <w:multiLevelType w:val="singleLevel"/>
    <w:tmpl w:val="888B407A"/>
    <w:lvl w:ilvl="0" w:tentative="0">
      <w:start w:val="1"/>
      <w:numFmt w:val="chineseCounting"/>
      <w:suff w:val="nothing"/>
      <w:lvlText w:val="（%1）"/>
      <w:lvlJc w:val="left"/>
      <w:pPr>
        <w:ind w:left="0" w:firstLine="420"/>
      </w:pPr>
      <w:rPr>
        <w:rFonts w:hint="eastAsia"/>
      </w:rPr>
    </w:lvl>
  </w:abstractNum>
  <w:abstractNum w:abstractNumId="14">
    <w:nsid w:val="889BAF67"/>
    <w:multiLevelType w:val="singleLevel"/>
    <w:tmpl w:val="889BAF67"/>
    <w:lvl w:ilvl="0" w:tentative="0">
      <w:start w:val="1"/>
      <w:numFmt w:val="chineseCounting"/>
      <w:suff w:val="nothing"/>
      <w:lvlText w:val="（%1）"/>
      <w:lvlJc w:val="left"/>
      <w:pPr>
        <w:ind w:left="0" w:firstLine="420"/>
      </w:pPr>
      <w:rPr>
        <w:rFonts w:hint="eastAsia"/>
      </w:rPr>
    </w:lvl>
  </w:abstractNum>
  <w:abstractNum w:abstractNumId="15">
    <w:nsid w:val="8933891F"/>
    <w:multiLevelType w:val="singleLevel"/>
    <w:tmpl w:val="8933891F"/>
    <w:lvl w:ilvl="0" w:tentative="0">
      <w:start w:val="1"/>
      <w:numFmt w:val="chineseCounting"/>
      <w:suff w:val="nothing"/>
      <w:lvlText w:val="（%1）"/>
      <w:lvlJc w:val="left"/>
      <w:pPr>
        <w:ind w:left="0" w:firstLine="420"/>
      </w:pPr>
      <w:rPr>
        <w:rFonts w:hint="eastAsia"/>
      </w:rPr>
    </w:lvl>
  </w:abstractNum>
  <w:abstractNum w:abstractNumId="16">
    <w:nsid w:val="893DABA2"/>
    <w:multiLevelType w:val="singleLevel"/>
    <w:tmpl w:val="893DABA2"/>
    <w:lvl w:ilvl="0" w:tentative="0">
      <w:start w:val="1"/>
      <w:numFmt w:val="chineseCounting"/>
      <w:suff w:val="nothing"/>
      <w:lvlText w:val="（%1）"/>
      <w:lvlJc w:val="left"/>
      <w:pPr>
        <w:ind w:left="0" w:firstLine="420"/>
      </w:pPr>
      <w:rPr>
        <w:rFonts w:hint="eastAsia"/>
      </w:rPr>
    </w:lvl>
  </w:abstractNum>
  <w:abstractNum w:abstractNumId="17">
    <w:nsid w:val="8A403C4B"/>
    <w:multiLevelType w:val="singleLevel"/>
    <w:tmpl w:val="8A403C4B"/>
    <w:lvl w:ilvl="0" w:tentative="0">
      <w:start w:val="1"/>
      <w:numFmt w:val="decimal"/>
      <w:suff w:val="nothing"/>
      <w:lvlText w:val="%1."/>
      <w:lvlJc w:val="left"/>
      <w:pPr>
        <w:ind w:left="0" w:firstLine="0"/>
      </w:pPr>
      <w:rPr>
        <w:rFonts w:hint="default"/>
      </w:rPr>
    </w:lvl>
  </w:abstractNum>
  <w:abstractNum w:abstractNumId="18">
    <w:nsid w:val="8B15FF39"/>
    <w:multiLevelType w:val="singleLevel"/>
    <w:tmpl w:val="8B15FF39"/>
    <w:lvl w:ilvl="0" w:tentative="0">
      <w:start w:val="1"/>
      <w:numFmt w:val="chineseCounting"/>
      <w:suff w:val="nothing"/>
      <w:lvlText w:val="（%1）"/>
      <w:lvlJc w:val="left"/>
      <w:pPr>
        <w:ind w:left="0" w:firstLine="420"/>
      </w:pPr>
      <w:rPr>
        <w:rFonts w:hint="eastAsia"/>
      </w:rPr>
    </w:lvl>
  </w:abstractNum>
  <w:abstractNum w:abstractNumId="19">
    <w:nsid w:val="8B935291"/>
    <w:multiLevelType w:val="singleLevel"/>
    <w:tmpl w:val="8B935291"/>
    <w:lvl w:ilvl="0" w:tentative="0">
      <w:start w:val="1"/>
      <w:numFmt w:val="decimal"/>
      <w:suff w:val="nothing"/>
      <w:lvlText w:val="%1."/>
      <w:lvlJc w:val="left"/>
      <w:pPr>
        <w:ind w:left="0" w:firstLine="0"/>
      </w:pPr>
      <w:rPr>
        <w:rFonts w:hint="default"/>
      </w:rPr>
    </w:lvl>
  </w:abstractNum>
  <w:abstractNum w:abstractNumId="20">
    <w:nsid w:val="8BD0F81C"/>
    <w:multiLevelType w:val="singleLevel"/>
    <w:tmpl w:val="8BD0F81C"/>
    <w:lvl w:ilvl="0" w:tentative="0">
      <w:start w:val="1"/>
      <w:numFmt w:val="chineseCounting"/>
      <w:suff w:val="nothing"/>
      <w:lvlText w:val="（%1）"/>
      <w:lvlJc w:val="left"/>
      <w:pPr>
        <w:ind w:left="0" w:firstLine="420"/>
      </w:pPr>
      <w:rPr>
        <w:rFonts w:hint="eastAsia"/>
      </w:rPr>
    </w:lvl>
  </w:abstractNum>
  <w:abstractNum w:abstractNumId="21">
    <w:nsid w:val="8D005EEA"/>
    <w:multiLevelType w:val="singleLevel"/>
    <w:tmpl w:val="8D005EEA"/>
    <w:lvl w:ilvl="0" w:tentative="0">
      <w:start w:val="1"/>
      <w:numFmt w:val="decimal"/>
      <w:suff w:val="nothing"/>
      <w:lvlText w:val="%1."/>
      <w:lvlJc w:val="left"/>
      <w:pPr>
        <w:ind w:left="0" w:firstLine="0"/>
      </w:pPr>
      <w:rPr>
        <w:rFonts w:hint="default"/>
      </w:rPr>
    </w:lvl>
  </w:abstractNum>
  <w:abstractNum w:abstractNumId="22">
    <w:nsid w:val="8DDE6CB4"/>
    <w:multiLevelType w:val="singleLevel"/>
    <w:tmpl w:val="8DDE6CB4"/>
    <w:lvl w:ilvl="0" w:tentative="0">
      <w:start w:val="1"/>
      <w:numFmt w:val="chineseCounting"/>
      <w:suff w:val="nothing"/>
      <w:lvlText w:val="（%1）"/>
      <w:lvlJc w:val="left"/>
      <w:pPr>
        <w:ind w:left="0" w:firstLine="420"/>
      </w:pPr>
      <w:rPr>
        <w:rFonts w:hint="eastAsia"/>
      </w:rPr>
    </w:lvl>
  </w:abstractNum>
  <w:abstractNum w:abstractNumId="23">
    <w:nsid w:val="8E186A7F"/>
    <w:multiLevelType w:val="singleLevel"/>
    <w:tmpl w:val="8E186A7F"/>
    <w:lvl w:ilvl="0" w:tentative="0">
      <w:start w:val="2"/>
      <w:numFmt w:val="chineseCounting"/>
      <w:suff w:val="nothing"/>
      <w:lvlText w:val="%1、"/>
      <w:lvlJc w:val="left"/>
      <w:rPr>
        <w:rFonts w:hint="eastAsia"/>
      </w:rPr>
    </w:lvl>
  </w:abstractNum>
  <w:abstractNum w:abstractNumId="24">
    <w:nsid w:val="8EFFFA33"/>
    <w:multiLevelType w:val="singleLevel"/>
    <w:tmpl w:val="8EFFFA33"/>
    <w:lvl w:ilvl="0" w:tentative="0">
      <w:start w:val="1"/>
      <w:numFmt w:val="decimal"/>
      <w:suff w:val="nothing"/>
      <w:lvlText w:val="%1."/>
      <w:lvlJc w:val="left"/>
      <w:pPr>
        <w:ind w:left="0" w:firstLine="0"/>
      </w:pPr>
      <w:rPr>
        <w:rFonts w:hint="default"/>
      </w:rPr>
    </w:lvl>
  </w:abstractNum>
  <w:abstractNum w:abstractNumId="25">
    <w:nsid w:val="90708AD5"/>
    <w:multiLevelType w:val="singleLevel"/>
    <w:tmpl w:val="90708AD5"/>
    <w:lvl w:ilvl="0" w:tentative="0">
      <w:start w:val="1"/>
      <w:numFmt w:val="chineseCounting"/>
      <w:suff w:val="nothing"/>
      <w:lvlText w:val="（%1）"/>
      <w:lvlJc w:val="left"/>
      <w:pPr>
        <w:ind w:left="0" w:firstLine="420"/>
      </w:pPr>
      <w:rPr>
        <w:rFonts w:hint="eastAsia"/>
      </w:rPr>
    </w:lvl>
  </w:abstractNum>
  <w:abstractNum w:abstractNumId="26">
    <w:nsid w:val="909BF744"/>
    <w:multiLevelType w:val="singleLevel"/>
    <w:tmpl w:val="909BF744"/>
    <w:lvl w:ilvl="0" w:tentative="0">
      <w:start w:val="1"/>
      <w:numFmt w:val="chineseCounting"/>
      <w:suff w:val="nothing"/>
      <w:lvlText w:val="（%1）"/>
      <w:lvlJc w:val="left"/>
      <w:pPr>
        <w:ind w:left="0" w:firstLine="420"/>
      </w:pPr>
      <w:rPr>
        <w:rFonts w:hint="eastAsia"/>
      </w:rPr>
    </w:lvl>
  </w:abstractNum>
  <w:abstractNum w:abstractNumId="27">
    <w:nsid w:val="91F4784E"/>
    <w:multiLevelType w:val="singleLevel"/>
    <w:tmpl w:val="91F4784E"/>
    <w:lvl w:ilvl="0" w:tentative="0">
      <w:start w:val="1"/>
      <w:numFmt w:val="chineseCounting"/>
      <w:suff w:val="nothing"/>
      <w:lvlText w:val="（%1）"/>
      <w:lvlJc w:val="left"/>
      <w:pPr>
        <w:ind w:left="0" w:firstLine="420"/>
      </w:pPr>
      <w:rPr>
        <w:rFonts w:hint="eastAsia"/>
      </w:rPr>
    </w:lvl>
  </w:abstractNum>
  <w:abstractNum w:abstractNumId="28">
    <w:nsid w:val="920EB2C2"/>
    <w:multiLevelType w:val="singleLevel"/>
    <w:tmpl w:val="920EB2C2"/>
    <w:lvl w:ilvl="0" w:tentative="0">
      <w:start w:val="1"/>
      <w:numFmt w:val="chineseCounting"/>
      <w:suff w:val="nothing"/>
      <w:lvlText w:val="（%1）"/>
      <w:lvlJc w:val="left"/>
      <w:pPr>
        <w:ind w:left="0" w:firstLine="420"/>
      </w:pPr>
      <w:rPr>
        <w:rFonts w:hint="eastAsia"/>
      </w:rPr>
    </w:lvl>
  </w:abstractNum>
  <w:abstractNum w:abstractNumId="29">
    <w:nsid w:val="9221FCE8"/>
    <w:multiLevelType w:val="singleLevel"/>
    <w:tmpl w:val="9221FCE8"/>
    <w:lvl w:ilvl="0" w:tentative="0">
      <w:start w:val="1"/>
      <w:numFmt w:val="chineseCounting"/>
      <w:suff w:val="nothing"/>
      <w:lvlText w:val="（%1）"/>
      <w:lvlJc w:val="left"/>
      <w:pPr>
        <w:ind w:left="0" w:firstLine="420"/>
      </w:pPr>
      <w:rPr>
        <w:rFonts w:hint="eastAsia"/>
      </w:rPr>
    </w:lvl>
  </w:abstractNum>
  <w:abstractNum w:abstractNumId="30">
    <w:nsid w:val="92F6C89A"/>
    <w:multiLevelType w:val="singleLevel"/>
    <w:tmpl w:val="92F6C89A"/>
    <w:lvl w:ilvl="0" w:tentative="0">
      <w:start w:val="1"/>
      <w:numFmt w:val="chineseCounting"/>
      <w:suff w:val="nothing"/>
      <w:lvlText w:val="（%1）"/>
      <w:lvlJc w:val="left"/>
      <w:pPr>
        <w:ind w:left="0" w:firstLine="420"/>
      </w:pPr>
      <w:rPr>
        <w:rFonts w:hint="eastAsia"/>
      </w:rPr>
    </w:lvl>
  </w:abstractNum>
  <w:abstractNum w:abstractNumId="31">
    <w:nsid w:val="971F3351"/>
    <w:multiLevelType w:val="singleLevel"/>
    <w:tmpl w:val="971F3351"/>
    <w:lvl w:ilvl="0" w:tentative="0">
      <w:start w:val="1"/>
      <w:numFmt w:val="chineseCounting"/>
      <w:suff w:val="nothing"/>
      <w:lvlText w:val="（%1）"/>
      <w:lvlJc w:val="left"/>
      <w:pPr>
        <w:ind w:left="0" w:firstLine="420"/>
      </w:pPr>
      <w:rPr>
        <w:rFonts w:hint="eastAsia"/>
      </w:rPr>
    </w:lvl>
  </w:abstractNum>
  <w:abstractNum w:abstractNumId="32">
    <w:nsid w:val="972EDB48"/>
    <w:multiLevelType w:val="singleLevel"/>
    <w:tmpl w:val="972EDB48"/>
    <w:lvl w:ilvl="0" w:tentative="0">
      <w:start w:val="1"/>
      <w:numFmt w:val="chineseCounting"/>
      <w:suff w:val="nothing"/>
      <w:lvlText w:val="（%1）"/>
      <w:lvlJc w:val="left"/>
      <w:pPr>
        <w:ind w:left="0" w:firstLine="420"/>
      </w:pPr>
      <w:rPr>
        <w:rFonts w:hint="eastAsia"/>
      </w:rPr>
    </w:lvl>
  </w:abstractNum>
  <w:abstractNum w:abstractNumId="33">
    <w:nsid w:val="97396184"/>
    <w:multiLevelType w:val="singleLevel"/>
    <w:tmpl w:val="97396184"/>
    <w:lvl w:ilvl="0" w:tentative="0">
      <w:start w:val="1"/>
      <w:numFmt w:val="decimal"/>
      <w:suff w:val="nothing"/>
      <w:lvlText w:val="(%1)"/>
      <w:lvlJc w:val="left"/>
      <w:pPr>
        <w:ind w:left="0" w:firstLine="0"/>
      </w:pPr>
      <w:rPr>
        <w:rFonts w:hint="default"/>
      </w:rPr>
    </w:lvl>
  </w:abstractNum>
  <w:abstractNum w:abstractNumId="34">
    <w:nsid w:val="97AC3A21"/>
    <w:multiLevelType w:val="singleLevel"/>
    <w:tmpl w:val="97AC3A21"/>
    <w:lvl w:ilvl="0" w:tentative="0">
      <w:start w:val="1"/>
      <w:numFmt w:val="decimal"/>
      <w:suff w:val="nothing"/>
      <w:lvlText w:val="%1."/>
      <w:lvlJc w:val="left"/>
      <w:pPr>
        <w:ind w:left="0" w:firstLine="0"/>
      </w:pPr>
      <w:rPr>
        <w:rFonts w:hint="default"/>
      </w:rPr>
    </w:lvl>
  </w:abstractNum>
  <w:abstractNum w:abstractNumId="35">
    <w:nsid w:val="9A76B5C7"/>
    <w:multiLevelType w:val="singleLevel"/>
    <w:tmpl w:val="9A76B5C7"/>
    <w:lvl w:ilvl="0" w:tentative="0">
      <w:start w:val="1"/>
      <w:numFmt w:val="chineseCounting"/>
      <w:suff w:val="nothing"/>
      <w:lvlText w:val="（%1）"/>
      <w:lvlJc w:val="left"/>
      <w:pPr>
        <w:ind w:left="0" w:firstLine="420"/>
      </w:pPr>
      <w:rPr>
        <w:rFonts w:hint="eastAsia"/>
      </w:rPr>
    </w:lvl>
  </w:abstractNum>
  <w:abstractNum w:abstractNumId="36">
    <w:nsid w:val="9A830EAC"/>
    <w:multiLevelType w:val="singleLevel"/>
    <w:tmpl w:val="9A830EAC"/>
    <w:lvl w:ilvl="0" w:tentative="0">
      <w:start w:val="1"/>
      <w:numFmt w:val="chineseCounting"/>
      <w:suff w:val="nothing"/>
      <w:lvlText w:val="（%1）"/>
      <w:lvlJc w:val="left"/>
      <w:pPr>
        <w:ind w:left="0" w:firstLine="420"/>
      </w:pPr>
      <w:rPr>
        <w:rFonts w:hint="eastAsia"/>
      </w:rPr>
    </w:lvl>
  </w:abstractNum>
  <w:abstractNum w:abstractNumId="37">
    <w:nsid w:val="9B061213"/>
    <w:multiLevelType w:val="singleLevel"/>
    <w:tmpl w:val="9B061213"/>
    <w:lvl w:ilvl="0" w:tentative="0">
      <w:start w:val="1"/>
      <w:numFmt w:val="decimal"/>
      <w:suff w:val="nothing"/>
      <w:lvlText w:val="(%1)"/>
      <w:lvlJc w:val="left"/>
      <w:pPr>
        <w:ind w:left="0" w:firstLine="0"/>
      </w:pPr>
      <w:rPr>
        <w:rFonts w:hint="default"/>
      </w:rPr>
    </w:lvl>
  </w:abstractNum>
  <w:abstractNum w:abstractNumId="38">
    <w:nsid w:val="9C461058"/>
    <w:multiLevelType w:val="singleLevel"/>
    <w:tmpl w:val="9C461058"/>
    <w:lvl w:ilvl="0" w:tentative="0">
      <w:start w:val="1"/>
      <w:numFmt w:val="decimal"/>
      <w:suff w:val="nothing"/>
      <w:lvlText w:val="%1."/>
      <w:lvlJc w:val="left"/>
      <w:pPr>
        <w:ind w:left="0" w:firstLine="0"/>
      </w:pPr>
      <w:rPr>
        <w:rFonts w:hint="default"/>
      </w:rPr>
    </w:lvl>
  </w:abstractNum>
  <w:abstractNum w:abstractNumId="39">
    <w:nsid w:val="9D3F9DBF"/>
    <w:multiLevelType w:val="singleLevel"/>
    <w:tmpl w:val="9D3F9DBF"/>
    <w:lvl w:ilvl="0" w:tentative="0">
      <w:start w:val="1"/>
      <w:numFmt w:val="chineseCounting"/>
      <w:suff w:val="nothing"/>
      <w:lvlText w:val="（%1）"/>
      <w:lvlJc w:val="left"/>
      <w:pPr>
        <w:ind w:left="0" w:firstLine="420"/>
      </w:pPr>
      <w:rPr>
        <w:rFonts w:hint="eastAsia"/>
      </w:rPr>
    </w:lvl>
  </w:abstractNum>
  <w:abstractNum w:abstractNumId="40">
    <w:nsid w:val="9DA3916A"/>
    <w:multiLevelType w:val="singleLevel"/>
    <w:tmpl w:val="9DA3916A"/>
    <w:lvl w:ilvl="0" w:tentative="0">
      <w:start w:val="1"/>
      <w:numFmt w:val="decimal"/>
      <w:suff w:val="nothing"/>
      <w:lvlText w:val="%1."/>
      <w:lvlJc w:val="left"/>
      <w:pPr>
        <w:ind w:left="0" w:firstLine="0"/>
      </w:pPr>
      <w:rPr>
        <w:rFonts w:hint="default"/>
      </w:rPr>
    </w:lvl>
  </w:abstractNum>
  <w:abstractNum w:abstractNumId="41">
    <w:nsid w:val="9DFC6B9E"/>
    <w:multiLevelType w:val="singleLevel"/>
    <w:tmpl w:val="9DFC6B9E"/>
    <w:lvl w:ilvl="0" w:tentative="0">
      <w:start w:val="1"/>
      <w:numFmt w:val="chineseCounting"/>
      <w:suff w:val="nothing"/>
      <w:lvlText w:val="（%1）"/>
      <w:lvlJc w:val="left"/>
      <w:pPr>
        <w:ind w:left="0" w:firstLine="420"/>
      </w:pPr>
      <w:rPr>
        <w:rFonts w:hint="eastAsia"/>
      </w:rPr>
    </w:lvl>
  </w:abstractNum>
  <w:abstractNum w:abstractNumId="42">
    <w:nsid w:val="9E6C3116"/>
    <w:multiLevelType w:val="singleLevel"/>
    <w:tmpl w:val="9E6C3116"/>
    <w:lvl w:ilvl="0" w:tentative="0">
      <w:start w:val="1"/>
      <w:numFmt w:val="chineseCounting"/>
      <w:suff w:val="nothing"/>
      <w:lvlText w:val="（%1）"/>
      <w:lvlJc w:val="left"/>
      <w:pPr>
        <w:ind w:left="0" w:firstLine="420"/>
      </w:pPr>
      <w:rPr>
        <w:rFonts w:hint="eastAsia"/>
      </w:rPr>
    </w:lvl>
  </w:abstractNum>
  <w:abstractNum w:abstractNumId="43">
    <w:nsid w:val="9FF3689B"/>
    <w:multiLevelType w:val="singleLevel"/>
    <w:tmpl w:val="9FF3689B"/>
    <w:lvl w:ilvl="0" w:tentative="0">
      <w:start w:val="1"/>
      <w:numFmt w:val="decimal"/>
      <w:suff w:val="nothing"/>
      <w:lvlText w:val="%1."/>
      <w:lvlJc w:val="left"/>
      <w:pPr>
        <w:ind w:left="0" w:firstLine="0"/>
      </w:pPr>
      <w:rPr>
        <w:rFonts w:hint="default"/>
      </w:rPr>
    </w:lvl>
  </w:abstractNum>
  <w:abstractNum w:abstractNumId="44">
    <w:nsid w:val="A2A8FFB1"/>
    <w:multiLevelType w:val="singleLevel"/>
    <w:tmpl w:val="A2A8FFB1"/>
    <w:lvl w:ilvl="0" w:tentative="0">
      <w:start w:val="1"/>
      <w:numFmt w:val="chineseCounting"/>
      <w:suff w:val="nothing"/>
      <w:lvlText w:val="（%1）"/>
      <w:lvlJc w:val="left"/>
      <w:pPr>
        <w:ind w:left="0" w:firstLine="420"/>
      </w:pPr>
      <w:rPr>
        <w:rFonts w:hint="eastAsia"/>
      </w:rPr>
    </w:lvl>
  </w:abstractNum>
  <w:abstractNum w:abstractNumId="45">
    <w:nsid w:val="A4C7F368"/>
    <w:multiLevelType w:val="singleLevel"/>
    <w:tmpl w:val="A4C7F368"/>
    <w:lvl w:ilvl="0" w:tentative="0">
      <w:start w:val="1"/>
      <w:numFmt w:val="decimal"/>
      <w:suff w:val="nothing"/>
      <w:lvlText w:val="(%1)"/>
      <w:lvlJc w:val="left"/>
      <w:pPr>
        <w:ind w:left="0" w:firstLine="0"/>
      </w:pPr>
      <w:rPr>
        <w:rFonts w:hint="default"/>
      </w:rPr>
    </w:lvl>
  </w:abstractNum>
  <w:abstractNum w:abstractNumId="46">
    <w:nsid w:val="A50CFC19"/>
    <w:multiLevelType w:val="singleLevel"/>
    <w:tmpl w:val="A50CFC19"/>
    <w:lvl w:ilvl="0" w:tentative="0">
      <w:start w:val="1"/>
      <w:numFmt w:val="decimal"/>
      <w:suff w:val="nothing"/>
      <w:lvlText w:val="%1."/>
      <w:lvlJc w:val="left"/>
      <w:pPr>
        <w:ind w:left="0" w:firstLine="0"/>
      </w:pPr>
      <w:rPr>
        <w:rFonts w:hint="default"/>
      </w:rPr>
    </w:lvl>
  </w:abstractNum>
  <w:abstractNum w:abstractNumId="47">
    <w:nsid w:val="A672C72E"/>
    <w:multiLevelType w:val="singleLevel"/>
    <w:tmpl w:val="A672C72E"/>
    <w:lvl w:ilvl="0" w:tentative="0">
      <w:start w:val="1"/>
      <w:numFmt w:val="decimal"/>
      <w:suff w:val="nothing"/>
      <w:lvlText w:val="%1."/>
      <w:lvlJc w:val="left"/>
      <w:pPr>
        <w:ind w:left="0" w:firstLine="0"/>
      </w:pPr>
      <w:rPr>
        <w:rFonts w:hint="default"/>
      </w:rPr>
    </w:lvl>
  </w:abstractNum>
  <w:abstractNum w:abstractNumId="48">
    <w:nsid w:val="A74CABCD"/>
    <w:multiLevelType w:val="singleLevel"/>
    <w:tmpl w:val="A74CABCD"/>
    <w:lvl w:ilvl="0" w:tentative="0">
      <w:start w:val="1"/>
      <w:numFmt w:val="chineseCounting"/>
      <w:suff w:val="nothing"/>
      <w:lvlText w:val="（%1）"/>
      <w:lvlJc w:val="left"/>
      <w:pPr>
        <w:ind w:left="0" w:firstLine="420"/>
      </w:pPr>
      <w:rPr>
        <w:rFonts w:hint="eastAsia"/>
      </w:rPr>
    </w:lvl>
  </w:abstractNum>
  <w:abstractNum w:abstractNumId="49">
    <w:nsid w:val="A76C36E1"/>
    <w:multiLevelType w:val="singleLevel"/>
    <w:tmpl w:val="A76C36E1"/>
    <w:lvl w:ilvl="0" w:tentative="0">
      <w:start w:val="1"/>
      <w:numFmt w:val="chineseCounting"/>
      <w:suff w:val="nothing"/>
      <w:lvlText w:val="（%1）"/>
      <w:lvlJc w:val="left"/>
      <w:pPr>
        <w:ind w:left="0" w:firstLine="420"/>
      </w:pPr>
      <w:rPr>
        <w:rFonts w:hint="eastAsia"/>
      </w:rPr>
    </w:lvl>
  </w:abstractNum>
  <w:abstractNum w:abstractNumId="50">
    <w:nsid w:val="A7D0F27B"/>
    <w:multiLevelType w:val="singleLevel"/>
    <w:tmpl w:val="A7D0F27B"/>
    <w:lvl w:ilvl="0" w:tentative="0">
      <w:start w:val="1"/>
      <w:numFmt w:val="chineseCounting"/>
      <w:suff w:val="nothing"/>
      <w:lvlText w:val="（%1）"/>
      <w:lvlJc w:val="left"/>
      <w:pPr>
        <w:ind w:left="0" w:firstLine="420"/>
      </w:pPr>
      <w:rPr>
        <w:rFonts w:hint="eastAsia"/>
      </w:rPr>
    </w:lvl>
  </w:abstractNum>
  <w:abstractNum w:abstractNumId="51">
    <w:nsid w:val="A7E36998"/>
    <w:multiLevelType w:val="singleLevel"/>
    <w:tmpl w:val="A7E36998"/>
    <w:lvl w:ilvl="0" w:tentative="0">
      <w:start w:val="3"/>
      <w:numFmt w:val="chineseCounting"/>
      <w:suff w:val="nothing"/>
      <w:lvlText w:val="（%1）"/>
      <w:lvlJc w:val="left"/>
      <w:pPr>
        <w:ind w:left="0" w:firstLine="397"/>
      </w:pPr>
      <w:rPr>
        <w:rFonts w:hint="eastAsia"/>
      </w:rPr>
    </w:lvl>
  </w:abstractNum>
  <w:abstractNum w:abstractNumId="52">
    <w:nsid w:val="A816735C"/>
    <w:multiLevelType w:val="singleLevel"/>
    <w:tmpl w:val="A816735C"/>
    <w:lvl w:ilvl="0" w:tentative="0">
      <w:start w:val="1"/>
      <w:numFmt w:val="decimalEnclosedCircleChinese"/>
      <w:suff w:val="nothing"/>
      <w:lvlText w:val="%1　"/>
      <w:lvlJc w:val="left"/>
      <w:pPr>
        <w:ind w:left="0" w:firstLine="400"/>
      </w:pPr>
      <w:rPr>
        <w:rFonts w:hint="eastAsia"/>
      </w:rPr>
    </w:lvl>
  </w:abstractNum>
  <w:abstractNum w:abstractNumId="53">
    <w:nsid w:val="A9369465"/>
    <w:multiLevelType w:val="singleLevel"/>
    <w:tmpl w:val="A9369465"/>
    <w:lvl w:ilvl="0" w:tentative="0">
      <w:start w:val="1"/>
      <w:numFmt w:val="chineseCounting"/>
      <w:suff w:val="nothing"/>
      <w:lvlText w:val="（%1）"/>
      <w:lvlJc w:val="left"/>
      <w:pPr>
        <w:ind w:left="0" w:firstLine="420"/>
      </w:pPr>
      <w:rPr>
        <w:rFonts w:hint="eastAsia"/>
      </w:rPr>
    </w:lvl>
  </w:abstractNum>
  <w:abstractNum w:abstractNumId="54">
    <w:nsid w:val="AA00DC82"/>
    <w:multiLevelType w:val="singleLevel"/>
    <w:tmpl w:val="AA00DC82"/>
    <w:lvl w:ilvl="0" w:tentative="0">
      <w:start w:val="1"/>
      <w:numFmt w:val="chineseCounting"/>
      <w:suff w:val="nothing"/>
      <w:lvlText w:val="（%1）"/>
      <w:lvlJc w:val="left"/>
      <w:pPr>
        <w:ind w:left="0" w:firstLine="420"/>
      </w:pPr>
      <w:rPr>
        <w:rFonts w:hint="eastAsia"/>
      </w:rPr>
    </w:lvl>
  </w:abstractNum>
  <w:abstractNum w:abstractNumId="55">
    <w:nsid w:val="AA19F344"/>
    <w:multiLevelType w:val="singleLevel"/>
    <w:tmpl w:val="AA19F344"/>
    <w:lvl w:ilvl="0" w:tentative="0">
      <w:start w:val="1"/>
      <w:numFmt w:val="decimal"/>
      <w:suff w:val="nothing"/>
      <w:lvlText w:val="%1."/>
      <w:lvlJc w:val="left"/>
      <w:pPr>
        <w:ind w:left="0" w:firstLine="0"/>
      </w:pPr>
      <w:rPr>
        <w:rFonts w:hint="default"/>
      </w:rPr>
    </w:lvl>
  </w:abstractNum>
  <w:abstractNum w:abstractNumId="56">
    <w:nsid w:val="AAC5BEDF"/>
    <w:multiLevelType w:val="singleLevel"/>
    <w:tmpl w:val="AAC5BEDF"/>
    <w:lvl w:ilvl="0" w:tentative="0">
      <w:start w:val="1"/>
      <w:numFmt w:val="chineseCounting"/>
      <w:suff w:val="nothing"/>
      <w:lvlText w:val="（%1）"/>
      <w:lvlJc w:val="left"/>
      <w:pPr>
        <w:ind w:left="0" w:firstLine="420"/>
      </w:pPr>
      <w:rPr>
        <w:rFonts w:hint="eastAsia"/>
      </w:rPr>
    </w:lvl>
  </w:abstractNum>
  <w:abstractNum w:abstractNumId="57">
    <w:nsid w:val="AB22D3BA"/>
    <w:multiLevelType w:val="singleLevel"/>
    <w:tmpl w:val="AB22D3BA"/>
    <w:lvl w:ilvl="0" w:tentative="0">
      <w:start w:val="1"/>
      <w:numFmt w:val="decimal"/>
      <w:suff w:val="nothing"/>
      <w:lvlText w:val="%1."/>
      <w:lvlJc w:val="left"/>
      <w:pPr>
        <w:ind w:left="0" w:firstLine="0"/>
      </w:pPr>
      <w:rPr>
        <w:rFonts w:hint="default"/>
      </w:rPr>
    </w:lvl>
  </w:abstractNum>
  <w:abstractNum w:abstractNumId="58">
    <w:nsid w:val="AF015D28"/>
    <w:multiLevelType w:val="singleLevel"/>
    <w:tmpl w:val="AF015D28"/>
    <w:lvl w:ilvl="0" w:tentative="0">
      <w:start w:val="1"/>
      <w:numFmt w:val="chineseCounting"/>
      <w:suff w:val="nothing"/>
      <w:lvlText w:val="（%1）"/>
      <w:lvlJc w:val="left"/>
      <w:pPr>
        <w:ind w:left="0" w:firstLine="420"/>
      </w:pPr>
      <w:rPr>
        <w:rFonts w:hint="eastAsia"/>
      </w:rPr>
    </w:lvl>
  </w:abstractNum>
  <w:abstractNum w:abstractNumId="59">
    <w:nsid w:val="AF0CCA37"/>
    <w:multiLevelType w:val="singleLevel"/>
    <w:tmpl w:val="AF0CCA37"/>
    <w:lvl w:ilvl="0" w:tentative="0">
      <w:start w:val="1"/>
      <w:numFmt w:val="decimal"/>
      <w:suff w:val="nothing"/>
      <w:lvlText w:val="(%1)"/>
      <w:lvlJc w:val="left"/>
      <w:pPr>
        <w:ind w:left="0" w:firstLine="0"/>
      </w:pPr>
      <w:rPr>
        <w:rFonts w:hint="default"/>
      </w:rPr>
    </w:lvl>
  </w:abstractNum>
  <w:abstractNum w:abstractNumId="60">
    <w:nsid w:val="AF4E7A02"/>
    <w:multiLevelType w:val="singleLevel"/>
    <w:tmpl w:val="AF4E7A02"/>
    <w:lvl w:ilvl="0" w:tentative="0">
      <w:start w:val="1"/>
      <w:numFmt w:val="decimal"/>
      <w:suff w:val="nothing"/>
      <w:lvlText w:val="%1."/>
      <w:lvlJc w:val="left"/>
      <w:pPr>
        <w:ind w:left="0" w:firstLine="0"/>
      </w:pPr>
      <w:rPr>
        <w:rFonts w:hint="default"/>
      </w:rPr>
    </w:lvl>
  </w:abstractNum>
  <w:abstractNum w:abstractNumId="61">
    <w:nsid w:val="AFFF4D97"/>
    <w:multiLevelType w:val="singleLevel"/>
    <w:tmpl w:val="AFFF4D97"/>
    <w:lvl w:ilvl="0" w:tentative="0">
      <w:start w:val="1"/>
      <w:numFmt w:val="decimal"/>
      <w:suff w:val="nothing"/>
      <w:lvlText w:val="%1."/>
      <w:lvlJc w:val="left"/>
      <w:pPr>
        <w:ind w:left="0" w:firstLine="0"/>
      </w:pPr>
      <w:rPr>
        <w:rFonts w:hint="default"/>
      </w:rPr>
    </w:lvl>
  </w:abstractNum>
  <w:abstractNum w:abstractNumId="62">
    <w:nsid w:val="B0B241E8"/>
    <w:multiLevelType w:val="singleLevel"/>
    <w:tmpl w:val="B0B241E8"/>
    <w:lvl w:ilvl="0" w:tentative="0">
      <w:start w:val="1"/>
      <w:numFmt w:val="chineseCounting"/>
      <w:suff w:val="nothing"/>
      <w:lvlText w:val="（%1）"/>
      <w:lvlJc w:val="left"/>
      <w:pPr>
        <w:ind w:left="0" w:firstLine="420"/>
      </w:pPr>
      <w:rPr>
        <w:rFonts w:hint="eastAsia"/>
      </w:rPr>
    </w:lvl>
  </w:abstractNum>
  <w:abstractNum w:abstractNumId="63">
    <w:nsid w:val="B23C47C8"/>
    <w:multiLevelType w:val="singleLevel"/>
    <w:tmpl w:val="B23C47C8"/>
    <w:lvl w:ilvl="0" w:tentative="0">
      <w:start w:val="1"/>
      <w:numFmt w:val="chineseCounting"/>
      <w:suff w:val="nothing"/>
      <w:lvlText w:val="（%1）"/>
      <w:lvlJc w:val="left"/>
      <w:pPr>
        <w:ind w:left="0" w:firstLine="420"/>
      </w:pPr>
      <w:rPr>
        <w:rFonts w:hint="eastAsia"/>
      </w:rPr>
    </w:lvl>
  </w:abstractNum>
  <w:abstractNum w:abstractNumId="64">
    <w:nsid w:val="B2E96D25"/>
    <w:multiLevelType w:val="singleLevel"/>
    <w:tmpl w:val="B2E96D25"/>
    <w:lvl w:ilvl="0" w:tentative="0">
      <w:start w:val="1"/>
      <w:numFmt w:val="chineseCounting"/>
      <w:suff w:val="nothing"/>
      <w:lvlText w:val="（%1）"/>
      <w:lvlJc w:val="left"/>
      <w:pPr>
        <w:ind w:left="0" w:firstLine="420"/>
      </w:pPr>
      <w:rPr>
        <w:rFonts w:hint="eastAsia"/>
      </w:rPr>
    </w:lvl>
  </w:abstractNum>
  <w:abstractNum w:abstractNumId="65">
    <w:nsid w:val="B38CBF43"/>
    <w:multiLevelType w:val="singleLevel"/>
    <w:tmpl w:val="B38CBF43"/>
    <w:lvl w:ilvl="0" w:tentative="0">
      <w:start w:val="1"/>
      <w:numFmt w:val="decimal"/>
      <w:suff w:val="nothing"/>
      <w:lvlText w:val="(%1)"/>
      <w:lvlJc w:val="left"/>
      <w:pPr>
        <w:ind w:left="0" w:firstLine="0"/>
      </w:pPr>
      <w:rPr>
        <w:rFonts w:hint="default"/>
      </w:rPr>
    </w:lvl>
  </w:abstractNum>
  <w:abstractNum w:abstractNumId="66">
    <w:nsid w:val="B3F12A69"/>
    <w:multiLevelType w:val="singleLevel"/>
    <w:tmpl w:val="B3F12A69"/>
    <w:lvl w:ilvl="0" w:tentative="0">
      <w:start w:val="1"/>
      <w:numFmt w:val="decimal"/>
      <w:suff w:val="nothing"/>
      <w:lvlText w:val="%1."/>
      <w:lvlJc w:val="left"/>
      <w:pPr>
        <w:ind w:left="0" w:firstLine="0"/>
      </w:pPr>
      <w:rPr>
        <w:rFonts w:hint="default"/>
      </w:rPr>
    </w:lvl>
  </w:abstractNum>
  <w:abstractNum w:abstractNumId="67">
    <w:nsid w:val="B405D594"/>
    <w:multiLevelType w:val="singleLevel"/>
    <w:tmpl w:val="B405D594"/>
    <w:lvl w:ilvl="0" w:tentative="0">
      <w:start w:val="1"/>
      <w:numFmt w:val="chineseCounting"/>
      <w:suff w:val="nothing"/>
      <w:lvlText w:val="（%1）"/>
      <w:lvlJc w:val="left"/>
      <w:pPr>
        <w:ind w:left="0" w:firstLine="420"/>
      </w:pPr>
      <w:rPr>
        <w:rFonts w:hint="eastAsia"/>
      </w:rPr>
    </w:lvl>
  </w:abstractNum>
  <w:abstractNum w:abstractNumId="68">
    <w:nsid w:val="B44F141D"/>
    <w:multiLevelType w:val="singleLevel"/>
    <w:tmpl w:val="B44F141D"/>
    <w:lvl w:ilvl="0" w:tentative="0">
      <w:start w:val="1"/>
      <w:numFmt w:val="chineseCounting"/>
      <w:suff w:val="nothing"/>
      <w:lvlText w:val="（%1）"/>
      <w:lvlJc w:val="left"/>
      <w:pPr>
        <w:ind w:left="0" w:firstLine="420"/>
      </w:pPr>
      <w:rPr>
        <w:rFonts w:hint="eastAsia"/>
      </w:rPr>
    </w:lvl>
  </w:abstractNum>
  <w:abstractNum w:abstractNumId="69">
    <w:nsid w:val="B46944DA"/>
    <w:multiLevelType w:val="singleLevel"/>
    <w:tmpl w:val="B46944DA"/>
    <w:lvl w:ilvl="0" w:tentative="0">
      <w:start w:val="3"/>
      <w:numFmt w:val="chineseCounting"/>
      <w:suff w:val="nothing"/>
      <w:lvlText w:val="（%1）"/>
      <w:lvlJc w:val="left"/>
      <w:pPr>
        <w:ind w:left="0" w:firstLine="397"/>
      </w:pPr>
      <w:rPr>
        <w:rFonts w:hint="eastAsia"/>
      </w:rPr>
    </w:lvl>
  </w:abstractNum>
  <w:abstractNum w:abstractNumId="70">
    <w:nsid w:val="B4AABD67"/>
    <w:multiLevelType w:val="singleLevel"/>
    <w:tmpl w:val="B4AABD67"/>
    <w:lvl w:ilvl="0" w:tentative="0">
      <w:start w:val="1"/>
      <w:numFmt w:val="chineseCounting"/>
      <w:suff w:val="nothing"/>
      <w:lvlText w:val="（%1）"/>
      <w:lvlJc w:val="left"/>
      <w:pPr>
        <w:ind w:left="0" w:firstLine="420"/>
      </w:pPr>
      <w:rPr>
        <w:rFonts w:hint="eastAsia"/>
      </w:rPr>
    </w:lvl>
  </w:abstractNum>
  <w:abstractNum w:abstractNumId="71">
    <w:nsid w:val="B4AC226F"/>
    <w:multiLevelType w:val="singleLevel"/>
    <w:tmpl w:val="B4AC226F"/>
    <w:lvl w:ilvl="0" w:tentative="0">
      <w:start w:val="1"/>
      <w:numFmt w:val="decimal"/>
      <w:suff w:val="nothing"/>
      <w:lvlText w:val="%1."/>
      <w:lvlJc w:val="left"/>
      <w:pPr>
        <w:ind w:left="0" w:firstLine="0"/>
      </w:pPr>
      <w:rPr>
        <w:rFonts w:hint="default"/>
      </w:rPr>
    </w:lvl>
  </w:abstractNum>
  <w:abstractNum w:abstractNumId="72">
    <w:nsid w:val="B4D36A2F"/>
    <w:multiLevelType w:val="singleLevel"/>
    <w:tmpl w:val="B4D36A2F"/>
    <w:lvl w:ilvl="0" w:tentative="0">
      <w:start w:val="1"/>
      <w:numFmt w:val="chineseCounting"/>
      <w:suff w:val="nothing"/>
      <w:lvlText w:val="（%1）"/>
      <w:lvlJc w:val="left"/>
      <w:pPr>
        <w:ind w:left="0" w:firstLine="420"/>
      </w:pPr>
      <w:rPr>
        <w:rFonts w:hint="eastAsia"/>
      </w:rPr>
    </w:lvl>
  </w:abstractNum>
  <w:abstractNum w:abstractNumId="73">
    <w:nsid w:val="B6523F82"/>
    <w:multiLevelType w:val="singleLevel"/>
    <w:tmpl w:val="B6523F82"/>
    <w:lvl w:ilvl="0" w:tentative="0">
      <w:start w:val="1"/>
      <w:numFmt w:val="decimal"/>
      <w:suff w:val="nothing"/>
      <w:lvlText w:val="%1."/>
      <w:lvlJc w:val="left"/>
      <w:pPr>
        <w:ind w:left="0" w:firstLine="0"/>
      </w:pPr>
      <w:rPr>
        <w:rFonts w:hint="default"/>
      </w:rPr>
    </w:lvl>
  </w:abstractNum>
  <w:abstractNum w:abstractNumId="74">
    <w:nsid w:val="B6BA8A1E"/>
    <w:multiLevelType w:val="singleLevel"/>
    <w:tmpl w:val="B6BA8A1E"/>
    <w:lvl w:ilvl="0" w:tentative="0">
      <w:start w:val="1"/>
      <w:numFmt w:val="decimal"/>
      <w:suff w:val="nothing"/>
      <w:lvlText w:val="%1."/>
      <w:lvlJc w:val="left"/>
      <w:pPr>
        <w:ind w:left="0" w:firstLine="0"/>
      </w:pPr>
      <w:rPr>
        <w:rFonts w:hint="default"/>
      </w:rPr>
    </w:lvl>
  </w:abstractNum>
  <w:abstractNum w:abstractNumId="75">
    <w:nsid w:val="B855F16C"/>
    <w:multiLevelType w:val="singleLevel"/>
    <w:tmpl w:val="B855F16C"/>
    <w:lvl w:ilvl="0" w:tentative="0">
      <w:start w:val="1"/>
      <w:numFmt w:val="chineseCounting"/>
      <w:suff w:val="nothing"/>
      <w:lvlText w:val="（%1）"/>
      <w:lvlJc w:val="left"/>
      <w:pPr>
        <w:ind w:left="0" w:firstLine="420"/>
      </w:pPr>
      <w:rPr>
        <w:rFonts w:hint="eastAsia"/>
      </w:rPr>
    </w:lvl>
  </w:abstractNum>
  <w:abstractNum w:abstractNumId="76">
    <w:nsid w:val="B8DCC143"/>
    <w:multiLevelType w:val="singleLevel"/>
    <w:tmpl w:val="B8DCC143"/>
    <w:lvl w:ilvl="0" w:tentative="0">
      <w:start w:val="1"/>
      <w:numFmt w:val="chineseCounting"/>
      <w:suff w:val="nothing"/>
      <w:lvlText w:val="（%1）"/>
      <w:lvlJc w:val="left"/>
      <w:pPr>
        <w:ind w:left="0" w:firstLine="420"/>
      </w:pPr>
      <w:rPr>
        <w:rFonts w:hint="eastAsia"/>
      </w:rPr>
    </w:lvl>
  </w:abstractNum>
  <w:abstractNum w:abstractNumId="77">
    <w:nsid w:val="B8E6DE82"/>
    <w:multiLevelType w:val="singleLevel"/>
    <w:tmpl w:val="B8E6DE82"/>
    <w:lvl w:ilvl="0" w:tentative="0">
      <w:start w:val="1"/>
      <w:numFmt w:val="chineseCounting"/>
      <w:suff w:val="nothing"/>
      <w:lvlText w:val="（%1）"/>
      <w:lvlJc w:val="left"/>
      <w:pPr>
        <w:ind w:left="0" w:firstLine="420"/>
      </w:pPr>
      <w:rPr>
        <w:rFonts w:hint="eastAsia"/>
      </w:rPr>
    </w:lvl>
  </w:abstractNum>
  <w:abstractNum w:abstractNumId="78">
    <w:nsid w:val="B986D8A1"/>
    <w:multiLevelType w:val="singleLevel"/>
    <w:tmpl w:val="B986D8A1"/>
    <w:lvl w:ilvl="0" w:tentative="0">
      <w:start w:val="1"/>
      <w:numFmt w:val="chineseCounting"/>
      <w:suff w:val="nothing"/>
      <w:lvlText w:val="（%1）"/>
      <w:lvlJc w:val="left"/>
      <w:pPr>
        <w:ind w:left="0" w:firstLine="420"/>
      </w:pPr>
      <w:rPr>
        <w:rFonts w:hint="eastAsia"/>
      </w:rPr>
    </w:lvl>
  </w:abstractNum>
  <w:abstractNum w:abstractNumId="79">
    <w:nsid w:val="B989C0B6"/>
    <w:multiLevelType w:val="singleLevel"/>
    <w:tmpl w:val="B989C0B6"/>
    <w:lvl w:ilvl="0" w:tentative="0">
      <w:start w:val="1"/>
      <w:numFmt w:val="decimal"/>
      <w:suff w:val="nothing"/>
      <w:lvlText w:val="%1."/>
      <w:lvlJc w:val="left"/>
      <w:pPr>
        <w:ind w:left="0" w:firstLine="0"/>
      </w:pPr>
      <w:rPr>
        <w:rFonts w:hint="default"/>
      </w:rPr>
    </w:lvl>
  </w:abstractNum>
  <w:abstractNum w:abstractNumId="80">
    <w:nsid w:val="BADF8C79"/>
    <w:multiLevelType w:val="singleLevel"/>
    <w:tmpl w:val="BADF8C79"/>
    <w:lvl w:ilvl="0" w:tentative="0">
      <w:start w:val="1"/>
      <w:numFmt w:val="decimal"/>
      <w:suff w:val="nothing"/>
      <w:lvlText w:val="%1."/>
      <w:lvlJc w:val="left"/>
      <w:pPr>
        <w:ind w:left="0" w:firstLine="0"/>
      </w:pPr>
      <w:rPr>
        <w:rFonts w:hint="default"/>
      </w:rPr>
    </w:lvl>
  </w:abstractNum>
  <w:abstractNum w:abstractNumId="81">
    <w:nsid w:val="BBDA5B17"/>
    <w:multiLevelType w:val="singleLevel"/>
    <w:tmpl w:val="BBDA5B17"/>
    <w:lvl w:ilvl="0" w:tentative="0">
      <w:start w:val="1"/>
      <w:numFmt w:val="decimal"/>
      <w:suff w:val="nothing"/>
      <w:lvlText w:val="(%1)"/>
      <w:lvlJc w:val="left"/>
      <w:pPr>
        <w:ind w:left="0" w:firstLine="0"/>
      </w:pPr>
      <w:rPr>
        <w:rFonts w:hint="default"/>
      </w:rPr>
    </w:lvl>
  </w:abstractNum>
  <w:abstractNum w:abstractNumId="82">
    <w:nsid w:val="BBDAD3FF"/>
    <w:multiLevelType w:val="singleLevel"/>
    <w:tmpl w:val="BBDAD3FF"/>
    <w:lvl w:ilvl="0" w:tentative="0">
      <w:start w:val="1"/>
      <w:numFmt w:val="chineseCounting"/>
      <w:suff w:val="nothing"/>
      <w:lvlText w:val="（%1）"/>
      <w:lvlJc w:val="left"/>
      <w:pPr>
        <w:ind w:left="-420" w:firstLine="420"/>
      </w:pPr>
      <w:rPr>
        <w:rFonts w:hint="eastAsia"/>
      </w:rPr>
    </w:lvl>
  </w:abstractNum>
  <w:abstractNum w:abstractNumId="83">
    <w:nsid w:val="BCEB345D"/>
    <w:multiLevelType w:val="singleLevel"/>
    <w:tmpl w:val="BCEB345D"/>
    <w:lvl w:ilvl="0" w:tentative="0">
      <w:start w:val="1"/>
      <w:numFmt w:val="decimal"/>
      <w:suff w:val="nothing"/>
      <w:lvlText w:val="%1."/>
      <w:lvlJc w:val="left"/>
      <w:pPr>
        <w:ind w:left="0" w:firstLine="0"/>
      </w:pPr>
      <w:rPr>
        <w:rFonts w:hint="default"/>
      </w:rPr>
    </w:lvl>
  </w:abstractNum>
  <w:abstractNum w:abstractNumId="84">
    <w:nsid w:val="BD3F5801"/>
    <w:multiLevelType w:val="singleLevel"/>
    <w:tmpl w:val="BD3F5801"/>
    <w:lvl w:ilvl="0" w:tentative="0">
      <w:start w:val="1"/>
      <w:numFmt w:val="chineseCounting"/>
      <w:suff w:val="nothing"/>
      <w:lvlText w:val="（%1）"/>
      <w:lvlJc w:val="left"/>
      <w:pPr>
        <w:ind w:left="0" w:firstLine="420"/>
      </w:pPr>
      <w:rPr>
        <w:rFonts w:hint="eastAsia"/>
      </w:rPr>
    </w:lvl>
  </w:abstractNum>
  <w:abstractNum w:abstractNumId="85">
    <w:nsid w:val="BD6B2B56"/>
    <w:multiLevelType w:val="singleLevel"/>
    <w:tmpl w:val="BD6B2B56"/>
    <w:lvl w:ilvl="0" w:tentative="0">
      <w:start w:val="1"/>
      <w:numFmt w:val="chineseCounting"/>
      <w:suff w:val="nothing"/>
      <w:lvlText w:val="（%1）"/>
      <w:lvlJc w:val="left"/>
      <w:pPr>
        <w:ind w:left="0" w:firstLine="420"/>
      </w:pPr>
      <w:rPr>
        <w:rFonts w:hint="eastAsia"/>
      </w:rPr>
    </w:lvl>
  </w:abstractNum>
  <w:abstractNum w:abstractNumId="86">
    <w:nsid w:val="BDA51781"/>
    <w:multiLevelType w:val="singleLevel"/>
    <w:tmpl w:val="BDA51781"/>
    <w:lvl w:ilvl="0" w:tentative="0">
      <w:start w:val="1"/>
      <w:numFmt w:val="chineseCounting"/>
      <w:suff w:val="nothing"/>
      <w:lvlText w:val="（%1）"/>
      <w:lvlJc w:val="left"/>
      <w:pPr>
        <w:ind w:left="0" w:firstLine="420"/>
      </w:pPr>
      <w:rPr>
        <w:rFonts w:hint="eastAsia"/>
      </w:rPr>
    </w:lvl>
  </w:abstractNum>
  <w:abstractNum w:abstractNumId="87">
    <w:nsid w:val="BE923771"/>
    <w:multiLevelType w:val="multilevel"/>
    <w:tmpl w:val="BE923771"/>
    <w:lvl w:ilvl="0" w:tentative="0">
      <w:start w:val="2"/>
      <w:numFmt w:val="decimal"/>
      <w:lvlText w:val="（%1）"/>
      <w:lvlJc w:val="left"/>
      <w:pPr>
        <w:ind w:left="1381" w:hanging="702"/>
      </w:pPr>
      <w:rPr>
        <w:rFonts w:hint="default" w:ascii="宋体" w:hAnsi="宋体" w:eastAsia="宋体" w:cs="宋体"/>
        <w:spacing w:val="-2"/>
        <w:w w:val="100"/>
        <w:sz w:val="32"/>
        <w:szCs w:val="32"/>
        <w:lang w:val="zh-CN" w:eastAsia="zh-CN" w:bidi="zh-CN"/>
      </w:rPr>
    </w:lvl>
    <w:lvl w:ilvl="1" w:tentative="0">
      <w:start w:val="0"/>
      <w:numFmt w:val="bullet"/>
      <w:lvlText w:val="•"/>
      <w:lvlJc w:val="left"/>
      <w:pPr>
        <w:ind w:left="2264" w:hanging="702"/>
      </w:pPr>
      <w:rPr>
        <w:rFonts w:hint="default"/>
        <w:lang w:val="zh-CN" w:eastAsia="zh-CN" w:bidi="zh-CN"/>
      </w:rPr>
    </w:lvl>
    <w:lvl w:ilvl="2" w:tentative="0">
      <w:start w:val="0"/>
      <w:numFmt w:val="bullet"/>
      <w:lvlText w:val="•"/>
      <w:lvlJc w:val="left"/>
      <w:pPr>
        <w:ind w:left="3149" w:hanging="702"/>
      </w:pPr>
      <w:rPr>
        <w:rFonts w:hint="default"/>
        <w:lang w:val="zh-CN" w:eastAsia="zh-CN" w:bidi="zh-CN"/>
      </w:rPr>
    </w:lvl>
    <w:lvl w:ilvl="3" w:tentative="0">
      <w:start w:val="0"/>
      <w:numFmt w:val="bullet"/>
      <w:lvlText w:val="•"/>
      <w:lvlJc w:val="left"/>
      <w:pPr>
        <w:ind w:left="4033" w:hanging="702"/>
      </w:pPr>
      <w:rPr>
        <w:rFonts w:hint="default"/>
        <w:lang w:val="zh-CN" w:eastAsia="zh-CN" w:bidi="zh-CN"/>
      </w:rPr>
    </w:lvl>
    <w:lvl w:ilvl="4" w:tentative="0">
      <w:start w:val="0"/>
      <w:numFmt w:val="bullet"/>
      <w:lvlText w:val="•"/>
      <w:lvlJc w:val="left"/>
      <w:pPr>
        <w:ind w:left="4918" w:hanging="702"/>
      </w:pPr>
      <w:rPr>
        <w:rFonts w:hint="default"/>
        <w:lang w:val="zh-CN" w:eastAsia="zh-CN" w:bidi="zh-CN"/>
      </w:rPr>
    </w:lvl>
    <w:lvl w:ilvl="5" w:tentative="0">
      <w:start w:val="0"/>
      <w:numFmt w:val="bullet"/>
      <w:lvlText w:val="•"/>
      <w:lvlJc w:val="left"/>
      <w:pPr>
        <w:ind w:left="5803" w:hanging="702"/>
      </w:pPr>
      <w:rPr>
        <w:rFonts w:hint="default"/>
        <w:lang w:val="zh-CN" w:eastAsia="zh-CN" w:bidi="zh-CN"/>
      </w:rPr>
    </w:lvl>
    <w:lvl w:ilvl="6" w:tentative="0">
      <w:start w:val="0"/>
      <w:numFmt w:val="bullet"/>
      <w:lvlText w:val="•"/>
      <w:lvlJc w:val="left"/>
      <w:pPr>
        <w:ind w:left="6687" w:hanging="702"/>
      </w:pPr>
      <w:rPr>
        <w:rFonts w:hint="default"/>
        <w:lang w:val="zh-CN" w:eastAsia="zh-CN" w:bidi="zh-CN"/>
      </w:rPr>
    </w:lvl>
    <w:lvl w:ilvl="7" w:tentative="0">
      <w:start w:val="0"/>
      <w:numFmt w:val="bullet"/>
      <w:lvlText w:val="•"/>
      <w:lvlJc w:val="left"/>
      <w:pPr>
        <w:ind w:left="7572" w:hanging="702"/>
      </w:pPr>
      <w:rPr>
        <w:rFonts w:hint="default"/>
        <w:lang w:val="zh-CN" w:eastAsia="zh-CN" w:bidi="zh-CN"/>
      </w:rPr>
    </w:lvl>
    <w:lvl w:ilvl="8" w:tentative="0">
      <w:start w:val="0"/>
      <w:numFmt w:val="bullet"/>
      <w:lvlText w:val="•"/>
      <w:lvlJc w:val="left"/>
      <w:pPr>
        <w:ind w:left="8456" w:hanging="702"/>
      </w:pPr>
      <w:rPr>
        <w:rFonts w:hint="default"/>
        <w:lang w:val="zh-CN" w:eastAsia="zh-CN" w:bidi="zh-CN"/>
      </w:rPr>
    </w:lvl>
  </w:abstractNum>
  <w:abstractNum w:abstractNumId="88">
    <w:nsid w:val="BFB158AB"/>
    <w:multiLevelType w:val="singleLevel"/>
    <w:tmpl w:val="BFB158AB"/>
    <w:lvl w:ilvl="0" w:tentative="0">
      <w:start w:val="1"/>
      <w:numFmt w:val="chineseCounting"/>
      <w:suff w:val="nothing"/>
      <w:lvlText w:val="（%1）"/>
      <w:lvlJc w:val="left"/>
      <w:pPr>
        <w:ind w:left="0" w:firstLine="420"/>
      </w:pPr>
      <w:rPr>
        <w:rFonts w:hint="eastAsia"/>
      </w:rPr>
    </w:lvl>
  </w:abstractNum>
  <w:abstractNum w:abstractNumId="89">
    <w:nsid w:val="C33ABD32"/>
    <w:multiLevelType w:val="singleLevel"/>
    <w:tmpl w:val="C33ABD32"/>
    <w:lvl w:ilvl="0" w:tentative="0">
      <w:start w:val="1"/>
      <w:numFmt w:val="decimal"/>
      <w:suff w:val="nothing"/>
      <w:lvlText w:val="%1."/>
      <w:lvlJc w:val="left"/>
      <w:pPr>
        <w:ind w:left="0" w:firstLine="0"/>
      </w:pPr>
      <w:rPr>
        <w:rFonts w:hint="default"/>
      </w:rPr>
    </w:lvl>
  </w:abstractNum>
  <w:abstractNum w:abstractNumId="90">
    <w:nsid w:val="C3746FA6"/>
    <w:multiLevelType w:val="singleLevel"/>
    <w:tmpl w:val="C3746FA6"/>
    <w:lvl w:ilvl="0" w:tentative="0">
      <w:start w:val="1"/>
      <w:numFmt w:val="chineseCounting"/>
      <w:suff w:val="nothing"/>
      <w:lvlText w:val="（%1）"/>
      <w:lvlJc w:val="left"/>
      <w:pPr>
        <w:ind w:left="0" w:firstLine="420"/>
      </w:pPr>
      <w:rPr>
        <w:rFonts w:hint="eastAsia"/>
      </w:rPr>
    </w:lvl>
  </w:abstractNum>
  <w:abstractNum w:abstractNumId="91">
    <w:nsid w:val="C4289FF1"/>
    <w:multiLevelType w:val="singleLevel"/>
    <w:tmpl w:val="C4289FF1"/>
    <w:lvl w:ilvl="0" w:tentative="0">
      <w:start w:val="1"/>
      <w:numFmt w:val="decimal"/>
      <w:suff w:val="nothing"/>
      <w:lvlText w:val="%1."/>
      <w:lvlJc w:val="left"/>
      <w:pPr>
        <w:ind w:left="0" w:firstLine="0"/>
      </w:pPr>
      <w:rPr>
        <w:rFonts w:hint="default"/>
      </w:rPr>
    </w:lvl>
  </w:abstractNum>
  <w:abstractNum w:abstractNumId="92">
    <w:nsid w:val="C47D031F"/>
    <w:multiLevelType w:val="singleLevel"/>
    <w:tmpl w:val="C47D031F"/>
    <w:lvl w:ilvl="0" w:tentative="0">
      <w:start w:val="10"/>
      <w:numFmt w:val="chineseCounting"/>
      <w:suff w:val="space"/>
      <w:lvlText w:val="第%1条"/>
      <w:lvlJc w:val="left"/>
      <w:rPr>
        <w:rFonts w:hint="eastAsia"/>
      </w:rPr>
    </w:lvl>
  </w:abstractNum>
  <w:abstractNum w:abstractNumId="93">
    <w:nsid w:val="C546ABCB"/>
    <w:multiLevelType w:val="singleLevel"/>
    <w:tmpl w:val="C546ABCB"/>
    <w:lvl w:ilvl="0" w:tentative="0">
      <w:start w:val="1"/>
      <w:numFmt w:val="decimal"/>
      <w:suff w:val="nothing"/>
      <w:lvlText w:val="(%1)"/>
      <w:lvlJc w:val="left"/>
      <w:pPr>
        <w:ind w:left="0" w:firstLine="0"/>
      </w:pPr>
      <w:rPr>
        <w:rFonts w:hint="default"/>
      </w:rPr>
    </w:lvl>
  </w:abstractNum>
  <w:abstractNum w:abstractNumId="94">
    <w:nsid w:val="C5B39C8D"/>
    <w:multiLevelType w:val="singleLevel"/>
    <w:tmpl w:val="C5B39C8D"/>
    <w:lvl w:ilvl="0" w:tentative="0">
      <w:start w:val="1"/>
      <w:numFmt w:val="chineseCounting"/>
      <w:suff w:val="nothing"/>
      <w:lvlText w:val="（%1）"/>
      <w:lvlJc w:val="left"/>
      <w:pPr>
        <w:ind w:left="-2" w:firstLine="420"/>
      </w:pPr>
      <w:rPr>
        <w:rFonts w:hint="eastAsia"/>
      </w:rPr>
    </w:lvl>
  </w:abstractNum>
  <w:abstractNum w:abstractNumId="95">
    <w:nsid w:val="C5B6DA71"/>
    <w:multiLevelType w:val="singleLevel"/>
    <w:tmpl w:val="C5B6DA71"/>
    <w:lvl w:ilvl="0" w:tentative="0">
      <w:start w:val="1"/>
      <w:numFmt w:val="decimal"/>
      <w:suff w:val="nothing"/>
      <w:lvlText w:val="%1."/>
      <w:lvlJc w:val="left"/>
      <w:pPr>
        <w:ind w:left="0" w:firstLine="0"/>
      </w:pPr>
      <w:rPr>
        <w:rFonts w:hint="default"/>
      </w:rPr>
    </w:lvl>
  </w:abstractNum>
  <w:abstractNum w:abstractNumId="96">
    <w:nsid w:val="C61270D1"/>
    <w:multiLevelType w:val="singleLevel"/>
    <w:tmpl w:val="C61270D1"/>
    <w:lvl w:ilvl="0" w:tentative="0">
      <w:start w:val="1"/>
      <w:numFmt w:val="chineseCounting"/>
      <w:suff w:val="nothing"/>
      <w:lvlText w:val="（%1）"/>
      <w:lvlJc w:val="left"/>
      <w:pPr>
        <w:ind w:left="0" w:firstLine="420"/>
      </w:pPr>
      <w:rPr>
        <w:rFonts w:hint="eastAsia"/>
      </w:rPr>
    </w:lvl>
  </w:abstractNum>
  <w:abstractNum w:abstractNumId="97">
    <w:nsid w:val="C620D2E7"/>
    <w:multiLevelType w:val="singleLevel"/>
    <w:tmpl w:val="C620D2E7"/>
    <w:lvl w:ilvl="0" w:tentative="0">
      <w:start w:val="4"/>
      <w:numFmt w:val="chineseCounting"/>
      <w:suff w:val="nothing"/>
      <w:lvlText w:val="（%1）"/>
      <w:lvlJc w:val="left"/>
      <w:pPr>
        <w:ind w:left="0" w:firstLine="397"/>
      </w:pPr>
      <w:rPr>
        <w:rFonts w:hint="eastAsia"/>
      </w:rPr>
    </w:lvl>
  </w:abstractNum>
  <w:abstractNum w:abstractNumId="98">
    <w:nsid w:val="C6260836"/>
    <w:multiLevelType w:val="singleLevel"/>
    <w:tmpl w:val="C6260836"/>
    <w:lvl w:ilvl="0" w:tentative="0">
      <w:start w:val="1"/>
      <w:numFmt w:val="decimal"/>
      <w:suff w:val="nothing"/>
      <w:lvlText w:val="%1."/>
      <w:lvlJc w:val="left"/>
      <w:pPr>
        <w:ind w:left="0" w:firstLine="0"/>
      </w:pPr>
      <w:rPr>
        <w:rFonts w:hint="default"/>
      </w:rPr>
    </w:lvl>
  </w:abstractNum>
  <w:abstractNum w:abstractNumId="99">
    <w:nsid w:val="C7202D3B"/>
    <w:multiLevelType w:val="singleLevel"/>
    <w:tmpl w:val="C7202D3B"/>
    <w:lvl w:ilvl="0" w:tentative="0">
      <w:start w:val="1"/>
      <w:numFmt w:val="decimal"/>
      <w:suff w:val="nothing"/>
      <w:lvlText w:val="%1."/>
      <w:lvlJc w:val="left"/>
      <w:pPr>
        <w:ind w:left="0" w:firstLine="0"/>
      </w:pPr>
      <w:rPr>
        <w:rFonts w:hint="default"/>
      </w:rPr>
    </w:lvl>
  </w:abstractNum>
  <w:abstractNum w:abstractNumId="100">
    <w:nsid w:val="C7271408"/>
    <w:multiLevelType w:val="singleLevel"/>
    <w:tmpl w:val="C7271408"/>
    <w:lvl w:ilvl="0" w:tentative="0">
      <w:start w:val="1"/>
      <w:numFmt w:val="decimalEnclosedCircleChinese"/>
      <w:suff w:val="nothing"/>
      <w:lvlText w:val="%1　"/>
      <w:lvlJc w:val="left"/>
      <w:pPr>
        <w:ind w:left="0" w:firstLine="0"/>
      </w:pPr>
      <w:rPr>
        <w:rFonts w:hint="eastAsia"/>
      </w:rPr>
    </w:lvl>
  </w:abstractNum>
  <w:abstractNum w:abstractNumId="101">
    <w:nsid w:val="C7764462"/>
    <w:multiLevelType w:val="singleLevel"/>
    <w:tmpl w:val="C7764462"/>
    <w:lvl w:ilvl="0" w:tentative="0">
      <w:start w:val="1"/>
      <w:numFmt w:val="chineseCounting"/>
      <w:suff w:val="nothing"/>
      <w:lvlText w:val="（%1）"/>
      <w:lvlJc w:val="left"/>
      <w:pPr>
        <w:ind w:left="0" w:firstLine="420"/>
      </w:pPr>
      <w:rPr>
        <w:rFonts w:hint="eastAsia"/>
      </w:rPr>
    </w:lvl>
  </w:abstractNum>
  <w:abstractNum w:abstractNumId="102">
    <w:nsid w:val="C7D23193"/>
    <w:multiLevelType w:val="singleLevel"/>
    <w:tmpl w:val="C7D23193"/>
    <w:lvl w:ilvl="0" w:tentative="0">
      <w:start w:val="5"/>
      <w:numFmt w:val="chineseCounting"/>
      <w:suff w:val="nothing"/>
      <w:lvlText w:val="%1、"/>
      <w:lvlJc w:val="left"/>
      <w:rPr>
        <w:rFonts w:hint="eastAsia"/>
      </w:rPr>
    </w:lvl>
  </w:abstractNum>
  <w:abstractNum w:abstractNumId="103">
    <w:nsid w:val="C7DE961E"/>
    <w:multiLevelType w:val="singleLevel"/>
    <w:tmpl w:val="C7DE961E"/>
    <w:lvl w:ilvl="0" w:tentative="0">
      <w:start w:val="1"/>
      <w:numFmt w:val="decimal"/>
      <w:suff w:val="nothing"/>
      <w:lvlText w:val="%1."/>
      <w:lvlJc w:val="left"/>
      <w:pPr>
        <w:ind w:left="0" w:firstLine="0"/>
      </w:pPr>
      <w:rPr>
        <w:rFonts w:hint="default"/>
      </w:rPr>
    </w:lvl>
  </w:abstractNum>
  <w:abstractNum w:abstractNumId="104">
    <w:nsid w:val="C9538818"/>
    <w:multiLevelType w:val="singleLevel"/>
    <w:tmpl w:val="C9538818"/>
    <w:lvl w:ilvl="0" w:tentative="0">
      <w:start w:val="1"/>
      <w:numFmt w:val="decimal"/>
      <w:suff w:val="nothing"/>
      <w:lvlText w:val="%1."/>
      <w:lvlJc w:val="left"/>
      <w:pPr>
        <w:ind w:left="0" w:firstLine="0"/>
      </w:pPr>
      <w:rPr>
        <w:rFonts w:hint="default"/>
      </w:rPr>
    </w:lvl>
  </w:abstractNum>
  <w:abstractNum w:abstractNumId="105">
    <w:nsid w:val="C9E96EDC"/>
    <w:multiLevelType w:val="singleLevel"/>
    <w:tmpl w:val="C9E96EDC"/>
    <w:lvl w:ilvl="0" w:tentative="0">
      <w:start w:val="1"/>
      <w:numFmt w:val="decimal"/>
      <w:suff w:val="nothing"/>
      <w:lvlText w:val="(%1)"/>
      <w:lvlJc w:val="left"/>
      <w:pPr>
        <w:ind w:left="0" w:firstLine="0"/>
      </w:pPr>
      <w:rPr>
        <w:rFonts w:hint="default"/>
      </w:rPr>
    </w:lvl>
  </w:abstractNum>
  <w:abstractNum w:abstractNumId="106">
    <w:nsid w:val="C9FE9B4F"/>
    <w:multiLevelType w:val="singleLevel"/>
    <w:tmpl w:val="C9FE9B4F"/>
    <w:lvl w:ilvl="0" w:tentative="0">
      <w:start w:val="1"/>
      <w:numFmt w:val="chineseCounting"/>
      <w:suff w:val="nothing"/>
      <w:lvlText w:val="（%1）"/>
      <w:lvlJc w:val="left"/>
      <w:pPr>
        <w:ind w:left="0" w:firstLine="420"/>
      </w:pPr>
      <w:rPr>
        <w:rFonts w:hint="eastAsia"/>
      </w:rPr>
    </w:lvl>
  </w:abstractNum>
  <w:abstractNum w:abstractNumId="107">
    <w:nsid w:val="CC41B92C"/>
    <w:multiLevelType w:val="singleLevel"/>
    <w:tmpl w:val="CC41B92C"/>
    <w:lvl w:ilvl="0" w:tentative="0">
      <w:start w:val="1"/>
      <w:numFmt w:val="decimal"/>
      <w:suff w:val="nothing"/>
      <w:lvlText w:val="(%1)"/>
      <w:lvlJc w:val="left"/>
      <w:pPr>
        <w:ind w:left="0" w:firstLine="0"/>
      </w:pPr>
      <w:rPr>
        <w:rFonts w:hint="default"/>
      </w:rPr>
    </w:lvl>
  </w:abstractNum>
  <w:abstractNum w:abstractNumId="108">
    <w:nsid w:val="CC8719CE"/>
    <w:multiLevelType w:val="singleLevel"/>
    <w:tmpl w:val="CC8719CE"/>
    <w:lvl w:ilvl="0" w:tentative="0">
      <w:start w:val="1"/>
      <w:numFmt w:val="chineseCounting"/>
      <w:suff w:val="nothing"/>
      <w:lvlText w:val="（%1）"/>
      <w:lvlJc w:val="left"/>
      <w:pPr>
        <w:ind w:left="0" w:firstLine="420"/>
      </w:pPr>
      <w:rPr>
        <w:rFonts w:hint="eastAsia"/>
      </w:rPr>
    </w:lvl>
  </w:abstractNum>
  <w:abstractNum w:abstractNumId="109">
    <w:nsid w:val="CCE2E2F6"/>
    <w:multiLevelType w:val="singleLevel"/>
    <w:tmpl w:val="CCE2E2F6"/>
    <w:lvl w:ilvl="0" w:tentative="0">
      <w:start w:val="1"/>
      <w:numFmt w:val="chineseCounting"/>
      <w:suff w:val="nothing"/>
      <w:lvlText w:val="（%1）"/>
      <w:lvlJc w:val="left"/>
      <w:pPr>
        <w:ind w:left="0" w:firstLine="420"/>
      </w:pPr>
      <w:rPr>
        <w:rFonts w:hint="eastAsia"/>
      </w:rPr>
    </w:lvl>
  </w:abstractNum>
  <w:abstractNum w:abstractNumId="110">
    <w:nsid w:val="CDBDE4BD"/>
    <w:multiLevelType w:val="singleLevel"/>
    <w:tmpl w:val="CDBDE4BD"/>
    <w:lvl w:ilvl="0" w:tentative="0">
      <w:start w:val="1"/>
      <w:numFmt w:val="decimal"/>
      <w:suff w:val="nothing"/>
      <w:lvlText w:val="%1."/>
      <w:lvlJc w:val="left"/>
      <w:pPr>
        <w:ind w:left="0" w:firstLine="0"/>
      </w:pPr>
      <w:rPr>
        <w:rFonts w:hint="default"/>
      </w:rPr>
    </w:lvl>
  </w:abstractNum>
  <w:abstractNum w:abstractNumId="111">
    <w:nsid w:val="CDF5AC5B"/>
    <w:multiLevelType w:val="singleLevel"/>
    <w:tmpl w:val="CDF5AC5B"/>
    <w:lvl w:ilvl="0" w:tentative="0">
      <w:start w:val="10"/>
      <w:numFmt w:val="decimal"/>
      <w:suff w:val="nothing"/>
      <w:lvlText w:val="%1."/>
      <w:lvlJc w:val="left"/>
      <w:pPr>
        <w:ind w:left="0" w:firstLine="0"/>
      </w:pPr>
      <w:rPr>
        <w:rFonts w:hint="default"/>
      </w:rPr>
    </w:lvl>
  </w:abstractNum>
  <w:abstractNum w:abstractNumId="112">
    <w:nsid w:val="CE2E4204"/>
    <w:multiLevelType w:val="singleLevel"/>
    <w:tmpl w:val="CE2E4204"/>
    <w:lvl w:ilvl="0" w:tentative="0">
      <w:start w:val="1"/>
      <w:numFmt w:val="chineseCounting"/>
      <w:suff w:val="nothing"/>
      <w:lvlText w:val="（%1）"/>
      <w:lvlJc w:val="left"/>
      <w:pPr>
        <w:ind w:left="0" w:firstLine="420"/>
      </w:pPr>
      <w:rPr>
        <w:rFonts w:hint="eastAsia"/>
      </w:rPr>
    </w:lvl>
  </w:abstractNum>
  <w:abstractNum w:abstractNumId="113">
    <w:nsid w:val="CEF5F724"/>
    <w:multiLevelType w:val="singleLevel"/>
    <w:tmpl w:val="CEF5F724"/>
    <w:lvl w:ilvl="0" w:tentative="0">
      <w:start w:val="1"/>
      <w:numFmt w:val="chineseCounting"/>
      <w:suff w:val="nothing"/>
      <w:lvlText w:val="（%1）"/>
      <w:lvlJc w:val="left"/>
      <w:pPr>
        <w:ind w:left="0" w:firstLine="420"/>
      </w:pPr>
      <w:rPr>
        <w:rFonts w:hint="eastAsia"/>
      </w:rPr>
    </w:lvl>
  </w:abstractNum>
  <w:abstractNum w:abstractNumId="114">
    <w:nsid w:val="CF9CA93F"/>
    <w:multiLevelType w:val="singleLevel"/>
    <w:tmpl w:val="CF9CA93F"/>
    <w:lvl w:ilvl="0" w:tentative="0">
      <w:start w:val="1"/>
      <w:numFmt w:val="chineseCounting"/>
      <w:suff w:val="nothing"/>
      <w:lvlText w:val="（%1）"/>
      <w:lvlJc w:val="left"/>
      <w:pPr>
        <w:ind w:left="0" w:firstLine="420"/>
      </w:pPr>
      <w:rPr>
        <w:rFonts w:hint="eastAsia"/>
      </w:rPr>
    </w:lvl>
  </w:abstractNum>
  <w:abstractNum w:abstractNumId="115">
    <w:nsid w:val="D0359507"/>
    <w:multiLevelType w:val="singleLevel"/>
    <w:tmpl w:val="D0359507"/>
    <w:lvl w:ilvl="0" w:tentative="0">
      <w:start w:val="1"/>
      <w:numFmt w:val="chineseCounting"/>
      <w:suff w:val="nothing"/>
      <w:lvlText w:val="（%1）"/>
      <w:lvlJc w:val="left"/>
      <w:pPr>
        <w:ind w:left="-420" w:firstLine="420"/>
      </w:pPr>
      <w:rPr>
        <w:rFonts w:hint="eastAsia"/>
      </w:rPr>
    </w:lvl>
  </w:abstractNum>
  <w:abstractNum w:abstractNumId="116">
    <w:nsid w:val="D1F2BCB2"/>
    <w:multiLevelType w:val="singleLevel"/>
    <w:tmpl w:val="D1F2BCB2"/>
    <w:lvl w:ilvl="0" w:tentative="0">
      <w:start w:val="1"/>
      <w:numFmt w:val="decimal"/>
      <w:suff w:val="nothing"/>
      <w:lvlText w:val="%1."/>
      <w:lvlJc w:val="left"/>
      <w:pPr>
        <w:ind w:left="0" w:firstLine="0"/>
      </w:pPr>
      <w:rPr>
        <w:rFonts w:hint="default"/>
      </w:rPr>
    </w:lvl>
  </w:abstractNum>
  <w:abstractNum w:abstractNumId="117">
    <w:nsid w:val="D2C51E12"/>
    <w:multiLevelType w:val="singleLevel"/>
    <w:tmpl w:val="D2C51E12"/>
    <w:lvl w:ilvl="0" w:tentative="0">
      <w:start w:val="1"/>
      <w:numFmt w:val="decimal"/>
      <w:suff w:val="nothing"/>
      <w:lvlText w:val="%1."/>
      <w:lvlJc w:val="left"/>
      <w:pPr>
        <w:ind w:left="0" w:firstLine="0"/>
      </w:pPr>
      <w:rPr>
        <w:rFonts w:hint="default"/>
      </w:rPr>
    </w:lvl>
  </w:abstractNum>
  <w:abstractNum w:abstractNumId="118">
    <w:nsid w:val="D3880866"/>
    <w:multiLevelType w:val="singleLevel"/>
    <w:tmpl w:val="D3880866"/>
    <w:lvl w:ilvl="0" w:tentative="0">
      <w:start w:val="1"/>
      <w:numFmt w:val="chineseCounting"/>
      <w:suff w:val="nothing"/>
      <w:lvlText w:val="（%1）"/>
      <w:lvlJc w:val="left"/>
      <w:pPr>
        <w:ind w:left="0" w:firstLine="420"/>
      </w:pPr>
      <w:rPr>
        <w:rFonts w:hint="eastAsia"/>
      </w:rPr>
    </w:lvl>
  </w:abstractNum>
  <w:abstractNum w:abstractNumId="119">
    <w:nsid w:val="D38F8559"/>
    <w:multiLevelType w:val="singleLevel"/>
    <w:tmpl w:val="D38F8559"/>
    <w:lvl w:ilvl="0" w:tentative="0">
      <w:start w:val="1"/>
      <w:numFmt w:val="decimal"/>
      <w:suff w:val="nothing"/>
      <w:lvlText w:val="(%1)"/>
      <w:lvlJc w:val="left"/>
      <w:pPr>
        <w:ind w:left="0" w:firstLine="0"/>
      </w:pPr>
      <w:rPr>
        <w:rFonts w:hint="default"/>
      </w:rPr>
    </w:lvl>
  </w:abstractNum>
  <w:abstractNum w:abstractNumId="120">
    <w:nsid w:val="D4AB8A3D"/>
    <w:multiLevelType w:val="singleLevel"/>
    <w:tmpl w:val="D4AB8A3D"/>
    <w:lvl w:ilvl="0" w:tentative="0">
      <w:start w:val="1"/>
      <w:numFmt w:val="chineseCounting"/>
      <w:suff w:val="space"/>
      <w:lvlText w:val="第%1章"/>
      <w:lvlJc w:val="left"/>
      <w:pPr>
        <w:ind w:left="1398"/>
      </w:pPr>
      <w:rPr>
        <w:rFonts w:hint="eastAsia"/>
      </w:rPr>
    </w:lvl>
  </w:abstractNum>
  <w:abstractNum w:abstractNumId="121">
    <w:nsid w:val="D506DAF3"/>
    <w:multiLevelType w:val="singleLevel"/>
    <w:tmpl w:val="D506DAF3"/>
    <w:lvl w:ilvl="0" w:tentative="0">
      <w:start w:val="1"/>
      <w:numFmt w:val="decimal"/>
      <w:suff w:val="nothing"/>
      <w:lvlText w:val="%1."/>
      <w:lvlJc w:val="left"/>
      <w:pPr>
        <w:ind w:left="0" w:firstLine="0"/>
      </w:pPr>
      <w:rPr>
        <w:rFonts w:hint="default"/>
      </w:rPr>
    </w:lvl>
  </w:abstractNum>
  <w:abstractNum w:abstractNumId="122">
    <w:nsid w:val="D51E4CF8"/>
    <w:multiLevelType w:val="singleLevel"/>
    <w:tmpl w:val="D51E4CF8"/>
    <w:lvl w:ilvl="0" w:tentative="0">
      <w:start w:val="1"/>
      <w:numFmt w:val="decimal"/>
      <w:suff w:val="nothing"/>
      <w:lvlText w:val="%1."/>
      <w:lvlJc w:val="left"/>
      <w:pPr>
        <w:ind w:left="0" w:firstLine="0"/>
      </w:pPr>
      <w:rPr>
        <w:rFonts w:hint="default"/>
      </w:rPr>
    </w:lvl>
  </w:abstractNum>
  <w:abstractNum w:abstractNumId="123">
    <w:nsid w:val="D6310694"/>
    <w:multiLevelType w:val="singleLevel"/>
    <w:tmpl w:val="D6310694"/>
    <w:lvl w:ilvl="0" w:tentative="0">
      <w:start w:val="1"/>
      <w:numFmt w:val="chineseCounting"/>
      <w:suff w:val="nothing"/>
      <w:lvlText w:val="（%1）"/>
      <w:lvlJc w:val="left"/>
      <w:pPr>
        <w:ind w:left="0" w:firstLine="420"/>
      </w:pPr>
      <w:rPr>
        <w:rFonts w:hint="eastAsia"/>
      </w:rPr>
    </w:lvl>
  </w:abstractNum>
  <w:abstractNum w:abstractNumId="124">
    <w:nsid w:val="D69CD17D"/>
    <w:multiLevelType w:val="singleLevel"/>
    <w:tmpl w:val="D69CD17D"/>
    <w:lvl w:ilvl="0" w:tentative="0">
      <w:start w:val="1"/>
      <w:numFmt w:val="decimal"/>
      <w:suff w:val="nothing"/>
      <w:lvlText w:val="%1."/>
      <w:lvlJc w:val="left"/>
      <w:pPr>
        <w:ind w:left="454" w:hanging="454"/>
      </w:pPr>
      <w:rPr>
        <w:rFonts w:hint="default"/>
      </w:rPr>
    </w:lvl>
  </w:abstractNum>
  <w:abstractNum w:abstractNumId="125">
    <w:nsid w:val="D7609CD6"/>
    <w:multiLevelType w:val="singleLevel"/>
    <w:tmpl w:val="D7609CD6"/>
    <w:lvl w:ilvl="0" w:tentative="0">
      <w:start w:val="1"/>
      <w:numFmt w:val="decimal"/>
      <w:suff w:val="nothing"/>
      <w:lvlText w:val="%1."/>
      <w:lvlJc w:val="left"/>
      <w:pPr>
        <w:ind w:left="0" w:firstLine="0"/>
      </w:pPr>
      <w:rPr>
        <w:rFonts w:hint="default"/>
      </w:rPr>
    </w:lvl>
  </w:abstractNum>
  <w:abstractNum w:abstractNumId="126">
    <w:nsid w:val="D7BA1072"/>
    <w:multiLevelType w:val="singleLevel"/>
    <w:tmpl w:val="D7BA1072"/>
    <w:lvl w:ilvl="0" w:tentative="0">
      <w:start w:val="1"/>
      <w:numFmt w:val="chineseCounting"/>
      <w:suff w:val="nothing"/>
      <w:lvlText w:val="（%1）"/>
      <w:lvlJc w:val="left"/>
      <w:pPr>
        <w:ind w:left="0" w:firstLine="420"/>
      </w:pPr>
      <w:rPr>
        <w:rFonts w:hint="eastAsia"/>
      </w:rPr>
    </w:lvl>
  </w:abstractNum>
  <w:abstractNum w:abstractNumId="127">
    <w:nsid w:val="D86E0162"/>
    <w:multiLevelType w:val="singleLevel"/>
    <w:tmpl w:val="D86E0162"/>
    <w:lvl w:ilvl="0" w:tentative="0">
      <w:start w:val="1"/>
      <w:numFmt w:val="decimal"/>
      <w:suff w:val="nothing"/>
      <w:lvlText w:val="%1."/>
      <w:lvlJc w:val="left"/>
      <w:pPr>
        <w:ind w:left="0" w:firstLine="0"/>
      </w:pPr>
      <w:rPr>
        <w:rFonts w:hint="default"/>
      </w:rPr>
    </w:lvl>
  </w:abstractNum>
  <w:abstractNum w:abstractNumId="128">
    <w:nsid w:val="D94B94DF"/>
    <w:multiLevelType w:val="singleLevel"/>
    <w:tmpl w:val="D94B94DF"/>
    <w:lvl w:ilvl="0" w:tentative="0">
      <w:start w:val="1"/>
      <w:numFmt w:val="chineseCounting"/>
      <w:suff w:val="nothing"/>
      <w:lvlText w:val="（%1）"/>
      <w:lvlJc w:val="left"/>
      <w:pPr>
        <w:ind w:left="0" w:firstLine="420"/>
      </w:pPr>
      <w:rPr>
        <w:rFonts w:hint="eastAsia"/>
      </w:rPr>
    </w:lvl>
  </w:abstractNum>
  <w:abstractNum w:abstractNumId="129">
    <w:nsid w:val="D9C90C53"/>
    <w:multiLevelType w:val="singleLevel"/>
    <w:tmpl w:val="D9C90C53"/>
    <w:lvl w:ilvl="0" w:tentative="0">
      <w:start w:val="1"/>
      <w:numFmt w:val="chineseCounting"/>
      <w:suff w:val="nothing"/>
      <w:lvlText w:val="（%1）"/>
      <w:lvlJc w:val="left"/>
      <w:pPr>
        <w:ind w:left="0" w:firstLine="420"/>
      </w:pPr>
      <w:rPr>
        <w:rFonts w:hint="eastAsia"/>
      </w:rPr>
    </w:lvl>
  </w:abstractNum>
  <w:abstractNum w:abstractNumId="130">
    <w:nsid w:val="D9CDFE1C"/>
    <w:multiLevelType w:val="singleLevel"/>
    <w:tmpl w:val="D9CDFE1C"/>
    <w:lvl w:ilvl="0" w:tentative="0">
      <w:start w:val="1"/>
      <w:numFmt w:val="chineseCounting"/>
      <w:suff w:val="nothing"/>
      <w:lvlText w:val="（%1）"/>
      <w:lvlJc w:val="left"/>
      <w:pPr>
        <w:ind w:left="0" w:firstLine="420"/>
      </w:pPr>
      <w:rPr>
        <w:rFonts w:hint="eastAsia"/>
      </w:rPr>
    </w:lvl>
  </w:abstractNum>
  <w:abstractNum w:abstractNumId="131">
    <w:nsid w:val="DA039319"/>
    <w:multiLevelType w:val="singleLevel"/>
    <w:tmpl w:val="DA039319"/>
    <w:lvl w:ilvl="0" w:tentative="0">
      <w:start w:val="1"/>
      <w:numFmt w:val="chineseCounting"/>
      <w:suff w:val="nothing"/>
      <w:lvlText w:val="（%1）"/>
      <w:lvlJc w:val="left"/>
      <w:pPr>
        <w:ind w:left="0" w:firstLine="420"/>
      </w:pPr>
      <w:rPr>
        <w:rFonts w:hint="eastAsia"/>
      </w:rPr>
    </w:lvl>
  </w:abstractNum>
  <w:abstractNum w:abstractNumId="132">
    <w:nsid w:val="DB5D255F"/>
    <w:multiLevelType w:val="singleLevel"/>
    <w:tmpl w:val="DB5D255F"/>
    <w:lvl w:ilvl="0" w:tentative="0">
      <w:start w:val="1"/>
      <w:numFmt w:val="decimal"/>
      <w:suff w:val="nothing"/>
      <w:lvlText w:val="%1."/>
      <w:lvlJc w:val="left"/>
      <w:pPr>
        <w:ind w:left="0" w:firstLine="0"/>
      </w:pPr>
      <w:rPr>
        <w:rFonts w:hint="default"/>
      </w:rPr>
    </w:lvl>
  </w:abstractNum>
  <w:abstractNum w:abstractNumId="133">
    <w:nsid w:val="DB75C9CA"/>
    <w:multiLevelType w:val="singleLevel"/>
    <w:tmpl w:val="DB75C9CA"/>
    <w:lvl w:ilvl="0" w:tentative="0">
      <w:start w:val="1"/>
      <w:numFmt w:val="decimal"/>
      <w:lvlText w:val="%1."/>
      <w:lvlJc w:val="left"/>
      <w:pPr>
        <w:ind w:left="425" w:hanging="425"/>
      </w:pPr>
      <w:rPr>
        <w:rFonts w:hint="default"/>
      </w:rPr>
    </w:lvl>
  </w:abstractNum>
  <w:abstractNum w:abstractNumId="134">
    <w:nsid w:val="DC2DC2DB"/>
    <w:multiLevelType w:val="singleLevel"/>
    <w:tmpl w:val="DC2DC2DB"/>
    <w:lvl w:ilvl="0" w:tentative="0">
      <w:start w:val="1"/>
      <w:numFmt w:val="chineseCounting"/>
      <w:suff w:val="nothing"/>
      <w:lvlText w:val="（%1）"/>
      <w:lvlJc w:val="left"/>
      <w:pPr>
        <w:ind w:left="0" w:firstLine="420"/>
      </w:pPr>
      <w:rPr>
        <w:rFonts w:hint="eastAsia"/>
      </w:rPr>
    </w:lvl>
  </w:abstractNum>
  <w:abstractNum w:abstractNumId="135">
    <w:nsid w:val="DE8F6287"/>
    <w:multiLevelType w:val="singleLevel"/>
    <w:tmpl w:val="DE8F6287"/>
    <w:lvl w:ilvl="0" w:tentative="0">
      <w:start w:val="1"/>
      <w:numFmt w:val="decimal"/>
      <w:suff w:val="nothing"/>
      <w:lvlText w:val="%1."/>
      <w:lvlJc w:val="left"/>
      <w:pPr>
        <w:ind w:left="0" w:firstLine="0"/>
      </w:pPr>
      <w:rPr>
        <w:rFonts w:hint="default"/>
      </w:rPr>
    </w:lvl>
  </w:abstractNum>
  <w:abstractNum w:abstractNumId="136">
    <w:nsid w:val="DEA39184"/>
    <w:multiLevelType w:val="singleLevel"/>
    <w:tmpl w:val="DEA39184"/>
    <w:lvl w:ilvl="0" w:tentative="0">
      <w:start w:val="1"/>
      <w:numFmt w:val="chineseCounting"/>
      <w:suff w:val="nothing"/>
      <w:lvlText w:val="（%1）"/>
      <w:lvlJc w:val="left"/>
      <w:pPr>
        <w:ind w:left="0" w:firstLine="420"/>
      </w:pPr>
      <w:rPr>
        <w:rFonts w:hint="eastAsia"/>
      </w:rPr>
    </w:lvl>
  </w:abstractNum>
  <w:abstractNum w:abstractNumId="137">
    <w:nsid w:val="DFA8E345"/>
    <w:multiLevelType w:val="singleLevel"/>
    <w:tmpl w:val="DFA8E345"/>
    <w:lvl w:ilvl="0" w:tentative="0">
      <w:start w:val="1"/>
      <w:numFmt w:val="decimal"/>
      <w:suff w:val="nothing"/>
      <w:lvlText w:val="%1."/>
      <w:lvlJc w:val="left"/>
      <w:pPr>
        <w:ind w:left="0" w:firstLine="0"/>
      </w:pPr>
      <w:rPr>
        <w:rFonts w:hint="default"/>
      </w:rPr>
    </w:lvl>
  </w:abstractNum>
  <w:abstractNum w:abstractNumId="138">
    <w:nsid w:val="E37B8BF9"/>
    <w:multiLevelType w:val="singleLevel"/>
    <w:tmpl w:val="E37B8BF9"/>
    <w:lvl w:ilvl="0" w:tentative="0">
      <w:start w:val="1"/>
      <w:numFmt w:val="decimal"/>
      <w:suff w:val="nothing"/>
      <w:lvlText w:val="%1."/>
      <w:lvlJc w:val="left"/>
      <w:pPr>
        <w:ind w:left="0" w:firstLine="0"/>
      </w:pPr>
      <w:rPr>
        <w:rFonts w:hint="default"/>
      </w:rPr>
    </w:lvl>
  </w:abstractNum>
  <w:abstractNum w:abstractNumId="139">
    <w:nsid w:val="E3D296ED"/>
    <w:multiLevelType w:val="singleLevel"/>
    <w:tmpl w:val="E3D296ED"/>
    <w:lvl w:ilvl="0" w:tentative="0">
      <w:start w:val="1"/>
      <w:numFmt w:val="decimal"/>
      <w:suff w:val="nothing"/>
      <w:lvlText w:val="(%1)"/>
      <w:lvlJc w:val="left"/>
      <w:pPr>
        <w:ind w:left="0" w:firstLine="0"/>
      </w:pPr>
      <w:rPr>
        <w:rFonts w:hint="default"/>
      </w:rPr>
    </w:lvl>
  </w:abstractNum>
  <w:abstractNum w:abstractNumId="140">
    <w:nsid w:val="E490EFD3"/>
    <w:multiLevelType w:val="singleLevel"/>
    <w:tmpl w:val="E490EFD3"/>
    <w:lvl w:ilvl="0" w:tentative="0">
      <w:start w:val="1"/>
      <w:numFmt w:val="chineseCounting"/>
      <w:suff w:val="nothing"/>
      <w:lvlText w:val="（%1）"/>
      <w:lvlJc w:val="left"/>
      <w:pPr>
        <w:ind w:left="0" w:firstLine="420"/>
      </w:pPr>
      <w:rPr>
        <w:rFonts w:hint="eastAsia"/>
      </w:rPr>
    </w:lvl>
  </w:abstractNum>
  <w:abstractNum w:abstractNumId="141">
    <w:nsid w:val="E6C8E24C"/>
    <w:multiLevelType w:val="singleLevel"/>
    <w:tmpl w:val="E6C8E24C"/>
    <w:lvl w:ilvl="0" w:tentative="0">
      <w:start w:val="1"/>
      <w:numFmt w:val="chineseCounting"/>
      <w:suff w:val="nothing"/>
      <w:lvlText w:val="（%1）"/>
      <w:lvlJc w:val="left"/>
      <w:pPr>
        <w:ind w:left="0" w:firstLine="420"/>
      </w:pPr>
      <w:rPr>
        <w:rFonts w:hint="eastAsia"/>
      </w:rPr>
    </w:lvl>
  </w:abstractNum>
  <w:abstractNum w:abstractNumId="142">
    <w:nsid w:val="E848F068"/>
    <w:multiLevelType w:val="singleLevel"/>
    <w:tmpl w:val="E848F068"/>
    <w:lvl w:ilvl="0" w:tentative="0">
      <w:start w:val="1"/>
      <w:numFmt w:val="chineseCounting"/>
      <w:suff w:val="nothing"/>
      <w:lvlText w:val="（%1）"/>
      <w:lvlJc w:val="left"/>
      <w:pPr>
        <w:ind w:left="0" w:firstLine="420"/>
      </w:pPr>
      <w:rPr>
        <w:rFonts w:hint="eastAsia"/>
      </w:rPr>
    </w:lvl>
  </w:abstractNum>
  <w:abstractNum w:abstractNumId="143">
    <w:nsid w:val="E87F27EA"/>
    <w:multiLevelType w:val="singleLevel"/>
    <w:tmpl w:val="E87F27EA"/>
    <w:lvl w:ilvl="0" w:tentative="0">
      <w:start w:val="1"/>
      <w:numFmt w:val="chineseCounting"/>
      <w:suff w:val="nothing"/>
      <w:lvlText w:val="（%1）"/>
      <w:lvlJc w:val="left"/>
      <w:pPr>
        <w:ind w:left="0" w:firstLine="420"/>
      </w:pPr>
      <w:rPr>
        <w:rFonts w:hint="eastAsia"/>
      </w:rPr>
    </w:lvl>
  </w:abstractNum>
  <w:abstractNum w:abstractNumId="144">
    <w:nsid w:val="E9B2D713"/>
    <w:multiLevelType w:val="singleLevel"/>
    <w:tmpl w:val="E9B2D713"/>
    <w:lvl w:ilvl="0" w:tentative="0">
      <w:start w:val="1"/>
      <w:numFmt w:val="chineseCounting"/>
      <w:suff w:val="nothing"/>
      <w:lvlText w:val="（%1）"/>
      <w:lvlJc w:val="left"/>
      <w:rPr>
        <w:rFonts w:hint="eastAsia"/>
      </w:rPr>
    </w:lvl>
  </w:abstractNum>
  <w:abstractNum w:abstractNumId="145">
    <w:nsid w:val="E9E4DEDF"/>
    <w:multiLevelType w:val="singleLevel"/>
    <w:tmpl w:val="E9E4DEDF"/>
    <w:lvl w:ilvl="0" w:tentative="0">
      <w:start w:val="1"/>
      <w:numFmt w:val="decimal"/>
      <w:suff w:val="nothing"/>
      <w:lvlText w:val="%1."/>
      <w:lvlJc w:val="left"/>
      <w:pPr>
        <w:ind w:left="0" w:firstLine="0"/>
      </w:pPr>
      <w:rPr>
        <w:rFonts w:hint="default"/>
      </w:rPr>
    </w:lvl>
  </w:abstractNum>
  <w:abstractNum w:abstractNumId="146">
    <w:nsid w:val="EA949F99"/>
    <w:multiLevelType w:val="singleLevel"/>
    <w:tmpl w:val="EA949F99"/>
    <w:lvl w:ilvl="0" w:tentative="0">
      <w:start w:val="1"/>
      <w:numFmt w:val="chineseCounting"/>
      <w:suff w:val="nothing"/>
      <w:lvlText w:val="（%1）"/>
      <w:lvlJc w:val="left"/>
      <w:pPr>
        <w:ind w:left="0" w:firstLine="420"/>
      </w:pPr>
      <w:rPr>
        <w:rFonts w:hint="eastAsia"/>
      </w:rPr>
    </w:lvl>
  </w:abstractNum>
  <w:abstractNum w:abstractNumId="147">
    <w:nsid w:val="EB6DF4F3"/>
    <w:multiLevelType w:val="singleLevel"/>
    <w:tmpl w:val="EB6DF4F3"/>
    <w:lvl w:ilvl="0" w:tentative="0">
      <w:start w:val="1"/>
      <w:numFmt w:val="decimal"/>
      <w:suff w:val="nothing"/>
      <w:lvlText w:val="(%1)"/>
      <w:lvlJc w:val="left"/>
      <w:pPr>
        <w:ind w:left="0" w:firstLine="0"/>
      </w:pPr>
      <w:rPr>
        <w:rFonts w:hint="default"/>
      </w:rPr>
    </w:lvl>
  </w:abstractNum>
  <w:abstractNum w:abstractNumId="148">
    <w:nsid w:val="ECC56502"/>
    <w:multiLevelType w:val="singleLevel"/>
    <w:tmpl w:val="ECC56502"/>
    <w:lvl w:ilvl="0" w:tentative="0">
      <w:start w:val="1"/>
      <w:numFmt w:val="decimal"/>
      <w:suff w:val="nothing"/>
      <w:lvlText w:val="%1．"/>
      <w:lvlJc w:val="left"/>
      <w:pPr>
        <w:ind w:left="0" w:firstLine="400"/>
      </w:pPr>
      <w:rPr>
        <w:rFonts w:hint="default"/>
      </w:rPr>
    </w:lvl>
  </w:abstractNum>
  <w:abstractNum w:abstractNumId="149">
    <w:nsid w:val="ED7CBE50"/>
    <w:multiLevelType w:val="singleLevel"/>
    <w:tmpl w:val="ED7CBE50"/>
    <w:lvl w:ilvl="0" w:tentative="0">
      <w:start w:val="1"/>
      <w:numFmt w:val="chineseCounting"/>
      <w:suff w:val="nothing"/>
      <w:lvlText w:val="（%1）"/>
      <w:lvlJc w:val="left"/>
      <w:pPr>
        <w:ind w:left="0" w:firstLine="420"/>
      </w:pPr>
      <w:rPr>
        <w:rFonts w:hint="eastAsia"/>
      </w:rPr>
    </w:lvl>
  </w:abstractNum>
  <w:abstractNum w:abstractNumId="150">
    <w:nsid w:val="EEB30F73"/>
    <w:multiLevelType w:val="singleLevel"/>
    <w:tmpl w:val="EEB30F73"/>
    <w:lvl w:ilvl="0" w:tentative="0">
      <w:start w:val="1"/>
      <w:numFmt w:val="chineseCounting"/>
      <w:suff w:val="nothing"/>
      <w:lvlText w:val="（%1）"/>
      <w:lvlJc w:val="left"/>
      <w:pPr>
        <w:ind w:left="0" w:firstLine="420"/>
      </w:pPr>
      <w:rPr>
        <w:rFonts w:hint="eastAsia"/>
      </w:rPr>
    </w:lvl>
  </w:abstractNum>
  <w:abstractNum w:abstractNumId="151">
    <w:nsid w:val="EF0DA29B"/>
    <w:multiLevelType w:val="singleLevel"/>
    <w:tmpl w:val="EF0DA29B"/>
    <w:lvl w:ilvl="0" w:tentative="0">
      <w:start w:val="1"/>
      <w:numFmt w:val="chineseCounting"/>
      <w:suff w:val="nothing"/>
      <w:lvlText w:val="（%1）"/>
      <w:lvlJc w:val="left"/>
      <w:pPr>
        <w:ind w:left="0" w:firstLine="420"/>
      </w:pPr>
      <w:rPr>
        <w:rFonts w:hint="eastAsia"/>
      </w:rPr>
    </w:lvl>
  </w:abstractNum>
  <w:abstractNum w:abstractNumId="152">
    <w:nsid w:val="EF758B25"/>
    <w:multiLevelType w:val="singleLevel"/>
    <w:tmpl w:val="EF758B25"/>
    <w:lvl w:ilvl="0" w:tentative="0">
      <w:start w:val="1"/>
      <w:numFmt w:val="chineseCounting"/>
      <w:suff w:val="nothing"/>
      <w:lvlText w:val="（%1）"/>
      <w:lvlJc w:val="left"/>
      <w:pPr>
        <w:ind w:left="0" w:firstLine="420"/>
      </w:pPr>
      <w:rPr>
        <w:rFonts w:hint="eastAsia"/>
      </w:rPr>
    </w:lvl>
  </w:abstractNum>
  <w:abstractNum w:abstractNumId="153">
    <w:nsid w:val="EFE1E07B"/>
    <w:multiLevelType w:val="singleLevel"/>
    <w:tmpl w:val="EFE1E07B"/>
    <w:lvl w:ilvl="0" w:tentative="0">
      <w:start w:val="1"/>
      <w:numFmt w:val="chineseCounting"/>
      <w:suff w:val="nothing"/>
      <w:lvlText w:val="（%1）"/>
      <w:lvlJc w:val="left"/>
      <w:pPr>
        <w:ind w:left="0" w:firstLine="420"/>
      </w:pPr>
      <w:rPr>
        <w:rFonts w:hint="eastAsia"/>
      </w:rPr>
    </w:lvl>
  </w:abstractNum>
  <w:abstractNum w:abstractNumId="154">
    <w:nsid w:val="EFF3A09F"/>
    <w:multiLevelType w:val="singleLevel"/>
    <w:tmpl w:val="EFF3A09F"/>
    <w:lvl w:ilvl="0" w:tentative="0">
      <w:start w:val="1"/>
      <w:numFmt w:val="decimal"/>
      <w:suff w:val="nothing"/>
      <w:lvlText w:val="%1."/>
      <w:lvlJc w:val="left"/>
      <w:pPr>
        <w:ind w:left="0" w:firstLine="0"/>
      </w:pPr>
      <w:rPr>
        <w:rFonts w:hint="default"/>
      </w:rPr>
    </w:lvl>
  </w:abstractNum>
  <w:abstractNum w:abstractNumId="155">
    <w:nsid w:val="F1A2F47E"/>
    <w:multiLevelType w:val="singleLevel"/>
    <w:tmpl w:val="F1A2F47E"/>
    <w:lvl w:ilvl="0" w:tentative="0">
      <w:start w:val="1"/>
      <w:numFmt w:val="chineseCounting"/>
      <w:suff w:val="nothing"/>
      <w:lvlText w:val="（%1）"/>
      <w:lvlJc w:val="left"/>
      <w:pPr>
        <w:ind w:left="0" w:firstLine="420"/>
      </w:pPr>
      <w:rPr>
        <w:rFonts w:hint="eastAsia"/>
      </w:rPr>
    </w:lvl>
  </w:abstractNum>
  <w:abstractNum w:abstractNumId="156">
    <w:nsid w:val="F1D9A2BD"/>
    <w:multiLevelType w:val="singleLevel"/>
    <w:tmpl w:val="F1D9A2BD"/>
    <w:lvl w:ilvl="0" w:tentative="0">
      <w:start w:val="1"/>
      <w:numFmt w:val="chineseCounting"/>
      <w:suff w:val="nothing"/>
      <w:lvlText w:val="（%1）"/>
      <w:lvlJc w:val="left"/>
      <w:pPr>
        <w:ind w:left="0" w:firstLine="420"/>
      </w:pPr>
      <w:rPr>
        <w:rFonts w:hint="eastAsia"/>
      </w:rPr>
    </w:lvl>
  </w:abstractNum>
  <w:abstractNum w:abstractNumId="157">
    <w:nsid w:val="F20E43CB"/>
    <w:multiLevelType w:val="singleLevel"/>
    <w:tmpl w:val="F20E43CB"/>
    <w:lvl w:ilvl="0" w:tentative="0">
      <w:start w:val="1"/>
      <w:numFmt w:val="decimal"/>
      <w:suff w:val="nothing"/>
      <w:lvlText w:val="%1."/>
      <w:lvlJc w:val="left"/>
      <w:pPr>
        <w:ind w:left="0" w:firstLine="0"/>
      </w:pPr>
      <w:rPr>
        <w:rFonts w:hint="default"/>
      </w:rPr>
    </w:lvl>
  </w:abstractNum>
  <w:abstractNum w:abstractNumId="158">
    <w:nsid w:val="F2EC691A"/>
    <w:multiLevelType w:val="singleLevel"/>
    <w:tmpl w:val="F2EC691A"/>
    <w:lvl w:ilvl="0" w:tentative="0">
      <w:start w:val="1"/>
      <w:numFmt w:val="chineseCounting"/>
      <w:suff w:val="nothing"/>
      <w:lvlText w:val="（%1）"/>
      <w:lvlJc w:val="left"/>
      <w:pPr>
        <w:ind w:left="0" w:firstLine="420"/>
      </w:pPr>
      <w:rPr>
        <w:rFonts w:hint="eastAsia"/>
      </w:rPr>
    </w:lvl>
  </w:abstractNum>
  <w:abstractNum w:abstractNumId="159">
    <w:nsid w:val="F383F20A"/>
    <w:multiLevelType w:val="singleLevel"/>
    <w:tmpl w:val="F383F20A"/>
    <w:lvl w:ilvl="0" w:tentative="0">
      <w:start w:val="1"/>
      <w:numFmt w:val="decimalEnclosedCircleChinese"/>
      <w:suff w:val="nothing"/>
      <w:lvlText w:val="%1　"/>
      <w:lvlJc w:val="left"/>
      <w:pPr>
        <w:ind w:left="0" w:firstLine="0"/>
      </w:pPr>
      <w:rPr>
        <w:rFonts w:hint="eastAsia"/>
      </w:rPr>
    </w:lvl>
  </w:abstractNum>
  <w:abstractNum w:abstractNumId="160">
    <w:nsid w:val="F42570EA"/>
    <w:multiLevelType w:val="singleLevel"/>
    <w:tmpl w:val="F42570EA"/>
    <w:lvl w:ilvl="0" w:tentative="0">
      <w:start w:val="1"/>
      <w:numFmt w:val="chineseCounting"/>
      <w:suff w:val="nothing"/>
      <w:lvlText w:val="（%1）"/>
      <w:lvlJc w:val="left"/>
      <w:pPr>
        <w:ind w:left="0" w:firstLine="420"/>
      </w:pPr>
      <w:rPr>
        <w:rFonts w:hint="eastAsia"/>
      </w:rPr>
    </w:lvl>
  </w:abstractNum>
  <w:abstractNum w:abstractNumId="161">
    <w:nsid w:val="F5C7A0F0"/>
    <w:multiLevelType w:val="singleLevel"/>
    <w:tmpl w:val="F5C7A0F0"/>
    <w:lvl w:ilvl="0" w:tentative="0">
      <w:start w:val="1"/>
      <w:numFmt w:val="chineseCounting"/>
      <w:suff w:val="nothing"/>
      <w:lvlText w:val="（%1）"/>
      <w:lvlJc w:val="left"/>
      <w:pPr>
        <w:ind w:left="0" w:firstLine="420"/>
      </w:pPr>
      <w:rPr>
        <w:rFonts w:hint="eastAsia"/>
      </w:rPr>
    </w:lvl>
  </w:abstractNum>
  <w:abstractNum w:abstractNumId="162">
    <w:nsid w:val="F73C5B4B"/>
    <w:multiLevelType w:val="singleLevel"/>
    <w:tmpl w:val="F73C5B4B"/>
    <w:lvl w:ilvl="0" w:tentative="0">
      <w:start w:val="1"/>
      <w:numFmt w:val="chineseCounting"/>
      <w:suff w:val="nothing"/>
      <w:lvlText w:val="（%1）"/>
      <w:lvlJc w:val="left"/>
      <w:pPr>
        <w:ind w:left="0" w:firstLine="420"/>
      </w:pPr>
      <w:rPr>
        <w:rFonts w:hint="eastAsia"/>
      </w:rPr>
    </w:lvl>
  </w:abstractNum>
  <w:abstractNum w:abstractNumId="163">
    <w:nsid w:val="F75F66EF"/>
    <w:multiLevelType w:val="singleLevel"/>
    <w:tmpl w:val="F75F66EF"/>
    <w:lvl w:ilvl="0" w:tentative="0">
      <w:start w:val="1"/>
      <w:numFmt w:val="decimal"/>
      <w:suff w:val="nothing"/>
      <w:lvlText w:val="%1."/>
      <w:lvlJc w:val="left"/>
      <w:pPr>
        <w:ind w:left="0" w:firstLine="0"/>
      </w:pPr>
      <w:rPr>
        <w:rFonts w:hint="default"/>
      </w:rPr>
    </w:lvl>
  </w:abstractNum>
  <w:abstractNum w:abstractNumId="164">
    <w:nsid w:val="F8F4E718"/>
    <w:multiLevelType w:val="singleLevel"/>
    <w:tmpl w:val="F8F4E718"/>
    <w:lvl w:ilvl="0" w:tentative="0">
      <w:start w:val="1"/>
      <w:numFmt w:val="chineseCounting"/>
      <w:suff w:val="nothing"/>
      <w:lvlText w:val="（%1）"/>
      <w:lvlJc w:val="left"/>
      <w:pPr>
        <w:ind w:left="0" w:firstLine="420"/>
      </w:pPr>
      <w:rPr>
        <w:rFonts w:hint="eastAsia"/>
      </w:rPr>
    </w:lvl>
  </w:abstractNum>
  <w:abstractNum w:abstractNumId="165">
    <w:nsid w:val="F96998FD"/>
    <w:multiLevelType w:val="singleLevel"/>
    <w:tmpl w:val="F96998FD"/>
    <w:lvl w:ilvl="0" w:tentative="0">
      <w:start w:val="1"/>
      <w:numFmt w:val="chineseCounting"/>
      <w:suff w:val="nothing"/>
      <w:lvlText w:val="（%1）"/>
      <w:lvlJc w:val="left"/>
      <w:pPr>
        <w:ind w:left="0" w:firstLine="420"/>
      </w:pPr>
      <w:rPr>
        <w:rFonts w:hint="eastAsia"/>
      </w:rPr>
    </w:lvl>
  </w:abstractNum>
  <w:abstractNum w:abstractNumId="166">
    <w:nsid w:val="F96C0FB9"/>
    <w:multiLevelType w:val="singleLevel"/>
    <w:tmpl w:val="F96C0FB9"/>
    <w:lvl w:ilvl="0" w:tentative="0">
      <w:start w:val="1"/>
      <w:numFmt w:val="decimal"/>
      <w:suff w:val="nothing"/>
      <w:lvlText w:val="%1."/>
      <w:lvlJc w:val="left"/>
      <w:pPr>
        <w:ind w:left="0" w:firstLine="0"/>
      </w:pPr>
      <w:rPr>
        <w:rFonts w:hint="default"/>
      </w:rPr>
    </w:lvl>
  </w:abstractNum>
  <w:abstractNum w:abstractNumId="167">
    <w:nsid w:val="F9A17FF1"/>
    <w:multiLevelType w:val="singleLevel"/>
    <w:tmpl w:val="F9A17FF1"/>
    <w:lvl w:ilvl="0" w:tentative="0">
      <w:start w:val="1"/>
      <w:numFmt w:val="decimalEnclosedCircleChinese"/>
      <w:suff w:val="nothing"/>
      <w:lvlText w:val="%1　"/>
      <w:lvlJc w:val="left"/>
      <w:pPr>
        <w:ind w:left="0" w:firstLine="0"/>
      </w:pPr>
      <w:rPr>
        <w:rFonts w:hint="eastAsia"/>
      </w:rPr>
    </w:lvl>
  </w:abstractNum>
  <w:abstractNum w:abstractNumId="168">
    <w:nsid w:val="F9F6D597"/>
    <w:multiLevelType w:val="singleLevel"/>
    <w:tmpl w:val="F9F6D597"/>
    <w:lvl w:ilvl="0" w:tentative="0">
      <w:start w:val="1"/>
      <w:numFmt w:val="chineseCounting"/>
      <w:suff w:val="nothing"/>
      <w:lvlText w:val="（%1）"/>
      <w:lvlJc w:val="left"/>
      <w:pPr>
        <w:ind w:left="0" w:firstLine="420"/>
      </w:pPr>
      <w:rPr>
        <w:rFonts w:hint="eastAsia"/>
      </w:rPr>
    </w:lvl>
  </w:abstractNum>
  <w:abstractNum w:abstractNumId="169">
    <w:nsid w:val="FC26EA91"/>
    <w:multiLevelType w:val="singleLevel"/>
    <w:tmpl w:val="FC26EA91"/>
    <w:lvl w:ilvl="0" w:tentative="0">
      <w:start w:val="1"/>
      <w:numFmt w:val="chineseCounting"/>
      <w:suff w:val="nothing"/>
      <w:lvlText w:val="（%1）"/>
      <w:lvlJc w:val="left"/>
      <w:pPr>
        <w:ind w:left="0" w:firstLine="420"/>
      </w:pPr>
      <w:rPr>
        <w:rFonts w:hint="eastAsia"/>
      </w:rPr>
    </w:lvl>
  </w:abstractNum>
  <w:abstractNum w:abstractNumId="170">
    <w:nsid w:val="FD1CCBED"/>
    <w:multiLevelType w:val="singleLevel"/>
    <w:tmpl w:val="FD1CCBED"/>
    <w:lvl w:ilvl="0" w:tentative="0">
      <w:start w:val="1"/>
      <w:numFmt w:val="chineseCounting"/>
      <w:suff w:val="nothing"/>
      <w:lvlText w:val="（%1）"/>
      <w:lvlJc w:val="left"/>
      <w:pPr>
        <w:ind w:left="0" w:firstLine="420"/>
      </w:pPr>
      <w:rPr>
        <w:rFonts w:hint="eastAsia"/>
      </w:rPr>
    </w:lvl>
  </w:abstractNum>
  <w:abstractNum w:abstractNumId="171">
    <w:nsid w:val="FD834293"/>
    <w:multiLevelType w:val="singleLevel"/>
    <w:tmpl w:val="FD834293"/>
    <w:lvl w:ilvl="0" w:tentative="0">
      <w:start w:val="1"/>
      <w:numFmt w:val="chineseCounting"/>
      <w:suff w:val="nothing"/>
      <w:lvlText w:val="（%1）"/>
      <w:lvlJc w:val="left"/>
      <w:pPr>
        <w:ind w:left="0" w:firstLine="420"/>
      </w:pPr>
      <w:rPr>
        <w:rFonts w:hint="eastAsia"/>
      </w:rPr>
    </w:lvl>
  </w:abstractNum>
  <w:abstractNum w:abstractNumId="172">
    <w:nsid w:val="FECF9591"/>
    <w:multiLevelType w:val="singleLevel"/>
    <w:tmpl w:val="FECF9591"/>
    <w:lvl w:ilvl="0" w:tentative="0">
      <w:start w:val="1"/>
      <w:numFmt w:val="decimalEnclosedCircleChinese"/>
      <w:suff w:val="nothing"/>
      <w:lvlText w:val="%1　"/>
      <w:lvlJc w:val="left"/>
      <w:pPr>
        <w:ind w:left="0" w:firstLine="0"/>
      </w:pPr>
      <w:rPr>
        <w:rFonts w:hint="eastAsia"/>
      </w:rPr>
    </w:lvl>
  </w:abstractNum>
  <w:abstractNum w:abstractNumId="173">
    <w:nsid w:val="FF0E8A6B"/>
    <w:multiLevelType w:val="singleLevel"/>
    <w:tmpl w:val="FF0E8A6B"/>
    <w:lvl w:ilvl="0" w:tentative="0">
      <w:start w:val="1"/>
      <w:numFmt w:val="chineseCounting"/>
      <w:suff w:val="nothing"/>
      <w:lvlText w:val="（%1）"/>
      <w:lvlJc w:val="left"/>
      <w:pPr>
        <w:ind w:left="0" w:firstLine="420"/>
      </w:pPr>
      <w:rPr>
        <w:rFonts w:hint="eastAsia"/>
      </w:rPr>
    </w:lvl>
  </w:abstractNum>
  <w:abstractNum w:abstractNumId="174">
    <w:nsid w:val="FF66B184"/>
    <w:multiLevelType w:val="singleLevel"/>
    <w:tmpl w:val="FF66B184"/>
    <w:lvl w:ilvl="0" w:tentative="0">
      <w:start w:val="1"/>
      <w:numFmt w:val="decimal"/>
      <w:suff w:val="nothing"/>
      <w:lvlText w:val="%1."/>
      <w:lvlJc w:val="left"/>
      <w:pPr>
        <w:ind w:left="0" w:firstLine="0"/>
      </w:pPr>
      <w:rPr>
        <w:rFonts w:hint="default"/>
      </w:rPr>
    </w:lvl>
  </w:abstractNum>
  <w:abstractNum w:abstractNumId="175">
    <w:nsid w:val="FF9C4847"/>
    <w:multiLevelType w:val="singleLevel"/>
    <w:tmpl w:val="FF9C4847"/>
    <w:lvl w:ilvl="0" w:tentative="0">
      <w:start w:val="1"/>
      <w:numFmt w:val="decimalEnclosedCircleChinese"/>
      <w:suff w:val="nothing"/>
      <w:lvlText w:val="%1　"/>
      <w:lvlJc w:val="left"/>
      <w:pPr>
        <w:ind w:left="0" w:firstLine="0"/>
      </w:pPr>
      <w:rPr>
        <w:rFonts w:hint="eastAsia"/>
        <w:sz w:val="32"/>
        <w:szCs w:val="32"/>
      </w:rPr>
    </w:lvl>
  </w:abstractNum>
  <w:abstractNum w:abstractNumId="176">
    <w:nsid w:val="FFDD5D8B"/>
    <w:multiLevelType w:val="singleLevel"/>
    <w:tmpl w:val="FFDD5D8B"/>
    <w:lvl w:ilvl="0" w:tentative="0">
      <w:start w:val="1"/>
      <w:numFmt w:val="decimal"/>
      <w:suff w:val="nothing"/>
      <w:lvlText w:val="%1."/>
      <w:lvlJc w:val="left"/>
      <w:pPr>
        <w:ind w:left="0" w:firstLine="0"/>
      </w:pPr>
      <w:rPr>
        <w:rFonts w:hint="default"/>
      </w:rPr>
    </w:lvl>
  </w:abstractNum>
  <w:abstractNum w:abstractNumId="177">
    <w:nsid w:val="FFE84D56"/>
    <w:multiLevelType w:val="singleLevel"/>
    <w:tmpl w:val="FFE84D56"/>
    <w:lvl w:ilvl="0" w:tentative="0">
      <w:start w:val="1"/>
      <w:numFmt w:val="chineseCounting"/>
      <w:suff w:val="nothing"/>
      <w:lvlText w:val="（%1）"/>
      <w:lvlJc w:val="left"/>
      <w:pPr>
        <w:ind w:left="0" w:firstLine="420"/>
      </w:pPr>
      <w:rPr>
        <w:rFonts w:hint="eastAsia"/>
      </w:rPr>
    </w:lvl>
  </w:abstractNum>
  <w:abstractNum w:abstractNumId="178">
    <w:nsid w:val="00000000"/>
    <w:multiLevelType w:val="singleLevel"/>
    <w:tmpl w:val="00000000"/>
    <w:lvl w:ilvl="0" w:tentative="0">
      <w:start w:val="1"/>
      <w:numFmt w:val="chineseCounting"/>
      <w:suff w:val="nothing"/>
      <w:lvlText w:val="（%1）"/>
      <w:lvlJc w:val="left"/>
      <w:pPr>
        <w:ind w:left="0" w:firstLine="420"/>
      </w:pPr>
      <w:rPr>
        <w:rFonts w:hint="eastAsia"/>
      </w:rPr>
    </w:lvl>
  </w:abstractNum>
  <w:abstractNum w:abstractNumId="179">
    <w:nsid w:val="00000002"/>
    <w:multiLevelType w:val="singleLevel"/>
    <w:tmpl w:val="00000002"/>
    <w:lvl w:ilvl="0" w:tentative="0">
      <w:start w:val="1"/>
      <w:numFmt w:val="chineseCounting"/>
      <w:suff w:val="nothing"/>
      <w:lvlText w:val="（%1）"/>
      <w:lvlJc w:val="left"/>
      <w:pPr>
        <w:ind w:left="0" w:firstLine="420"/>
      </w:pPr>
      <w:rPr>
        <w:rFonts w:hint="eastAsia"/>
      </w:rPr>
    </w:lvl>
  </w:abstractNum>
  <w:abstractNum w:abstractNumId="180">
    <w:nsid w:val="00000005"/>
    <w:multiLevelType w:val="singleLevel"/>
    <w:tmpl w:val="00000005"/>
    <w:lvl w:ilvl="0" w:tentative="0">
      <w:start w:val="1"/>
      <w:numFmt w:val="chineseCounting"/>
      <w:suff w:val="nothing"/>
      <w:lvlText w:val="（%1）"/>
      <w:lvlJc w:val="left"/>
      <w:pPr>
        <w:ind w:left="0" w:firstLine="420"/>
      </w:pPr>
      <w:rPr>
        <w:rFonts w:hint="eastAsia"/>
      </w:rPr>
    </w:lvl>
  </w:abstractNum>
  <w:abstractNum w:abstractNumId="181">
    <w:nsid w:val="00000008"/>
    <w:multiLevelType w:val="singleLevel"/>
    <w:tmpl w:val="00000008"/>
    <w:lvl w:ilvl="0" w:tentative="0">
      <w:start w:val="1"/>
      <w:numFmt w:val="chineseCounting"/>
      <w:suff w:val="nothing"/>
      <w:lvlText w:val="%1、"/>
      <w:lvlJc w:val="left"/>
      <w:pPr>
        <w:ind w:left="0" w:firstLine="420"/>
      </w:pPr>
      <w:rPr>
        <w:rFonts w:hint="eastAsia"/>
      </w:rPr>
    </w:lvl>
  </w:abstractNum>
  <w:abstractNum w:abstractNumId="182">
    <w:nsid w:val="00000009"/>
    <w:multiLevelType w:val="singleLevel"/>
    <w:tmpl w:val="00000009"/>
    <w:lvl w:ilvl="0" w:tentative="0">
      <w:start w:val="1"/>
      <w:numFmt w:val="chineseCounting"/>
      <w:suff w:val="nothing"/>
      <w:lvlText w:val="（%1）"/>
      <w:lvlJc w:val="left"/>
      <w:pPr>
        <w:ind w:left="0" w:firstLine="420"/>
      </w:pPr>
      <w:rPr>
        <w:rFonts w:hint="eastAsia"/>
      </w:rPr>
    </w:lvl>
  </w:abstractNum>
  <w:abstractNum w:abstractNumId="183">
    <w:nsid w:val="0000000A"/>
    <w:multiLevelType w:val="multilevel"/>
    <w:tmpl w:val="0000000A"/>
    <w:lvl w:ilvl="0" w:tentative="0">
      <w:start w:val="0"/>
      <w:numFmt w:val="bullet"/>
      <w:lvlText w:val="□"/>
      <w:lvlJc w:val="left"/>
      <w:pPr>
        <w:tabs>
          <w:tab w:val="left" w:pos="360"/>
        </w:tabs>
        <w:ind w:left="360" w:hanging="360"/>
      </w:pPr>
      <w:rPr>
        <w:rFonts w:hint="eastAsia" w:ascii="宋体" w:hAnsi="宋体" w:eastAsia="宋体" w:cs="宋体"/>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84">
    <w:nsid w:val="0000000C"/>
    <w:multiLevelType w:val="singleLevel"/>
    <w:tmpl w:val="0000000C"/>
    <w:lvl w:ilvl="0" w:tentative="0">
      <w:start w:val="1"/>
      <w:numFmt w:val="decimal"/>
      <w:suff w:val="nothing"/>
      <w:lvlText w:val="%1."/>
      <w:lvlJc w:val="left"/>
      <w:pPr>
        <w:ind w:left="0" w:firstLine="0"/>
      </w:pPr>
      <w:rPr>
        <w:rFonts w:hint="default"/>
      </w:rPr>
    </w:lvl>
  </w:abstractNum>
  <w:abstractNum w:abstractNumId="185">
    <w:nsid w:val="0000000E"/>
    <w:multiLevelType w:val="singleLevel"/>
    <w:tmpl w:val="0000000E"/>
    <w:lvl w:ilvl="0" w:tentative="0">
      <w:start w:val="1"/>
      <w:numFmt w:val="chineseCounting"/>
      <w:suff w:val="nothing"/>
      <w:lvlText w:val="（%1）"/>
      <w:lvlJc w:val="left"/>
      <w:pPr>
        <w:ind w:left="0" w:firstLine="420"/>
      </w:pPr>
      <w:rPr>
        <w:rFonts w:hint="eastAsia"/>
      </w:rPr>
    </w:lvl>
  </w:abstractNum>
  <w:abstractNum w:abstractNumId="186">
    <w:nsid w:val="00000010"/>
    <w:multiLevelType w:val="singleLevel"/>
    <w:tmpl w:val="00000010"/>
    <w:lvl w:ilvl="0" w:tentative="0">
      <w:start w:val="1"/>
      <w:numFmt w:val="decimal"/>
      <w:suff w:val="nothing"/>
      <w:lvlText w:val="%1."/>
      <w:lvlJc w:val="left"/>
      <w:pPr>
        <w:ind w:left="0" w:firstLine="0"/>
      </w:pPr>
      <w:rPr>
        <w:rFonts w:hint="default"/>
      </w:rPr>
    </w:lvl>
  </w:abstractNum>
  <w:abstractNum w:abstractNumId="187">
    <w:nsid w:val="00000011"/>
    <w:multiLevelType w:val="singleLevel"/>
    <w:tmpl w:val="00000011"/>
    <w:lvl w:ilvl="0" w:tentative="0">
      <w:start w:val="1"/>
      <w:numFmt w:val="decimal"/>
      <w:suff w:val="nothing"/>
      <w:lvlText w:val="%1."/>
      <w:lvlJc w:val="left"/>
      <w:pPr>
        <w:ind w:left="0" w:firstLine="0"/>
      </w:pPr>
      <w:rPr>
        <w:rFonts w:hint="default"/>
      </w:rPr>
    </w:lvl>
  </w:abstractNum>
  <w:abstractNum w:abstractNumId="188">
    <w:nsid w:val="00000012"/>
    <w:multiLevelType w:val="singleLevel"/>
    <w:tmpl w:val="00000012"/>
    <w:lvl w:ilvl="0" w:tentative="0">
      <w:start w:val="1"/>
      <w:numFmt w:val="decimal"/>
      <w:suff w:val="nothing"/>
      <w:lvlText w:val="%1."/>
      <w:lvlJc w:val="left"/>
      <w:pPr>
        <w:ind w:left="0" w:firstLine="0"/>
      </w:pPr>
      <w:rPr>
        <w:rFonts w:hint="default"/>
      </w:rPr>
    </w:lvl>
  </w:abstractNum>
  <w:abstractNum w:abstractNumId="189">
    <w:nsid w:val="00000015"/>
    <w:multiLevelType w:val="singleLevel"/>
    <w:tmpl w:val="00000015"/>
    <w:lvl w:ilvl="0" w:tentative="0">
      <w:start w:val="1"/>
      <w:numFmt w:val="chineseCounting"/>
      <w:suff w:val="nothing"/>
      <w:lvlText w:val="（%1）"/>
      <w:lvlJc w:val="left"/>
      <w:pPr>
        <w:ind w:left="0" w:firstLine="420"/>
      </w:pPr>
      <w:rPr>
        <w:rFonts w:hint="eastAsia"/>
      </w:rPr>
    </w:lvl>
  </w:abstractNum>
  <w:abstractNum w:abstractNumId="190">
    <w:nsid w:val="00000019"/>
    <w:multiLevelType w:val="singleLevel"/>
    <w:tmpl w:val="00000019"/>
    <w:lvl w:ilvl="0" w:tentative="0">
      <w:start w:val="1"/>
      <w:numFmt w:val="decimal"/>
      <w:suff w:val="nothing"/>
      <w:lvlText w:val="%1."/>
      <w:lvlJc w:val="left"/>
      <w:pPr>
        <w:ind w:left="0" w:firstLine="0"/>
      </w:pPr>
      <w:rPr>
        <w:rFonts w:hint="default"/>
      </w:rPr>
    </w:lvl>
  </w:abstractNum>
  <w:abstractNum w:abstractNumId="191">
    <w:nsid w:val="0000001A"/>
    <w:multiLevelType w:val="singleLevel"/>
    <w:tmpl w:val="0000001A"/>
    <w:lvl w:ilvl="0" w:tentative="0">
      <w:start w:val="1"/>
      <w:numFmt w:val="chineseCounting"/>
      <w:suff w:val="nothing"/>
      <w:lvlText w:val="（%1）"/>
      <w:lvlJc w:val="left"/>
      <w:pPr>
        <w:ind w:left="0" w:firstLine="420"/>
      </w:pPr>
      <w:rPr>
        <w:rFonts w:hint="eastAsia"/>
      </w:rPr>
    </w:lvl>
  </w:abstractNum>
  <w:abstractNum w:abstractNumId="192">
    <w:nsid w:val="00344BA5"/>
    <w:multiLevelType w:val="singleLevel"/>
    <w:tmpl w:val="00344BA5"/>
    <w:lvl w:ilvl="0" w:tentative="0">
      <w:start w:val="1"/>
      <w:numFmt w:val="decimal"/>
      <w:suff w:val="nothing"/>
      <w:lvlText w:val="%1."/>
      <w:lvlJc w:val="left"/>
      <w:pPr>
        <w:ind w:left="0" w:firstLine="0"/>
      </w:pPr>
      <w:rPr>
        <w:rFonts w:hint="default"/>
      </w:rPr>
    </w:lvl>
  </w:abstractNum>
  <w:abstractNum w:abstractNumId="193">
    <w:nsid w:val="004D49EF"/>
    <w:multiLevelType w:val="multilevel"/>
    <w:tmpl w:val="004D49EF"/>
    <w:lvl w:ilvl="0" w:tentative="0">
      <w:start w:val="1"/>
      <w:numFmt w:val="chineseCountingThousand"/>
      <w:lvlText w:val="(%1)"/>
      <w:lvlJc w:val="left"/>
      <w:pPr>
        <w:ind w:left="980" w:hanging="420"/>
      </w:pPr>
    </w:lvl>
    <w:lvl w:ilvl="1" w:tentative="0">
      <w:start w:val="1"/>
      <w:numFmt w:val="japaneseCounting"/>
      <w:lvlText w:val="（%2）"/>
      <w:lvlJc w:val="left"/>
      <w:pPr>
        <w:ind w:left="1820" w:hanging="84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94">
    <w:nsid w:val="011DB704"/>
    <w:multiLevelType w:val="singleLevel"/>
    <w:tmpl w:val="011DB704"/>
    <w:lvl w:ilvl="0" w:tentative="0">
      <w:start w:val="1"/>
      <w:numFmt w:val="decimal"/>
      <w:suff w:val="nothing"/>
      <w:lvlText w:val="%1."/>
      <w:lvlJc w:val="left"/>
      <w:pPr>
        <w:ind w:left="0" w:firstLine="0"/>
      </w:pPr>
      <w:rPr>
        <w:rFonts w:hint="default"/>
      </w:rPr>
    </w:lvl>
  </w:abstractNum>
  <w:abstractNum w:abstractNumId="195">
    <w:nsid w:val="02321D4A"/>
    <w:multiLevelType w:val="singleLevel"/>
    <w:tmpl w:val="02321D4A"/>
    <w:lvl w:ilvl="0" w:tentative="0">
      <w:start w:val="1"/>
      <w:numFmt w:val="decimal"/>
      <w:suff w:val="nothing"/>
      <w:lvlText w:val="%1."/>
      <w:lvlJc w:val="left"/>
      <w:pPr>
        <w:ind w:left="0" w:firstLine="0"/>
      </w:pPr>
      <w:rPr>
        <w:rFonts w:hint="default"/>
      </w:rPr>
    </w:lvl>
  </w:abstractNum>
  <w:abstractNum w:abstractNumId="196">
    <w:nsid w:val="02593380"/>
    <w:multiLevelType w:val="singleLevel"/>
    <w:tmpl w:val="02593380"/>
    <w:lvl w:ilvl="0" w:tentative="0">
      <w:start w:val="1"/>
      <w:numFmt w:val="chineseCounting"/>
      <w:suff w:val="nothing"/>
      <w:lvlText w:val="（%1）"/>
      <w:lvlJc w:val="left"/>
      <w:pPr>
        <w:ind w:left="0" w:firstLine="420"/>
      </w:pPr>
      <w:rPr>
        <w:rFonts w:hint="eastAsia"/>
      </w:rPr>
    </w:lvl>
  </w:abstractNum>
  <w:abstractNum w:abstractNumId="197">
    <w:nsid w:val="02CD6795"/>
    <w:multiLevelType w:val="singleLevel"/>
    <w:tmpl w:val="02CD6795"/>
    <w:lvl w:ilvl="0" w:tentative="0">
      <w:start w:val="1"/>
      <w:numFmt w:val="chineseCounting"/>
      <w:suff w:val="nothing"/>
      <w:lvlText w:val="（%1）"/>
      <w:lvlJc w:val="left"/>
      <w:pPr>
        <w:ind w:left="0" w:firstLine="420"/>
      </w:pPr>
      <w:rPr>
        <w:rFonts w:hint="eastAsia"/>
      </w:rPr>
    </w:lvl>
  </w:abstractNum>
  <w:abstractNum w:abstractNumId="198">
    <w:nsid w:val="02D50DEF"/>
    <w:multiLevelType w:val="singleLevel"/>
    <w:tmpl w:val="02D50DEF"/>
    <w:lvl w:ilvl="0" w:tentative="0">
      <w:start w:val="1"/>
      <w:numFmt w:val="chineseCounting"/>
      <w:suff w:val="nothing"/>
      <w:lvlText w:val="（%1）"/>
      <w:lvlJc w:val="left"/>
      <w:pPr>
        <w:ind w:left="0" w:firstLine="420"/>
      </w:pPr>
      <w:rPr>
        <w:rFonts w:hint="eastAsia"/>
      </w:rPr>
    </w:lvl>
  </w:abstractNum>
  <w:abstractNum w:abstractNumId="199">
    <w:nsid w:val="02F8CCA1"/>
    <w:multiLevelType w:val="singleLevel"/>
    <w:tmpl w:val="02F8CCA1"/>
    <w:lvl w:ilvl="0" w:tentative="0">
      <w:start w:val="1"/>
      <w:numFmt w:val="chineseCounting"/>
      <w:suff w:val="nothing"/>
      <w:lvlText w:val="（%1）"/>
      <w:lvlJc w:val="left"/>
      <w:pPr>
        <w:ind w:left="0" w:firstLine="420"/>
      </w:pPr>
      <w:rPr>
        <w:rFonts w:hint="eastAsia"/>
      </w:rPr>
    </w:lvl>
  </w:abstractNum>
  <w:abstractNum w:abstractNumId="200">
    <w:nsid w:val="036EF550"/>
    <w:multiLevelType w:val="singleLevel"/>
    <w:tmpl w:val="036EF550"/>
    <w:lvl w:ilvl="0" w:tentative="0">
      <w:start w:val="1"/>
      <w:numFmt w:val="chineseCounting"/>
      <w:suff w:val="nothing"/>
      <w:lvlText w:val="（%1）"/>
      <w:lvlJc w:val="left"/>
      <w:pPr>
        <w:ind w:left="0" w:firstLine="420"/>
      </w:pPr>
      <w:rPr>
        <w:rFonts w:hint="eastAsia"/>
      </w:rPr>
    </w:lvl>
  </w:abstractNum>
  <w:abstractNum w:abstractNumId="201">
    <w:nsid w:val="046B1F2C"/>
    <w:multiLevelType w:val="multilevel"/>
    <w:tmpl w:val="046B1F2C"/>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02">
    <w:nsid w:val="04FC75D8"/>
    <w:multiLevelType w:val="singleLevel"/>
    <w:tmpl w:val="04FC75D8"/>
    <w:lvl w:ilvl="0" w:tentative="0">
      <w:start w:val="1"/>
      <w:numFmt w:val="decimal"/>
      <w:suff w:val="nothing"/>
      <w:lvlText w:val="%1."/>
      <w:lvlJc w:val="left"/>
      <w:pPr>
        <w:ind w:left="454" w:hanging="454"/>
      </w:pPr>
      <w:rPr>
        <w:rFonts w:hint="default"/>
      </w:rPr>
    </w:lvl>
  </w:abstractNum>
  <w:abstractNum w:abstractNumId="203">
    <w:nsid w:val="05C571F9"/>
    <w:multiLevelType w:val="singleLevel"/>
    <w:tmpl w:val="05C571F9"/>
    <w:lvl w:ilvl="0" w:tentative="0">
      <w:start w:val="1"/>
      <w:numFmt w:val="chineseCounting"/>
      <w:suff w:val="nothing"/>
      <w:lvlText w:val="（%1）"/>
      <w:lvlJc w:val="left"/>
      <w:pPr>
        <w:ind w:left="0" w:firstLine="420"/>
      </w:pPr>
      <w:rPr>
        <w:rFonts w:hint="eastAsia"/>
      </w:rPr>
    </w:lvl>
  </w:abstractNum>
  <w:abstractNum w:abstractNumId="204">
    <w:nsid w:val="05DD1FB1"/>
    <w:multiLevelType w:val="singleLevel"/>
    <w:tmpl w:val="05DD1FB1"/>
    <w:lvl w:ilvl="0" w:tentative="0">
      <w:start w:val="1"/>
      <w:numFmt w:val="chineseCounting"/>
      <w:suff w:val="nothing"/>
      <w:lvlText w:val="（%1）"/>
      <w:lvlJc w:val="left"/>
      <w:pPr>
        <w:ind w:left="0" w:firstLine="420"/>
      </w:pPr>
      <w:rPr>
        <w:rFonts w:hint="eastAsia"/>
      </w:rPr>
    </w:lvl>
  </w:abstractNum>
  <w:abstractNum w:abstractNumId="205">
    <w:nsid w:val="06102745"/>
    <w:multiLevelType w:val="singleLevel"/>
    <w:tmpl w:val="06102745"/>
    <w:lvl w:ilvl="0" w:tentative="0">
      <w:start w:val="1"/>
      <w:numFmt w:val="chineseCounting"/>
      <w:suff w:val="nothing"/>
      <w:lvlText w:val="（%1）"/>
      <w:lvlJc w:val="left"/>
      <w:pPr>
        <w:ind w:left="0" w:firstLine="420"/>
      </w:pPr>
      <w:rPr>
        <w:rFonts w:hint="eastAsia"/>
      </w:rPr>
    </w:lvl>
  </w:abstractNum>
  <w:abstractNum w:abstractNumId="206">
    <w:nsid w:val="079C1E65"/>
    <w:multiLevelType w:val="singleLevel"/>
    <w:tmpl w:val="079C1E65"/>
    <w:lvl w:ilvl="0" w:tentative="0">
      <w:start w:val="1"/>
      <w:numFmt w:val="decimalEnclosedCircleChinese"/>
      <w:suff w:val="nothing"/>
      <w:lvlText w:val="%1　"/>
      <w:lvlJc w:val="left"/>
      <w:pPr>
        <w:ind w:left="0" w:firstLine="0"/>
      </w:pPr>
      <w:rPr>
        <w:rFonts w:hint="eastAsia"/>
        <w:sz w:val="32"/>
        <w:szCs w:val="32"/>
      </w:rPr>
    </w:lvl>
  </w:abstractNum>
  <w:abstractNum w:abstractNumId="207">
    <w:nsid w:val="07C668F1"/>
    <w:multiLevelType w:val="singleLevel"/>
    <w:tmpl w:val="07C668F1"/>
    <w:lvl w:ilvl="0" w:tentative="0">
      <w:start w:val="1"/>
      <w:numFmt w:val="decimal"/>
      <w:suff w:val="nothing"/>
      <w:lvlText w:val="(%1)"/>
      <w:lvlJc w:val="left"/>
      <w:pPr>
        <w:ind w:left="0" w:firstLine="0"/>
      </w:pPr>
      <w:rPr>
        <w:rFonts w:hint="default"/>
      </w:rPr>
    </w:lvl>
  </w:abstractNum>
  <w:abstractNum w:abstractNumId="208">
    <w:nsid w:val="085DE563"/>
    <w:multiLevelType w:val="singleLevel"/>
    <w:tmpl w:val="085DE563"/>
    <w:lvl w:ilvl="0" w:tentative="0">
      <w:start w:val="1"/>
      <w:numFmt w:val="chineseCounting"/>
      <w:suff w:val="space"/>
      <w:lvlText w:val="第%1章"/>
      <w:lvlJc w:val="left"/>
      <w:rPr>
        <w:rFonts w:hint="eastAsia"/>
      </w:rPr>
    </w:lvl>
  </w:abstractNum>
  <w:abstractNum w:abstractNumId="209">
    <w:nsid w:val="08D2A1D6"/>
    <w:multiLevelType w:val="singleLevel"/>
    <w:tmpl w:val="08D2A1D6"/>
    <w:lvl w:ilvl="0" w:tentative="0">
      <w:start w:val="1"/>
      <w:numFmt w:val="chineseCounting"/>
      <w:suff w:val="nothing"/>
      <w:lvlText w:val="（%1）"/>
      <w:lvlJc w:val="left"/>
      <w:pPr>
        <w:ind w:left="0" w:firstLine="420"/>
      </w:pPr>
      <w:rPr>
        <w:rFonts w:hint="eastAsia"/>
      </w:rPr>
    </w:lvl>
  </w:abstractNum>
  <w:abstractNum w:abstractNumId="210">
    <w:nsid w:val="08F71C2F"/>
    <w:multiLevelType w:val="singleLevel"/>
    <w:tmpl w:val="08F71C2F"/>
    <w:lvl w:ilvl="0" w:tentative="0">
      <w:start w:val="1"/>
      <w:numFmt w:val="decimal"/>
      <w:lvlText w:val="%1."/>
      <w:lvlJc w:val="left"/>
      <w:pPr>
        <w:ind w:left="425" w:hanging="425"/>
      </w:pPr>
      <w:rPr>
        <w:rFonts w:hint="default"/>
      </w:rPr>
    </w:lvl>
  </w:abstractNum>
  <w:abstractNum w:abstractNumId="211">
    <w:nsid w:val="08FA0F2E"/>
    <w:multiLevelType w:val="singleLevel"/>
    <w:tmpl w:val="08FA0F2E"/>
    <w:lvl w:ilvl="0" w:tentative="0">
      <w:start w:val="1"/>
      <w:numFmt w:val="decimal"/>
      <w:suff w:val="nothing"/>
      <w:lvlText w:val="%1."/>
      <w:lvlJc w:val="left"/>
      <w:pPr>
        <w:ind w:left="0" w:firstLine="0"/>
      </w:pPr>
      <w:rPr>
        <w:rFonts w:hint="default"/>
      </w:rPr>
    </w:lvl>
  </w:abstractNum>
  <w:abstractNum w:abstractNumId="212">
    <w:nsid w:val="09C2C81C"/>
    <w:multiLevelType w:val="singleLevel"/>
    <w:tmpl w:val="09C2C81C"/>
    <w:lvl w:ilvl="0" w:tentative="0">
      <w:start w:val="1"/>
      <w:numFmt w:val="chineseCounting"/>
      <w:suff w:val="nothing"/>
      <w:lvlText w:val="（%1）"/>
      <w:lvlJc w:val="left"/>
      <w:pPr>
        <w:ind w:left="0" w:firstLine="420"/>
      </w:pPr>
      <w:rPr>
        <w:rFonts w:hint="eastAsia"/>
      </w:rPr>
    </w:lvl>
  </w:abstractNum>
  <w:abstractNum w:abstractNumId="213">
    <w:nsid w:val="0A4D60D8"/>
    <w:multiLevelType w:val="singleLevel"/>
    <w:tmpl w:val="0A4D60D8"/>
    <w:lvl w:ilvl="0" w:tentative="0">
      <w:start w:val="1"/>
      <w:numFmt w:val="chineseCounting"/>
      <w:suff w:val="nothing"/>
      <w:lvlText w:val="（%1）"/>
      <w:lvlJc w:val="left"/>
      <w:pPr>
        <w:ind w:left="0" w:firstLine="420"/>
      </w:pPr>
      <w:rPr>
        <w:rFonts w:hint="eastAsia"/>
      </w:rPr>
    </w:lvl>
  </w:abstractNum>
  <w:abstractNum w:abstractNumId="214">
    <w:nsid w:val="0A619EA5"/>
    <w:multiLevelType w:val="singleLevel"/>
    <w:tmpl w:val="0A619EA5"/>
    <w:lvl w:ilvl="0" w:tentative="0">
      <w:start w:val="1"/>
      <w:numFmt w:val="chineseCounting"/>
      <w:suff w:val="nothing"/>
      <w:lvlText w:val="（%1）"/>
      <w:lvlJc w:val="left"/>
      <w:pPr>
        <w:ind w:left="0" w:firstLine="420"/>
      </w:pPr>
      <w:rPr>
        <w:rFonts w:hint="eastAsia"/>
      </w:rPr>
    </w:lvl>
  </w:abstractNum>
  <w:abstractNum w:abstractNumId="215">
    <w:nsid w:val="0B64F901"/>
    <w:multiLevelType w:val="singleLevel"/>
    <w:tmpl w:val="0B64F901"/>
    <w:lvl w:ilvl="0" w:tentative="0">
      <w:start w:val="1"/>
      <w:numFmt w:val="decimal"/>
      <w:suff w:val="nothing"/>
      <w:lvlText w:val="(%1)"/>
      <w:lvlJc w:val="left"/>
      <w:pPr>
        <w:ind w:left="0" w:firstLine="0"/>
      </w:pPr>
      <w:rPr>
        <w:rFonts w:hint="default"/>
      </w:rPr>
    </w:lvl>
  </w:abstractNum>
  <w:abstractNum w:abstractNumId="216">
    <w:nsid w:val="0BD479B5"/>
    <w:multiLevelType w:val="multilevel"/>
    <w:tmpl w:val="0BD479B5"/>
    <w:lvl w:ilvl="0" w:tentative="0">
      <w:start w:val="1"/>
      <w:numFmt w:val="japaneseCounting"/>
      <w:lvlText w:val="(%1)"/>
      <w:lvlJc w:val="left"/>
      <w:pPr>
        <w:ind w:left="2277" w:hanging="720"/>
      </w:pPr>
      <w:rPr>
        <w:rFonts w:hint="default"/>
      </w:rPr>
    </w:lvl>
    <w:lvl w:ilvl="1" w:tentative="0">
      <w:start w:val="1"/>
      <w:numFmt w:val="lowerLetter"/>
      <w:lvlText w:val="%2)"/>
      <w:lvlJc w:val="left"/>
      <w:pPr>
        <w:ind w:left="2397" w:hanging="420"/>
      </w:pPr>
    </w:lvl>
    <w:lvl w:ilvl="2" w:tentative="0">
      <w:start w:val="1"/>
      <w:numFmt w:val="lowerRoman"/>
      <w:lvlText w:val="%3."/>
      <w:lvlJc w:val="right"/>
      <w:pPr>
        <w:ind w:left="2817" w:hanging="420"/>
      </w:pPr>
    </w:lvl>
    <w:lvl w:ilvl="3" w:tentative="0">
      <w:start w:val="1"/>
      <w:numFmt w:val="decimal"/>
      <w:lvlText w:val="%4."/>
      <w:lvlJc w:val="left"/>
      <w:pPr>
        <w:ind w:left="3237" w:hanging="420"/>
      </w:pPr>
    </w:lvl>
    <w:lvl w:ilvl="4" w:tentative="0">
      <w:start w:val="1"/>
      <w:numFmt w:val="lowerLetter"/>
      <w:lvlText w:val="%5)"/>
      <w:lvlJc w:val="left"/>
      <w:pPr>
        <w:ind w:left="3657" w:hanging="420"/>
      </w:pPr>
    </w:lvl>
    <w:lvl w:ilvl="5" w:tentative="0">
      <w:start w:val="1"/>
      <w:numFmt w:val="lowerRoman"/>
      <w:lvlText w:val="%6."/>
      <w:lvlJc w:val="right"/>
      <w:pPr>
        <w:ind w:left="4077" w:hanging="420"/>
      </w:pPr>
    </w:lvl>
    <w:lvl w:ilvl="6" w:tentative="0">
      <w:start w:val="1"/>
      <w:numFmt w:val="decimal"/>
      <w:lvlText w:val="%7."/>
      <w:lvlJc w:val="left"/>
      <w:pPr>
        <w:ind w:left="4497" w:hanging="420"/>
      </w:pPr>
    </w:lvl>
    <w:lvl w:ilvl="7" w:tentative="0">
      <w:start w:val="1"/>
      <w:numFmt w:val="lowerLetter"/>
      <w:lvlText w:val="%8)"/>
      <w:lvlJc w:val="left"/>
      <w:pPr>
        <w:ind w:left="4917" w:hanging="420"/>
      </w:pPr>
    </w:lvl>
    <w:lvl w:ilvl="8" w:tentative="0">
      <w:start w:val="1"/>
      <w:numFmt w:val="lowerRoman"/>
      <w:lvlText w:val="%9."/>
      <w:lvlJc w:val="right"/>
      <w:pPr>
        <w:ind w:left="5337" w:hanging="420"/>
      </w:pPr>
    </w:lvl>
  </w:abstractNum>
  <w:abstractNum w:abstractNumId="217">
    <w:nsid w:val="0D1B7515"/>
    <w:multiLevelType w:val="multilevel"/>
    <w:tmpl w:val="0D1B7515"/>
    <w:lvl w:ilvl="0" w:tentative="0">
      <w:start w:val="1"/>
      <w:numFmt w:val="chineseCountingThousand"/>
      <w:lvlText w:val="第%1条"/>
      <w:lvlJc w:val="left"/>
      <w:pPr>
        <w:ind w:left="140" w:firstLine="560"/>
      </w:pPr>
      <w:rPr>
        <w:rFonts w:hint="eastAsia"/>
        <w:b/>
        <w:bCs/>
        <w:sz w:val="28"/>
        <w:szCs w:val="28"/>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18">
    <w:nsid w:val="0D482535"/>
    <w:multiLevelType w:val="singleLevel"/>
    <w:tmpl w:val="0D482535"/>
    <w:lvl w:ilvl="0" w:tentative="0">
      <w:start w:val="1"/>
      <w:numFmt w:val="chineseCounting"/>
      <w:suff w:val="nothing"/>
      <w:lvlText w:val="（%1）"/>
      <w:lvlJc w:val="left"/>
      <w:pPr>
        <w:ind w:left="0" w:firstLine="420"/>
      </w:pPr>
      <w:rPr>
        <w:rFonts w:hint="eastAsia"/>
      </w:rPr>
    </w:lvl>
  </w:abstractNum>
  <w:abstractNum w:abstractNumId="219">
    <w:nsid w:val="0EA95D24"/>
    <w:multiLevelType w:val="singleLevel"/>
    <w:tmpl w:val="0EA95D24"/>
    <w:lvl w:ilvl="0" w:tentative="0">
      <w:start w:val="1"/>
      <w:numFmt w:val="chineseCounting"/>
      <w:suff w:val="nothing"/>
      <w:lvlText w:val="（%1）"/>
      <w:lvlJc w:val="left"/>
      <w:pPr>
        <w:ind w:left="0" w:firstLine="420"/>
      </w:pPr>
      <w:rPr>
        <w:rFonts w:hint="eastAsia"/>
      </w:rPr>
    </w:lvl>
  </w:abstractNum>
  <w:abstractNum w:abstractNumId="220">
    <w:nsid w:val="0EB2BB85"/>
    <w:multiLevelType w:val="singleLevel"/>
    <w:tmpl w:val="0EB2BB85"/>
    <w:lvl w:ilvl="0" w:tentative="0">
      <w:start w:val="1"/>
      <w:numFmt w:val="chineseCounting"/>
      <w:suff w:val="nothing"/>
      <w:lvlText w:val="（%1）"/>
      <w:lvlJc w:val="left"/>
      <w:pPr>
        <w:ind w:left="0" w:firstLine="420"/>
      </w:pPr>
      <w:rPr>
        <w:rFonts w:hint="eastAsia"/>
      </w:rPr>
    </w:lvl>
  </w:abstractNum>
  <w:abstractNum w:abstractNumId="221">
    <w:nsid w:val="0EB4AF40"/>
    <w:multiLevelType w:val="singleLevel"/>
    <w:tmpl w:val="0EB4AF40"/>
    <w:lvl w:ilvl="0" w:tentative="0">
      <w:start w:val="1"/>
      <w:numFmt w:val="chineseCounting"/>
      <w:suff w:val="nothing"/>
      <w:lvlText w:val="（%1）"/>
      <w:lvlJc w:val="left"/>
      <w:pPr>
        <w:ind w:left="0" w:firstLine="420"/>
      </w:pPr>
      <w:rPr>
        <w:rFonts w:hint="eastAsia"/>
      </w:rPr>
    </w:lvl>
  </w:abstractNum>
  <w:abstractNum w:abstractNumId="222">
    <w:nsid w:val="0EDDEC28"/>
    <w:multiLevelType w:val="singleLevel"/>
    <w:tmpl w:val="0EDDEC28"/>
    <w:lvl w:ilvl="0" w:tentative="0">
      <w:start w:val="1"/>
      <w:numFmt w:val="chineseCounting"/>
      <w:suff w:val="nothing"/>
      <w:lvlText w:val="（%1）"/>
      <w:lvlJc w:val="left"/>
      <w:pPr>
        <w:ind w:left="0" w:firstLine="420"/>
      </w:pPr>
      <w:rPr>
        <w:rFonts w:hint="eastAsia"/>
      </w:rPr>
    </w:lvl>
  </w:abstractNum>
  <w:abstractNum w:abstractNumId="223">
    <w:nsid w:val="0EE78D30"/>
    <w:multiLevelType w:val="singleLevel"/>
    <w:tmpl w:val="0EE78D30"/>
    <w:lvl w:ilvl="0" w:tentative="0">
      <w:start w:val="1"/>
      <w:numFmt w:val="decimalEnclosedCircleChinese"/>
      <w:suff w:val="nothing"/>
      <w:lvlText w:val="%1　"/>
      <w:lvlJc w:val="left"/>
      <w:pPr>
        <w:ind w:left="0" w:firstLine="0"/>
      </w:pPr>
      <w:rPr>
        <w:rFonts w:hint="eastAsia"/>
        <w:sz w:val="32"/>
        <w:szCs w:val="32"/>
      </w:rPr>
    </w:lvl>
  </w:abstractNum>
  <w:abstractNum w:abstractNumId="224">
    <w:nsid w:val="0F9BA9D0"/>
    <w:multiLevelType w:val="singleLevel"/>
    <w:tmpl w:val="0F9BA9D0"/>
    <w:lvl w:ilvl="0" w:tentative="0">
      <w:start w:val="1"/>
      <w:numFmt w:val="decimal"/>
      <w:suff w:val="nothing"/>
      <w:lvlText w:val="%1."/>
      <w:lvlJc w:val="left"/>
      <w:pPr>
        <w:ind w:left="0" w:firstLine="0"/>
      </w:pPr>
      <w:rPr>
        <w:rFonts w:hint="default"/>
      </w:rPr>
    </w:lvl>
  </w:abstractNum>
  <w:abstractNum w:abstractNumId="225">
    <w:nsid w:val="0FD1B2F6"/>
    <w:multiLevelType w:val="singleLevel"/>
    <w:tmpl w:val="0FD1B2F6"/>
    <w:lvl w:ilvl="0" w:tentative="0">
      <w:start w:val="1"/>
      <w:numFmt w:val="chineseCounting"/>
      <w:suff w:val="nothing"/>
      <w:lvlText w:val="（%1）"/>
      <w:lvlJc w:val="left"/>
      <w:pPr>
        <w:ind w:left="-20" w:firstLine="420"/>
      </w:pPr>
      <w:rPr>
        <w:rFonts w:hint="eastAsia"/>
      </w:rPr>
    </w:lvl>
  </w:abstractNum>
  <w:abstractNum w:abstractNumId="226">
    <w:nsid w:val="101E9991"/>
    <w:multiLevelType w:val="singleLevel"/>
    <w:tmpl w:val="101E9991"/>
    <w:lvl w:ilvl="0" w:tentative="0">
      <w:start w:val="1"/>
      <w:numFmt w:val="chineseCounting"/>
      <w:suff w:val="nothing"/>
      <w:lvlText w:val="（%1）"/>
      <w:lvlJc w:val="left"/>
      <w:pPr>
        <w:ind w:left="0" w:firstLine="420"/>
      </w:pPr>
      <w:rPr>
        <w:rFonts w:hint="eastAsia"/>
      </w:rPr>
    </w:lvl>
  </w:abstractNum>
  <w:abstractNum w:abstractNumId="227">
    <w:nsid w:val="10AB369C"/>
    <w:multiLevelType w:val="singleLevel"/>
    <w:tmpl w:val="10AB369C"/>
    <w:lvl w:ilvl="0" w:tentative="0">
      <w:start w:val="1"/>
      <w:numFmt w:val="chineseCounting"/>
      <w:suff w:val="nothing"/>
      <w:lvlText w:val="（%1）"/>
      <w:lvlJc w:val="left"/>
      <w:pPr>
        <w:ind w:left="0" w:firstLine="420"/>
      </w:pPr>
      <w:rPr>
        <w:rFonts w:hint="eastAsia"/>
      </w:rPr>
    </w:lvl>
  </w:abstractNum>
  <w:abstractNum w:abstractNumId="228">
    <w:nsid w:val="10D07238"/>
    <w:multiLevelType w:val="singleLevel"/>
    <w:tmpl w:val="10D07238"/>
    <w:lvl w:ilvl="0" w:tentative="0">
      <w:start w:val="1"/>
      <w:numFmt w:val="decimal"/>
      <w:suff w:val="nothing"/>
      <w:lvlText w:val="%1."/>
      <w:lvlJc w:val="left"/>
      <w:pPr>
        <w:ind w:left="0" w:firstLine="0"/>
      </w:pPr>
      <w:rPr>
        <w:rFonts w:hint="default"/>
      </w:rPr>
    </w:lvl>
  </w:abstractNum>
  <w:abstractNum w:abstractNumId="229">
    <w:nsid w:val="10D34D12"/>
    <w:multiLevelType w:val="singleLevel"/>
    <w:tmpl w:val="10D34D12"/>
    <w:lvl w:ilvl="0" w:tentative="0">
      <w:start w:val="1"/>
      <w:numFmt w:val="chineseCounting"/>
      <w:suff w:val="nothing"/>
      <w:lvlText w:val="（%1）"/>
      <w:lvlJc w:val="left"/>
      <w:pPr>
        <w:ind w:left="0" w:firstLine="420"/>
      </w:pPr>
      <w:rPr>
        <w:rFonts w:hint="eastAsia"/>
      </w:rPr>
    </w:lvl>
  </w:abstractNum>
  <w:abstractNum w:abstractNumId="230">
    <w:nsid w:val="11427F9C"/>
    <w:multiLevelType w:val="singleLevel"/>
    <w:tmpl w:val="11427F9C"/>
    <w:lvl w:ilvl="0" w:tentative="0">
      <w:start w:val="1"/>
      <w:numFmt w:val="chineseCounting"/>
      <w:suff w:val="nothing"/>
      <w:lvlText w:val="（%1）"/>
      <w:lvlJc w:val="left"/>
      <w:pPr>
        <w:ind w:left="0" w:firstLine="420"/>
      </w:pPr>
      <w:rPr>
        <w:rFonts w:hint="eastAsia"/>
      </w:rPr>
    </w:lvl>
  </w:abstractNum>
  <w:abstractNum w:abstractNumId="231">
    <w:nsid w:val="11523146"/>
    <w:multiLevelType w:val="multilevel"/>
    <w:tmpl w:val="11523146"/>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32">
    <w:nsid w:val="13963DF1"/>
    <w:multiLevelType w:val="singleLevel"/>
    <w:tmpl w:val="13963DF1"/>
    <w:lvl w:ilvl="0" w:tentative="0">
      <w:start w:val="1"/>
      <w:numFmt w:val="decimal"/>
      <w:suff w:val="nothing"/>
      <w:lvlText w:val="%1."/>
      <w:lvlJc w:val="left"/>
      <w:pPr>
        <w:ind w:left="0" w:firstLine="0"/>
      </w:pPr>
      <w:rPr>
        <w:rFonts w:hint="default"/>
      </w:rPr>
    </w:lvl>
  </w:abstractNum>
  <w:abstractNum w:abstractNumId="233">
    <w:nsid w:val="139D5701"/>
    <w:multiLevelType w:val="singleLevel"/>
    <w:tmpl w:val="139D5701"/>
    <w:lvl w:ilvl="0" w:tentative="0">
      <w:start w:val="1"/>
      <w:numFmt w:val="chineseCounting"/>
      <w:suff w:val="nothing"/>
      <w:lvlText w:val="（%1）"/>
      <w:lvlJc w:val="left"/>
      <w:pPr>
        <w:ind w:left="0" w:firstLine="420"/>
      </w:pPr>
      <w:rPr>
        <w:rFonts w:hint="eastAsia"/>
      </w:rPr>
    </w:lvl>
  </w:abstractNum>
  <w:abstractNum w:abstractNumId="234">
    <w:nsid w:val="1458BE76"/>
    <w:multiLevelType w:val="singleLevel"/>
    <w:tmpl w:val="1458BE76"/>
    <w:lvl w:ilvl="0" w:tentative="0">
      <w:start w:val="1"/>
      <w:numFmt w:val="chineseCounting"/>
      <w:suff w:val="nothing"/>
      <w:lvlText w:val="（%1）"/>
      <w:lvlJc w:val="left"/>
      <w:pPr>
        <w:ind w:left="0" w:firstLine="420"/>
      </w:pPr>
      <w:rPr>
        <w:rFonts w:hint="eastAsia"/>
      </w:rPr>
    </w:lvl>
  </w:abstractNum>
  <w:abstractNum w:abstractNumId="235">
    <w:nsid w:val="146F3634"/>
    <w:multiLevelType w:val="singleLevel"/>
    <w:tmpl w:val="146F3634"/>
    <w:lvl w:ilvl="0" w:tentative="0">
      <w:start w:val="1"/>
      <w:numFmt w:val="decimal"/>
      <w:suff w:val="nothing"/>
      <w:lvlText w:val="%1."/>
      <w:lvlJc w:val="left"/>
      <w:pPr>
        <w:ind w:left="0" w:firstLine="0"/>
      </w:pPr>
      <w:rPr>
        <w:rFonts w:hint="default"/>
      </w:rPr>
    </w:lvl>
  </w:abstractNum>
  <w:abstractNum w:abstractNumId="236">
    <w:nsid w:val="15034312"/>
    <w:multiLevelType w:val="singleLevel"/>
    <w:tmpl w:val="15034312"/>
    <w:lvl w:ilvl="0" w:tentative="0">
      <w:start w:val="1"/>
      <w:numFmt w:val="chineseCounting"/>
      <w:suff w:val="nothing"/>
      <w:lvlText w:val="（%1）"/>
      <w:lvlJc w:val="left"/>
      <w:pPr>
        <w:ind w:left="0" w:firstLine="420"/>
      </w:pPr>
      <w:rPr>
        <w:rFonts w:hint="eastAsia"/>
      </w:rPr>
    </w:lvl>
  </w:abstractNum>
  <w:abstractNum w:abstractNumId="237">
    <w:nsid w:val="1573115C"/>
    <w:multiLevelType w:val="singleLevel"/>
    <w:tmpl w:val="1573115C"/>
    <w:lvl w:ilvl="0" w:tentative="0">
      <w:start w:val="1"/>
      <w:numFmt w:val="chineseCounting"/>
      <w:suff w:val="nothing"/>
      <w:lvlText w:val="（%1）"/>
      <w:lvlJc w:val="left"/>
      <w:pPr>
        <w:ind w:left="0" w:firstLine="420"/>
      </w:pPr>
      <w:rPr>
        <w:rFonts w:hint="eastAsia"/>
      </w:rPr>
    </w:lvl>
  </w:abstractNum>
  <w:abstractNum w:abstractNumId="238">
    <w:nsid w:val="15BA4971"/>
    <w:multiLevelType w:val="singleLevel"/>
    <w:tmpl w:val="15BA4971"/>
    <w:lvl w:ilvl="0" w:tentative="0">
      <w:start w:val="1"/>
      <w:numFmt w:val="chineseCounting"/>
      <w:suff w:val="nothing"/>
      <w:lvlText w:val="（%1）"/>
      <w:lvlJc w:val="left"/>
      <w:pPr>
        <w:ind w:left="0" w:firstLine="420"/>
      </w:pPr>
      <w:rPr>
        <w:rFonts w:hint="eastAsia"/>
      </w:rPr>
    </w:lvl>
  </w:abstractNum>
  <w:abstractNum w:abstractNumId="239">
    <w:nsid w:val="167C4483"/>
    <w:multiLevelType w:val="singleLevel"/>
    <w:tmpl w:val="167C4483"/>
    <w:lvl w:ilvl="0" w:tentative="0">
      <w:start w:val="1"/>
      <w:numFmt w:val="decimal"/>
      <w:suff w:val="nothing"/>
      <w:lvlText w:val="%1."/>
      <w:lvlJc w:val="left"/>
      <w:pPr>
        <w:ind w:left="0" w:firstLine="0"/>
      </w:pPr>
      <w:rPr>
        <w:rFonts w:hint="default"/>
      </w:rPr>
    </w:lvl>
  </w:abstractNum>
  <w:abstractNum w:abstractNumId="240">
    <w:nsid w:val="16A1804B"/>
    <w:multiLevelType w:val="singleLevel"/>
    <w:tmpl w:val="16A1804B"/>
    <w:lvl w:ilvl="0" w:tentative="0">
      <w:start w:val="1"/>
      <w:numFmt w:val="chineseCounting"/>
      <w:suff w:val="nothing"/>
      <w:lvlText w:val="（%1）"/>
      <w:lvlJc w:val="left"/>
      <w:pPr>
        <w:ind w:left="0" w:firstLine="420"/>
      </w:pPr>
      <w:rPr>
        <w:rFonts w:hint="eastAsia"/>
      </w:rPr>
    </w:lvl>
  </w:abstractNum>
  <w:abstractNum w:abstractNumId="241">
    <w:nsid w:val="16C57390"/>
    <w:multiLevelType w:val="singleLevel"/>
    <w:tmpl w:val="16C57390"/>
    <w:lvl w:ilvl="0" w:tentative="0">
      <w:start w:val="1"/>
      <w:numFmt w:val="decimal"/>
      <w:suff w:val="nothing"/>
      <w:lvlText w:val="(%1)"/>
      <w:lvlJc w:val="left"/>
      <w:pPr>
        <w:ind w:left="0" w:firstLine="0"/>
      </w:pPr>
      <w:rPr>
        <w:rFonts w:hint="default"/>
      </w:rPr>
    </w:lvl>
  </w:abstractNum>
  <w:abstractNum w:abstractNumId="242">
    <w:nsid w:val="171125E1"/>
    <w:multiLevelType w:val="singleLevel"/>
    <w:tmpl w:val="171125E1"/>
    <w:lvl w:ilvl="0" w:tentative="0">
      <w:start w:val="1"/>
      <w:numFmt w:val="chineseCounting"/>
      <w:suff w:val="nothing"/>
      <w:lvlText w:val="（%1）"/>
      <w:lvlJc w:val="left"/>
      <w:pPr>
        <w:ind w:left="0" w:firstLine="420"/>
      </w:pPr>
      <w:rPr>
        <w:rFonts w:hint="eastAsia"/>
      </w:rPr>
    </w:lvl>
  </w:abstractNum>
  <w:abstractNum w:abstractNumId="243">
    <w:nsid w:val="172DB8D2"/>
    <w:multiLevelType w:val="singleLevel"/>
    <w:tmpl w:val="172DB8D2"/>
    <w:lvl w:ilvl="0" w:tentative="0">
      <w:start w:val="1"/>
      <w:numFmt w:val="chineseCounting"/>
      <w:suff w:val="nothing"/>
      <w:lvlText w:val="（%1）"/>
      <w:lvlJc w:val="left"/>
      <w:pPr>
        <w:ind w:left="0" w:firstLine="420"/>
      </w:pPr>
      <w:rPr>
        <w:rFonts w:hint="eastAsia"/>
      </w:rPr>
    </w:lvl>
  </w:abstractNum>
  <w:abstractNum w:abstractNumId="244">
    <w:nsid w:val="18296CDF"/>
    <w:multiLevelType w:val="singleLevel"/>
    <w:tmpl w:val="18296CDF"/>
    <w:lvl w:ilvl="0" w:tentative="0">
      <w:start w:val="1"/>
      <w:numFmt w:val="decimal"/>
      <w:suff w:val="nothing"/>
      <w:lvlText w:val="%1."/>
      <w:lvlJc w:val="left"/>
      <w:pPr>
        <w:ind w:left="0" w:firstLine="0"/>
      </w:pPr>
      <w:rPr>
        <w:rFonts w:hint="default"/>
      </w:rPr>
    </w:lvl>
  </w:abstractNum>
  <w:abstractNum w:abstractNumId="245">
    <w:nsid w:val="19B26520"/>
    <w:multiLevelType w:val="singleLevel"/>
    <w:tmpl w:val="19B26520"/>
    <w:lvl w:ilvl="0" w:tentative="0">
      <w:start w:val="1"/>
      <w:numFmt w:val="chineseCounting"/>
      <w:suff w:val="nothing"/>
      <w:lvlText w:val="（%1）"/>
      <w:lvlJc w:val="left"/>
      <w:pPr>
        <w:ind w:left="0" w:firstLine="420"/>
      </w:pPr>
      <w:rPr>
        <w:rFonts w:hint="eastAsia"/>
      </w:rPr>
    </w:lvl>
  </w:abstractNum>
  <w:abstractNum w:abstractNumId="246">
    <w:nsid w:val="1A1F85A5"/>
    <w:multiLevelType w:val="singleLevel"/>
    <w:tmpl w:val="1A1F85A5"/>
    <w:lvl w:ilvl="0" w:tentative="0">
      <w:start w:val="1"/>
      <w:numFmt w:val="chineseCounting"/>
      <w:suff w:val="nothing"/>
      <w:lvlText w:val="（%1）"/>
      <w:lvlJc w:val="left"/>
      <w:pPr>
        <w:ind w:left="0" w:firstLine="420"/>
      </w:pPr>
      <w:rPr>
        <w:rFonts w:hint="eastAsia"/>
      </w:rPr>
    </w:lvl>
  </w:abstractNum>
  <w:abstractNum w:abstractNumId="247">
    <w:nsid w:val="1AE68F64"/>
    <w:multiLevelType w:val="singleLevel"/>
    <w:tmpl w:val="1AE68F64"/>
    <w:lvl w:ilvl="0" w:tentative="0">
      <w:start w:val="1"/>
      <w:numFmt w:val="chineseCounting"/>
      <w:suff w:val="nothing"/>
      <w:lvlText w:val="（%1）"/>
      <w:lvlJc w:val="left"/>
      <w:pPr>
        <w:ind w:left="0" w:firstLine="420"/>
      </w:pPr>
      <w:rPr>
        <w:rFonts w:hint="eastAsia"/>
      </w:rPr>
    </w:lvl>
  </w:abstractNum>
  <w:abstractNum w:abstractNumId="248">
    <w:nsid w:val="1B63CADD"/>
    <w:multiLevelType w:val="singleLevel"/>
    <w:tmpl w:val="1B63CADD"/>
    <w:lvl w:ilvl="0" w:tentative="0">
      <w:start w:val="1"/>
      <w:numFmt w:val="decimal"/>
      <w:suff w:val="nothing"/>
      <w:lvlText w:val="%1."/>
      <w:lvlJc w:val="left"/>
      <w:pPr>
        <w:ind w:left="0" w:firstLine="0"/>
      </w:pPr>
      <w:rPr>
        <w:rFonts w:hint="default"/>
      </w:rPr>
    </w:lvl>
  </w:abstractNum>
  <w:abstractNum w:abstractNumId="249">
    <w:nsid w:val="1BAB46E5"/>
    <w:multiLevelType w:val="singleLevel"/>
    <w:tmpl w:val="1BAB46E5"/>
    <w:lvl w:ilvl="0" w:tentative="0">
      <w:start w:val="1"/>
      <w:numFmt w:val="decimal"/>
      <w:suff w:val="nothing"/>
      <w:lvlText w:val="%1."/>
      <w:lvlJc w:val="left"/>
      <w:pPr>
        <w:ind w:left="0" w:firstLine="0"/>
      </w:pPr>
      <w:rPr>
        <w:rFonts w:hint="default"/>
      </w:rPr>
    </w:lvl>
  </w:abstractNum>
  <w:abstractNum w:abstractNumId="250">
    <w:nsid w:val="1C5A3157"/>
    <w:multiLevelType w:val="singleLevel"/>
    <w:tmpl w:val="1C5A3157"/>
    <w:lvl w:ilvl="0" w:tentative="0">
      <w:start w:val="1"/>
      <w:numFmt w:val="decimal"/>
      <w:suff w:val="nothing"/>
      <w:lvlText w:val="%1."/>
      <w:lvlJc w:val="left"/>
      <w:pPr>
        <w:ind w:left="0" w:firstLine="0"/>
      </w:pPr>
      <w:rPr>
        <w:rFonts w:hint="default"/>
      </w:rPr>
    </w:lvl>
  </w:abstractNum>
  <w:abstractNum w:abstractNumId="251">
    <w:nsid w:val="1D564077"/>
    <w:multiLevelType w:val="singleLevel"/>
    <w:tmpl w:val="1D564077"/>
    <w:lvl w:ilvl="0" w:tentative="0">
      <w:start w:val="1"/>
      <w:numFmt w:val="chineseCounting"/>
      <w:suff w:val="nothing"/>
      <w:lvlText w:val="（%1）"/>
      <w:lvlJc w:val="left"/>
      <w:pPr>
        <w:ind w:left="0" w:firstLine="420"/>
      </w:pPr>
      <w:rPr>
        <w:rFonts w:hint="eastAsia"/>
      </w:rPr>
    </w:lvl>
  </w:abstractNum>
  <w:abstractNum w:abstractNumId="252">
    <w:nsid w:val="1DD48B6C"/>
    <w:multiLevelType w:val="singleLevel"/>
    <w:tmpl w:val="1DD48B6C"/>
    <w:lvl w:ilvl="0" w:tentative="0">
      <w:start w:val="1"/>
      <w:numFmt w:val="chineseCounting"/>
      <w:suff w:val="nothing"/>
      <w:lvlText w:val="（%1）"/>
      <w:lvlJc w:val="left"/>
      <w:pPr>
        <w:ind w:left="0" w:firstLine="420"/>
      </w:pPr>
      <w:rPr>
        <w:rFonts w:hint="eastAsia"/>
      </w:rPr>
    </w:lvl>
  </w:abstractNum>
  <w:abstractNum w:abstractNumId="253">
    <w:nsid w:val="1ECCA345"/>
    <w:multiLevelType w:val="singleLevel"/>
    <w:tmpl w:val="1ECCA345"/>
    <w:lvl w:ilvl="0" w:tentative="0">
      <w:start w:val="1"/>
      <w:numFmt w:val="chineseCounting"/>
      <w:suff w:val="nothing"/>
      <w:lvlText w:val="（%1）"/>
      <w:lvlJc w:val="left"/>
      <w:pPr>
        <w:ind w:left="0" w:firstLine="420"/>
      </w:pPr>
      <w:rPr>
        <w:rFonts w:hint="eastAsia"/>
      </w:rPr>
    </w:lvl>
  </w:abstractNum>
  <w:abstractNum w:abstractNumId="254">
    <w:nsid w:val="1FA7010A"/>
    <w:multiLevelType w:val="singleLevel"/>
    <w:tmpl w:val="1FA7010A"/>
    <w:lvl w:ilvl="0" w:tentative="0">
      <w:start w:val="1"/>
      <w:numFmt w:val="decimal"/>
      <w:suff w:val="nothing"/>
      <w:lvlText w:val="%1."/>
      <w:lvlJc w:val="left"/>
      <w:pPr>
        <w:ind w:left="454" w:hanging="454"/>
      </w:pPr>
      <w:rPr>
        <w:rFonts w:hint="default"/>
      </w:rPr>
    </w:lvl>
  </w:abstractNum>
  <w:abstractNum w:abstractNumId="255">
    <w:nsid w:val="1FBDE2D7"/>
    <w:multiLevelType w:val="singleLevel"/>
    <w:tmpl w:val="1FBDE2D7"/>
    <w:lvl w:ilvl="0" w:tentative="0">
      <w:start w:val="1"/>
      <w:numFmt w:val="decimal"/>
      <w:suff w:val="nothing"/>
      <w:lvlText w:val="(%1)"/>
      <w:lvlJc w:val="left"/>
      <w:pPr>
        <w:ind w:left="0" w:firstLine="0"/>
      </w:pPr>
      <w:rPr>
        <w:rFonts w:hint="default"/>
      </w:rPr>
    </w:lvl>
  </w:abstractNum>
  <w:abstractNum w:abstractNumId="256">
    <w:nsid w:val="1FE1C78C"/>
    <w:multiLevelType w:val="singleLevel"/>
    <w:tmpl w:val="1FE1C78C"/>
    <w:lvl w:ilvl="0" w:tentative="0">
      <w:start w:val="1"/>
      <w:numFmt w:val="chineseCounting"/>
      <w:suff w:val="space"/>
      <w:lvlText w:val="第%1章"/>
      <w:lvlJc w:val="left"/>
      <w:pPr>
        <w:ind w:left="20"/>
      </w:pPr>
      <w:rPr>
        <w:rFonts w:hint="eastAsia"/>
      </w:rPr>
    </w:lvl>
  </w:abstractNum>
  <w:abstractNum w:abstractNumId="257">
    <w:nsid w:val="2036B717"/>
    <w:multiLevelType w:val="singleLevel"/>
    <w:tmpl w:val="2036B717"/>
    <w:lvl w:ilvl="0" w:tentative="0">
      <w:start w:val="1"/>
      <w:numFmt w:val="chineseCounting"/>
      <w:suff w:val="nothing"/>
      <w:lvlText w:val="（%1）"/>
      <w:lvlJc w:val="left"/>
      <w:pPr>
        <w:ind w:left="0" w:firstLine="420"/>
      </w:pPr>
      <w:rPr>
        <w:rFonts w:hint="eastAsia"/>
      </w:rPr>
    </w:lvl>
  </w:abstractNum>
  <w:abstractNum w:abstractNumId="258">
    <w:nsid w:val="21BAFC68"/>
    <w:multiLevelType w:val="singleLevel"/>
    <w:tmpl w:val="21BAFC68"/>
    <w:lvl w:ilvl="0" w:tentative="0">
      <w:start w:val="1"/>
      <w:numFmt w:val="chineseCounting"/>
      <w:suff w:val="nothing"/>
      <w:lvlText w:val="（%1）"/>
      <w:lvlJc w:val="left"/>
      <w:pPr>
        <w:ind w:left="0" w:firstLine="420"/>
      </w:pPr>
      <w:rPr>
        <w:rFonts w:hint="eastAsia"/>
      </w:rPr>
    </w:lvl>
  </w:abstractNum>
  <w:abstractNum w:abstractNumId="259">
    <w:nsid w:val="224F469C"/>
    <w:multiLevelType w:val="singleLevel"/>
    <w:tmpl w:val="224F469C"/>
    <w:lvl w:ilvl="0" w:tentative="0">
      <w:start w:val="1"/>
      <w:numFmt w:val="chineseCounting"/>
      <w:suff w:val="nothing"/>
      <w:lvlText w:val="（%1）"/>
      <w:lvlJc w:val="left"/>
      <w:pPr>
        <w:ind w:left="0" w:firstLine="420"/>
      </w:pPr>
      <w:rPr>
        <w:rFonts w:hint="eastAsia"/>
      </w:rPr>
    </w:lvl>
  </w:abstractNum>
  <w:abstractNum w:abstractNumId="260">
    <w:nsid w:val="233180BD"/>
    <w:multiLevelType w:val="singleLevel"/>
    <w:tmpl w:val="233180BD"/>
    <w:lvl w:ilvl="0" w:tentative="0">
      <w:start w:val="1"/>
      <w:numFmt w:val="decimal"/>
      <w:suff w:val="nothing"/>
      <w:lvlText w:val="%1."/>
      <w:lvlJc w:val="left"/>
      <w:pPr>
        <w:ind w:left="0" w:firstLine="0"/>
      </w:pPr>
      <w:rPr>
        <w:rFonts w:hint="default"/>
      </w:rPr>
    </w:lvl>
  </w:abstractNum>
  <w:abstractNum w:abstractNumId="261">
    <w:nsid w:val="238D8BE9"/>
    <w:multiLevelType w:val="singleLevel"/>
    <w:tmpl w:val="238D8BE9"/>
    <w:lvl w:ilvl="0" w:tentative="0">
      <w:start w:val="1"/>
      <w:numFmt w:val="decimal"/>
      <w:suff w:val="nothing"/>
      <w:lvlText w:val="(%1)"/>
      <w:lvlJc w:val="left"/>
      <w:pPr>
        <w:ind w:left="0" w:firstLine="0"/>
      </w:pPr>
      <w:rPr>
        <w:rFonts w:hint="default"/>
      </w:rPr>
    </w:lvl>
  </w:abstractNum>
  <w:abstractNum w:abstractNumId="262">
    <w:nsid w:val="241E6783"/>
    <w:multiLevelType w:val="singleLevel"/>
    <w:tmpl w:val="241E6783"/>
    <w:lvl w:ilvl="0" w:tentative="0">
      <w:start w:val="1"/>
      <w:numFmt w:val="chineseCounting"/>
      <w:suff w:val="nothing"/>
      <w:lvlText w:val="（%1）"/>
      <w:lvlJc w:val="left"/>
      <w:pPr>
        <w:ind w:left="0" w:firstLine="420"/>
      </w:pPr>
      <w:rPr>
        <w:rFonts w:hint="eastAsia"/>
      </w:rPr>
    </w:lvl>
  </w:abstractNum>
  <w:abstractNum w:abstractNumId="263">
    <w:nsid w:val="251297B3"/>
    <w:multiLevelType w:val="singleLevel"/>
    <w:tmpl w:val="251297B3"/>
    <w:lvl w:ilvl="0" w:tentative="0">
      <w:start w:val="1"/>
      <w:numFmt w:val="decimal"/>
      <w:suff w:val="nothing"/>
      <w:lvlText w:val="%1."/>
      <w:lvlJc w:val="left"/>
      <w:pPr>
        <w:ind w:left="0" w:firstLine="0"/>
      </w:pPr>
      <w:rPr>
        <w:rFonts w:hint="default"/>
      </w:rPr>
    </w:lvl>
  </w:abstractNum>
  <w:abstractNum w:abstractNumId="264">
    <w:nsid w:val="25790A13"/>
    <w:multiLevelType w:val="singleLevel"/>
    <w:tmpl w:val="25790A13"/>
    <w:lvl w:ilvl="0" w:tentative="0">
      <w:start w:val="1"/>
      <w:numFmt w:val="decimal"/>
      <w:suff w:val="nothing"/>
      <w:lvlText w:val="(%1)"/>
      <w:lvlJc w:val="left"/>
      <w:pPr>
        <w:ind w:left="0" w:firstLine="0"/>
      </w:pPr>
      <w:rPr>
        <w:rFonts w:hint="default"/>
      </w:rPr>
    </w:lvl>
  </w:abstractNum>
  <w:abstractNum w:abstractNumId="265">
    <w:nsid w:val="2734A5C0"/>
    <w:multiLevelType w:val="singleLevel"/>
    <w:tmpl w:val="2734A5C0"/>
    <w:lvl w:ilvl="0" w:tentative="0">
      <w:start w:val="1"/>
      <w:numFmt w:val="decimal"/>
      <w:suff w:val="nothing"/>
      <w:lvlText w:val="%1."/>
      <w:lvlJc w:val="left"/>
      <w:pPr>
        <w:ind w:left="0" w:firstLine="0"/>
      </w:pPr>
      <w:rPr>
        <w:rFonts w:hint="default"/>
      </w:rPr>
    </w:lvl>
  </w:abstractNum>
  <w:abstractNum w:abstractNumId="266">
    <w:nsid w:val="27827209"/>
    <w:multiLevelType w:val="singleLevel"/>
    <w:tmpl w:val="27827209"/>
    <w:lvl w:ilvl="0" w:tentative="0">
      <w:start w:val="1"/>
      <w:numFmt w:val="decimal"/>
      <w:suff w:val="nothing"/>
      <w:lvlText w:val="%1."/>
      <w:lvlJc w:val="left"/>
      <w:pPr>
        <w:ind w:left="454" w:hanging="454"/>
      </w:pPr>
      <w:rPr>
        <w:rFonts w:hint="default"/>
      </w:rPr>
    </w:lvl>
  </w:abstractNum>
  <w:abstractNum w:abstractNumId="267">
    <w:nsid w:val="283E56AB"/>
    <w:multiLevelType w:val="singleLevel"/>
    <w:tmpl w:val="283E56AB"/>
    <w:lvl w:ilvl="0" w:tentative="0">
      <w:start w:val="1"/>
      <w:numFmt w:val="chineseCounting"/>
      <w:suff w:val="nothing"/>
      <w:lvlText w:val="（%1）"/>
      <w:lvlJc w:val="left"/>
      <w:pPr>
        <w:ind w:left="0" w:firstLine="420"/>
      </w:pPr>
      <w:rPr>
        <w:rFonts w:hint="eastAsia"/>
      </w:rPr>
    </w:lvl>
  </w:abstractNum>
  <w:abstractNum w:abstractNumId="268">
    <w:nsid w:val="2936F784"/>
    <w:multiLevelType w:val="singleLevel"/>
    <w:tmpl w:val="2936F784"/>
    <w:lvl w:ilvl="0" w:tentative="0">
      <w:start w:val="1"/>
      <w:numFmt w:val="chineseCounting"/>
      <w:suff w:val="nothing"/>
      <w:lvlText w:val="（%1）"/>
      <w:lvlJc w:val="left"/>
      <w:pPr>
        <w:ind w:left="0" w:firstLine="420"/>
      </w:pPr>
      <w:rPr>
        <w:rFonts w:hint="eastAsia"/>
      </w:rPr>
    </w:lvl>
  </w:abstractNum>
  <w:abstractNum w:abstractNumId="269">
    <w:nsid w:val="2985A00A"/>
    <w:multiLevelType w:val="singleLevel"/>
    <w:tmpl w:val="2985A00A"/>
    <w:lvl w:ilvl="0" w:tentative="0">
      <w:start w:val="1"/>
      <w:numFmt w:val="chineseCounting"/>
      <w:suff w:val="nothing"/>
      <w:lvlText w:val="（%1）"/>
      <w:lvlJc w:val="left"/>
      <w:pPr>
        <w:ind w:left="0" w:firstLine="420"/>
      </w:pPr>
      <w:rPr>
        <w:rFonts w:hint="eastAsia"/>
      </w:rPr>
    </w:lvl>
  </w:abstractNum>
  <w:abstractNum w:abstractNumId="270">
    <w:nsid w:val="2992F31F"/>
    <w:multiLevelType w:val="singleLevel"/>
    <w:tmpl w:val="2992F31F"/>
    <w:lvl w:ilvl="0" w:tentative="0">
      <w:start w:val="1"/>
      <w:numFmt w:val="chineseCounting"/>
      <w:suff w:val="nothing"/>
      <w:lvlText w:val="（%1）"/>
      <w:lvlJc w:val="left"/>
      <w:pPr>
        <w:ind w:left="0" w:firstLine="420"/>
      </w:pPr>
      <w:rPr>
        <w:rFonts w:hint="eastAsia"/>
      </w:rPr>
    </w:lvl>
  </w:abstractNum>
  <w:abstractNum w:abstractNumId="271">
    <w:nsid w:val="29CD855C"/>
    <w:multiLevelType w:val="singleLevel"/>
    <w:tmpl w:val="29CD855C"/>
    <w:lvl w:ilvl="0" w:tentative="0">
      <w:start w:val="2"/>
      <w:numFmt w:val="chineseCounting"/>
      <w:suff w:val="nothing"/>
      <w:lvlText w:val="（%1）"/>
      <w:lvlJc w:val="left"/>
      <w:rPr>
        <w:rFonts w:hint="eastAsia"/>
      </w:rPr>
    </w:lvl>
  </w:abstractNum>
  <w:abstractNum w:abstractNumId="272">
    <w:nsid w:val="2A714A8C"/>
    <w:multiLevelType w:val="multilevel"/>
    <w:tmpl w:val="2A714A8C"/>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273">
    <w:nsid w:val="2AB6A7B3"/>
    <w:multiLevelType w:val="singleLevel"/>
    <w:tmpl w:val="2AB6A7B3"/>
    <w:lvl w:ilvl="0" w:tentative="0">
      <w:start w:val="1"/>
      <w:numFmt w:val="chineseCounting"/>
      <w:suff w:val="nothing"/>
      <w:lvlText w:val="（%1）"/>
      <w:lvlJc w:val="left"/>
      <w:pPr>
        <w:ind w:left="0" w:firstLine="420"/>
      </w:pPr>
      <w:rPr>
        <w:rFonts w:hint="eastAsia"/>
      </w:rPr>
    </w:lvl>
  </w:abstractNum>
  <w:abstractNum w:abstractNumId="274">
    <w:nsid w:val="2AF624FD"/>
    <w:multiLevelType w:val="singleLevel"/>
    <w:tmpl w:val="2AF624FD"/>
    <w:lvl w:ilvl="0" w:tentative="0">
      <w:start w:val="1"/>
      <w:numFmt w:val="chineseCounting"/>
      <w:suff w:val="nothing"/>
      <w:lvlText w:val="（%1）"/>
      <w:lvlJc w:val="left"/>
      <w:pPr>
        <w:ind w:left="0" w:firstLine="420"/>
      </w:pPr>
      <w:rPr>
        <w:rFonts w:hint="eastAsia"/>
      </w:rPr>
    </w:lvl>
  </w:abstractNum>
  <w:abstractNum w:abstractNumId="275">
    <w:nsid w:val="2B71B076"/>
    <w:multiLevelType w:val="multilevel"/>
    <w:tmpl w:val="2B71B076"/>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276">
    <w:nsid w:val="2DB4C83D"/>
    <w:multiLevelType w:val="singleLevel"/>
    <w:tmpl w:val="2DB4C83D"/>
    <w:lvl w:ilvl="0" w:tentative="0">
      <w:start w:val="1"/>
      <w:numFmt w:val="chineseCounting"/>
      <w:suff w:val="nothing"/>
      <w:lvlText w:val="（%1）"/>
      <w:lvlJc w:val="left"/>
      <w:pPr>
        <w:ind w:left="0" w:firstLine="420"/>
      </w:pPr>
      <w:rPr>
        <w:rFonts w:hint="eastAsia"/>
      </w:rPr>
    </w:lvl>
  </w:abstractNum>
  <w:abstractNum w:abstractNumId="277">
    <w:nsid w:val="2E0D62DC"/>
    <w:multiLevelType w:val="singleLevel"/>
    <w:tmpl w:val="2E0D62DC"/>
    <w:lvl w:ilvl="0" w:tentative="0">
      <w:start w:val="1"/>
      <w:numFmt w:val="decimal"/>
      <w:suff w:val="nothing"/>
      <w:lvlText w:val="(%1)"/>
      <w:lvlJc w:val="left"/>
      <w:pPr>
        <w:ind w:left="0" w:firstLine="0"/>
      </w:pPr>
      <w:rPr>
        <w:rFonts w:hint="default"/>
      </w:rPr>
    </w:lvl>
  </w:abstractNum>
  <w:abstractNum w:abstractNumId="278">
    <w:nsid w:val="2E1586B4"/>
    <w:multiLevelType w:val="singleLevel"/>
    <w:tmpl w:val="2E1586B4"/>
    <w:lvl w:ilvl="0" w:tentative="0">
      <w:start w:val="1"/>
      <w:numFmt w:val="decimal"/>
      <w:suff w:val="nothing"/>
      <w:lvlText w:val="%1."/>
      <w:lvlJc w:val="left"/>
      <w:pPr>
        <w:ind w:left="0" w:firstLine="0"/>
      </w:pPr>
      <w:rPr>
        <w:rFonts w:hint="default"/>
      </w:rPr>
    </w:lvl>
  </w:abstractNum>
  <w:abstractNum w:abstractNumId="279">
    <w:nsid w:val="2E1CD57C"/>
    <w:multiLevelType w:val="singleLevel"/>
    <w:tmpl w:val="2E1CD57C"/>
    <w:lvl w:ilvl="0" w:tentative="0">
      <w:start w:val="1"/>
      <w:numFmt w:val="chineseCounting"/>
      <w:suff w:val="nothing"/>
      <w:lvlText w:val="（%1）"/>
      <w:lvlJc w:val="left"/>
      <w:pPr>
        <w:ind w:left="0" w:firstLine="420"/>
      </w:pPr>
      <w:rPr>
        <w:rFonts w:hint="eastAsia"/>
      </w:rPr>
    </w:lvl>
  </w:abstractNum>
  <w:abstractNum w:abstractNumId="280">
    <w:nsid w:val="2E3BC231"/>
    <w:multiLevelType w:val="singleLevel"/>
    <w:tmpl w:val="2E3BC231"/>
    <w:lvl w:ilvl="0" w:tentative="0">
      <w:start w:val="1"/>
      <w:numFmt w:val="decimal"/>
      <w:suff w:val="nothing"/>
      <w:lvlText w:val="%1."/>
      <w:lvlJc w:val="left"/>
      <w:pPr>
        <w:ind w:left="0" w:firstLine="0"/>
      </w:pPr>
      <w:rPr>
        <w:rFonts w:hint="default"/>
      </w:rPr>
    </w:lvl>
  </w:abstractNum>
  <w:abstractNum w:abstractNumId="281">
    <w:nsid w:val="2FE4DB19"/>
    <w:multiLevelType w:val="singleLevel"/>
    <w:tmpl w:val="2FE4DB19"/>
    <w:lvl w:ilvl="0" w:tentative="0">
      <w:start w:val="1"/>
      <w:numFmt w:val="chineseCounting"/>
      <w:suff w:val="nothing"/>
      <w:lvlText w:val="（%1）"/>
      <w:lvlJc w:val="left"/>
      <w:pPr>
        <w:ind w:left="0" w:firstLine="420"/>
      </w:pPr>
      <w:rPr>
        <w:rFonts w:hint="eastAsia"/>
      </w:rPr>
    </w:lvl>
  </w:abstractNum>
  <w:abstractNum w:abstractNumId="282">
    <w:nsid w:val="319B051C"/>
    <w:multiLevelType w:val="singleLevel"/>
    <w:tmpl w:val="319B051C"/>
    <w:lvl w:ilvl="0" w:tentative="0">
      <w:start w:val="1"/>
      <w:numFmt w:val="chineseCounting"/>
      <w:suff w:val="nothing"/>
      <w:lvlText w:val="（%1）"/>
      <w:lvlJc w:val="left"/>
      <w:pPr>
        <w:ind w:left="0" w:firstLine="420"/>
      </w:pPr>
      <w:rPr>
        <w:rFonts w:hint="eastAsia"/>
      </w:rPr>
    </w:lvl>
  </w:abstractNum>
  <w:abstractNum w:abstractNumId="283">
    <w:nsid w:val="31B39B9F"/>
    <w:multiLevelType w:val="singleLevel"/>
    <w:tmpl w:val="31B39B9F"/>
    <w:lvl w:ilvl="0" w:tentative="0">
      <w:start w:val="1"/>
      <w:numFmt w:val="chineseCounting"/>
      <w:suff w:val="nothing"/>
      <w:lvlText w:val="（%1）"/>
      <w:lvlJc w:val="left"/>
      <w:pPr>
        <w:ind w:left="0" w:firstLine="420"/>
      </w:pPr>
      <w:rPr>
        <w:rFonts w:hint="eastAsia"/>
      </w:rPr>
    </w:lvl>
  </w:abstractNum>
  <w:abstractNum w:abstractNumId="284">
    <w:nsid w:val="34AEA755"/>
    <w:multiLevelType w:val="singleLevel"/>
    <w:tmpl w:val="34AEA755"/>
    <w:lvl w:ilvl="0" w:tentative="0">
      <w:start w:val="1"/>
      <w:numFmt w:val="chineseCounting"/>
      <w:suff w:val="nothing"/>
      <w:lvlText w:val="（%1）"/>
      <w:lvlJc w:val="left"/>
      <w:pPr>
        <w:ind w:left="0" w:firstLine="420"/>
      </w:pPr>
      <w:rPr>
        <w:rFonts w:hint="eastAsia"/>
      </w:rPr>
    </w:lvl>
  </w:abstractNum>
  <w:abstractNum w:abstractNumId="285">
    <w:nsid w:val="3502D542"/>
    <w:multiLevelType w:val="singleLevel"/>
    <w:tmpl w:val="3502D542"/>
    <w:lvl w:ilvl="0" w:tentative="0">
      <w:start w:val="1"/>
      <w:numFmt w:val="decimal"/>
      <w:suff w:val="nothing"/>
      <w:lvlText w:val="%1."/>
      <w:lvlJc w:val="left"/>
      <w:pPr>
        <w:ind w:left="0" w:firstLine="0"/>
      </w:pPr>
      <w:rPr>
        <w:rFonts w:hint="default"/>
      </w:rPr>
    </w:lvl>
  </w:abstractNum>
  <w:abstractNum w:abstractNumId="286">
    <w:nsid w:val="354F47D4"/>
    <w:multiLevelType w:val="multilevel"/>
    <w:tmpl w:val="354F47D4"/>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87">
    <w:nsid w:val="357DCCD3"/>
    <w:multiLevelType w:val="singleLevel"/>
    <w:tmpl w:val="357DCCD3"/>
    <w:lvl w:ilvl="0" w:tentative="0">
      <w:start w:val="13"/>
      <w:numFmt w:val="decimal"/>
      <w:suff w:val="nothing"/>
      <w:lvlText w:val="(%1)"/>
      <w:lvlJc w:val="left"/>
      <w:pPr>
        <w:ind w:left="0" w:firstLine="0"/>
      </w:pPr>
      <w:rPr>
        <w:rFonts w:hint="default"/>
      </w:rPr>
    </w:lvl>
  </w:abstractNum>
  <w:abstractNum w:abstractNumId="288">
    <w:nsid w:val="35B1A0FA"/>
    <w:multiLevelType w:val="singleLevel"/>
    <w:tmpl w:val="35B1A0FA"/>
    <w:lvl w:ilvl="0" w:tentative="0">
      <w:start w:val="2"/>
      <w:numFmt w:val="decimalEnclosedCircleChinese"/>
      <w:suff w:val="nothing"/>
      <w:lvlText w:val="%1　"/>
      <w:lvlJc w:val="left"/>
      <w:pPr>
        <w:ind w:left="0" w:firstLine="0"/>
      </w:pPr>
      <w:rPr>
        <w:rFonts w:hint="eastAsia"/>
      </w:rPr>
    </w:lvl>
  </w:abstractNum>
  <w:abstractNum w:abstractNumId="289">
    <w:nsid w:val="36408143"/>
    <w:multiLevelType w:val="singleLevel"/>
    <w:tmpl w:val="36408143"/>
    <w:lvl w:ilvl="0" w:tentative="0">
      <w:start w:val="1"/>
      <w:numFmt w:val="decimal"/>
      <w:suff w:val="nothing"/>
      <w:lvlText w:val="%1."/>
      <w:lvlJc w:val="left"/>
      <w:pPr>
        <w:ind w:left="0" w:firstLine="0"/>
      </w:pPr>
      <w:rPr>
        <w:rFonts w:hint="default"/>
      </w:rPr>
    </w:lvl>
  </w:abstractNum>
  <w:abstractNum w:abstractNumId="290">
    <w:nsid w:val="36D48243"/>
    <w:multiLevelType w:val="singleLevel"/>
    <w:tmpl w:val="36D48243"/>
    <w:lvl w:ilvl="0" w:tentative="0">
      <w:start w:val="1"/>
      <w:numFmt w:val="chineseCounting"/>
      <w:suff w:val="nothing"/>
      <w:lvlText w:val="（%1）"/>
      <w:lvlJc w:val="left"/>
      <w:pPr>
        <w:ind w:left="0" w:firstLine="420"/>
      </w:pPr>
      <w:rPr>
        <w:rFonts w:hint="eastAsia"/>
      </w:rPr>
    </w:lvl>
  </w:abstractNum>
  <w:abstractNum w:abstractNumId="291">
    <w:nsid w:val="37C6C256"/>
    <w:multiLevelType w:val="singleLevel"/>
    <w:tmpl w:val="37C6C256"/>
    <w:lvl w:ilvl="0" w:tentative="0">
      <w:start w:val="1"/>
      <w:numFmt w:val="decimal"/>
      <w:suff w:val="nothing"/>
      <w:lvlText w:val="%1."/>
      <w:lvlJc w:val="left"/>
      <w:pPr>
        <w:ind w:left="0" w:firstLine="0"/>
      </w:pPr>
      <w:rPr>
        <w:rFonts w:hint="default"/>
      </w:rPr>
    </w:lvl>
  </w:abstractNum>
  <w:abstractNum w:abstractNumId="292">
    <w:nsid w:val="38189E2B"/>
    <w:multiLevelType w:val="singleLevel"/>
    <w:tmpl w:val="38189E2B"/>
    <w:lvl w:ilvl="0" w:tentative="0">
      <w:start w:val="1"/>
      <w:numFmt w:val="chineseCounting"/>
      <w:suff w:val="nothing"/>
      <w:lvlText w:val="（%1）"/>
      <w:lvlJc w:val="left"/>
      <w:pPr>
        <w:ind w:left="0" w:firstLine="420"/>
      </w:pPr>
      <w:rPr>
        <w:rFonts w:hint="eastAsia"/>
      </w:rPr>
    </w:lvl>
  </w:abstractNum>
  <w:abstractNum w:abstractNumId="293">
    <w:nsid w:val="38908F5D"/>
    <w:multiLevelType w:val="singleLevel"/>
    <w:tmpl w:val="38908F5D"/>
    <w:lvl w:ilvl="0" w:tentative="0">
      <w:start w:val="1"/>
      <w:numFmt w:val="chineseCounting"/>
      <w:suff w:val="nothing"/>
      <w:lvlText w:val="（%1）"/>
      <w:lvlJc w:val="left"/>
      <w:pPr>
        <w:ind w:left="0" w:firstLine="420"/>
      </w:pPr>
      <w:rPr>
        <w:rFonts w:hint="eastAsia"/>
      </w:rPr>
    </w:lvl>
  </w:abstractNum>
  <w:abstractNum w:abstractNumId="294">
    <w:nsid w:val="39472772"/>
    <w:multiLevelType w:val="singleLevel"/>
    <w:tmpl w:val="39472772"/>
    <w:lvl w:ilvl="0" w:tentative="0">
      <w:start w:val="1"/>
      <w:numFmt w:val="chineseCounting"/>
      <w:suff w:val="nothing"/>
      <w:lvlText w:val="（%1）"/>
      <w:lvlJc w:val="left"/>
      <w:pPr>
        <w:ind w:left="0" w:firstLine="420"/>
      </w:pPr>
      <w:rPr>
        <w:rFonts w:hint="eastAsia"/>
      </w:rPr>
    </w:lvl>
  </w:abstractNum>
  <w:abstractNum w:abstractNumId="295">
    <w:nsid w:val="39D4F824"/>
    <w:multiLevelType w:val="singleLevel"/>
    <w:tmpl w:val="39D4F824"/>
    <w:lvl w:ilvl="0" w:tentative="0">
      <w:start w:val="1"/>
      <w:numFmt w:val="decimal"/>
      <w:suff w:val="nothing"/>
      <w:lvlText w:val="(%1)"/>
      <w:lvlJc w:val="left"/>
      <w:pPr>
        <w:ind w:left="0" w:firstLine="0"/>
      </w:pPr>
      <w:rPr>
        <w:rFonts w:hint="default"/>
      </w:rPr>
    </w:lvl>
  </w:abstractNum>
  <w:abstractNum w:abstractNumId="296">
    <w:nsid w:val="3A2B9E94"/>
    <w:multiLevelType w:val="singleLevel"/>
    <w:tmpl w:val="3A2B9E94"/>
    <w:lvl w:ilvl="0" w:tentative="0">
      <w:start w:val="1"/>
      <w:numFmt w:val="decimal"/>
      <w:suff w:val="nothing"/>
      <w:lvlText w:val="%1."/>
      <w:lvlJc w:val="left"/>
      <w:pPr>
        <w:ind w:left="0" w:firstLine="0"/>
      </w:pPr>
      <w:rPr>
        <w:rFonts w:hint="default"/>
      </w:rPr>
    </w:lvl>
  </w:abstractNum>
  <w:abstractNum w:abstractNumId="297">
    <w:nsid w:val="3A3F5C19"/>
    <w:multiLevelType w:val="singleLevel"/>
    <w:tmpl w:val="3A3F5C19"/>
    <w:lvl w:ilvl="0" w:tentative="0">
      <w:start w:val="1"/>
      <w:numFmt w:val="decimal"/>
      <w:suff w:val="nothing"/>
      <w:lvlText w:val="%1."/>
      <w:lvlJc w:val="left"/>
      <w:pPr>
        <w:ind w:left="0" w:firstLine="0"/>
      </w:pPr>
      <w:rPr>
        <w:rFonts w:hint="default"/>
      </w:rPr>
    </w:lvl>
  </w:abstractNum>
  <w:abstractNum w:abstractNumId="298">
    <w:nsid w:val="3A6D26BB"/>
    <w:multiLevelType w:val="singleLevel"/>
    <w:tmpl w:val="3A6D26BB"/>
    <w:lvl w:ilvl="0" w:tentative="0">
      <w:start w:val="1"/>
      <w:numFmt w:val="decimal"/>
      <w:suff w:val="nothing"/>
      <w:lvlText w:val="%1."/>
      <w:lvlJc w:val="left"/>
      <w:pPr>
        <w:ind w:left="0" w:firstLine="0"/>
      </w:pPr>
      <w:rPr>
        <w:rFonts w:hint="default"/>
      </w:rPr>
    </w:lvl>
  </w:abstractNum>
  <w:abstractNum w:abstractNumId="299">
    <w:nsid w:val="3BA01FC9"/>
    <w:multiLevelType w:val="singleLevel"/>
    <w:tmpl w:val="3BA01FC9"/>
    <w:lvl w:ilvl="0" w:tentative="0">
      <w:start w:val="1"/>
      <w:numFmt w:val="chineseCounting"/>
      <w:suff w:val="nothing"/>
      <w:lvlText w:val="（%1）"/>
      <w:lvlJc w:val="left"/>
      <w:pPr>
        <w:ind w:left="0" w:firstLine="420"/>
      </w:pPr>
      <w:rPr>
        <w:rFonts w:hint="eastAsia"/>
      </w:rPr>
    </w:lvl>
  </w:abstractNum>
  <w:abstractNum w:abstractNumId="300">
    <w:nsid w:val="3BFD6277"/>
    <w:multiLevelType w:val="singleLevel"/>
    <w:tmpl w:val="3BFD6277"/>
    <w:lvl w:ilvl="0" w:tentative="0">
      <w:start w:val="1"/>
      <w:numFmt w:val="decimal"/>
      <w:suff w:val="nothing"/>
      <w:lvlText w:val="%1."/>
      <w:lvlJc w:val="left"/>
      <w:pPr>
        <w:ind w:left="0" w:firstLine="0"/>
      </w:pPr>
      <w:rPr>
        <w:rFonts w:hint="default"/>
      </w:rPr>
    </w:lvl>
  </w:abstractNum>
  <w:abstractNum w:abstractNumId="301">
    <w:nsid w:val="3C703973"/>
    <w:multiLevelType w:val="singleLevel"/>
    <w:tmpl w:val="3C703973"/>
    <w:lvl w:ilvl="0" w:tentative="0">
      <w:start w:val="1"/>
      <w:numFmt w:val="chineseCounting"/>
      <w:suff w:val="nothing"/>
      <w:lvlText w:val="（%1）"/>
      <w:lvlJc w:val="left"/>
      <w:pPr>
        <w:ind w:left="0" w:firstLine="420"/>
      </w:pPr>
      <w:rPr>
        <w:rFonts w:hint="eastAsia"/>
      </w:rPr>
    </w:lvl>
  </w:abstractNum>
  <w:abstractNum w:abstractNumId="302">
    <w:nsid w:val="3CE317C9"/>
    <w:multiLevelType w:val="multilevel"/>
    <w:tmpl w:val="3CE317C9"/>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03">
    <w:nsid w:val="3DA4F0C1"/>
    <w:multiLevelType w:val="singleLevel"/>
    <w:tmpl w:val="3DA4F0C1"/>
    <w:lvl w:ilvl="0" w:tentative="0">
      <w:start w:val="1"/>
      <w:numFmt w:val="chineseCounting"/>
      <w:suff w:val="nothing"/>
      <w:lvlText w:val="（%1）"/>
      <w:lvlJc w:val="left"/>
      <w:pPr>
        <w:ind w:left="0" w:firstLine="420"/>
      </w:pPr>
      <w:rPr>
        <w:rFonts w:hint="eastAsia"/>
      </w:rPr>
    </w:lvl>
  </w:abstractNum>
  <w:abstractNum w:abstractNumId="304">
    <w:nsid w:val="3DD37D25"/>
    <w:multiLevelType w:val="singleLevel"/>
    <w:tmpl w:val="3DD37D25"/>
    <w:lvl w:ilvl="0" w:tentative="0">
      <w:start w:val="1"/>
      <w:numFmt w:val="decimal"/>
      <w:suff w:val="nothing"/>
      <w:lvlText w:val="(%1)"/>
      <w:lvlJc w:val="left"/>
      <w:pPr>
        <w:ind w:left="0" w:firstLine="0"/>
      </w:pPr>
      <w:rPr>
        <w:rFonts w:hint="default"/>
      </w:rPr>
    </w:lvl>
  </w:abstractNum>
  <w:abstractNum w:abstractNumId="305">
    <w:nsid w:val="3E2DA11A"/>
    <w:multiLevelType w:val="singleLevel"/>
    <w:tmpl w:val="3E2DA11A"/>
    <w:lvl w:ilvl="0" w:tentative="0">
      <w:start w:val="1"/>
      <w:numFmt w:val="chineseCounting"/>
      <w:suff w:val="nothing"/>
      <w:lvlText w:val="（%1）"/>
      <w:lvlJc w:val="left"/>
      <w:pPr>
        <w:ind w:left="0" w:firstLine="420"/>
      </w:pPr>
      <w:rPr>
        <w:rFonts w:hint="eastAsia"/>
        <w:b/>
        <w:bCs/>
      </w:rPr>
    </w:lvl>
  </w:abstractNum>
  <w:abstractNum w:abstractNumId="306">
    <w:nsid w:val="3E606E18"/>
    <w:multiLevelType w:val="singleLevel"/>
    <w:tmpl w:val="3E606E18"/>
    <w:lvl w:ilvl="0" w:tentative="0">
      <w:start w:val="1"/>
      <w:numFmt w:val="chineseCounting"/>
      <w:suff w:val="nothing"/>
      <w:lvlText w:val="（%1）"/>
      <w:lvlJc w:val="left"/>
      <w:pPr>
        <w:ind w:left="0" w:firstLine="420"/>
      </w:pPr>
      <w:rPr>
        <w:rFonts w:hint="eastAsia"/>
      </w:rPr>
    </w:lvl>
  </w:abstractNum>
  <w:abstractNum w:abstractNumId="307">
    <w:nsid w:val="3EEE7075"/>
    <w:multiLevelType w:val="singleLevel"/>
    <w:tmpl w:val="3EEE7075"/>
    <w:lvl w:ilvl="0" w:tentative="0">
      <w:start w:val="1"/>
      <w:numFmt w:val="chineseCounting"/>
      <w:suff w:val="nothing"/>
      <w:lvlText w:val="（%1）"/>
      <w:lvlJc w:val="left"/>
      <w:pPr>
        <w:ind w:left="0" w:firstLine="420"/>
      </w:pPr>
      <w:rPr>
        <w:rFonts w:hint="eastAsia"/>
      </w:rPr>
    </w:lvl>
  </w:abstractNum>
  <w:abstractNum w:abstractNumId="308">
    <w:nsid w:val="3F1BC1AA"/>
    <w:multiLevelType w:val="singleLevel"/>
    <w:tmpl w:val="3F1BC1AA"/>
    <w:lvl w:ilvl="0" w:tentative="0">
      <w:start w:val="1"/>
      <w:numFmt w:val="decimal"/>
      <w:suff w:val="nothing"/>
      <w:lvlText w:val="%1."/>
      <w:lvlJc w:val="left"/>
      <w:pPr>
        <w:ind w:left="0" w:firstLine="0"/>
      </w:pPr>
      <w:rPr>
        <w:rFonts w:hint="default"/>
      </w:rPr>
    </w:lvl>
  </w:abstractNum>
  <w:abstractNum w:abstractNumId="309">
    <w:nsid w:val="3FF95389"/>
    <w:multiLevelType w:val="singleLevel"/>
    <w:tmpl w:val="3FF95389"/>
    <w:lvl w:ilvl="0" w:tentative="0">
      <w:start w:val="1"/>
      <w:numFmt w:val="decimal"/>
      <w:suff w:val="nothing"/>
      <w:lvlText w:val="%1."/>
      <w:lvlJc w:val="left"/>
      <w:pPr>
        <w:ind w:left="0" w:firstLine="0"/>
      </w:pPr>
      <w:rPr>
        <w:rFonts w:hint="default"/>
      </w:rPr>
    </w:lvl>
  </w:abstractNum>
  <w:abstractNum w:abstractNumId="310">
    <w:nsid w:val="406C79FA"/>
    <w:multiLevelType w:val="singleLevel"/>
    <w:tmpl w:val="406C79FA"/>
    <w:lvl w:ilvl="0" w:tentative="0">
      <w:start w:val="1"/>
      <w:numFmt w:val="decimal"/>
      <w:suff w:val="nothing"/>
      <w:lvlText w:val="%1."/>
      <w:lvlJc w:val="left"/>
      <w:pPr>
        <w:ind w:left="0" w:firstLine="0"/>
      </w:pPr>
      <w:rPr>
        <w:rFonts w:hint="default"/>
      </w:rPr>
    </w:lvl>
  </w:abstractNum>
  <w:abstractNum w:abstractNumId="311">
    <w:nsid w:val="418DB584"/>
    <w:multiLevelType w:val="singleLevel"/>
    <w:tmpl w:val="418DB584"/>
    <w:lvl w:ilvl="0" w:tentative="0">
      <w:start w:val="1"/>
      <w:numFmt w:val="chineseCounting"/>
      <w:suff w:val="nothing"/>
      <w:lvlText w:val="（%1）"/>
      <w:lvlJc w:val="left"/>
      <w:pPr>
        <w:ind w:left="0" w:firstLine="420"/>
      </w:pPr>
      <w:rPr>
        <w:rFonts w:hint="eastAsia"/>
      </w:rPr>
    </w:lvl>
  </w:abstractNum>
  <w:abstractNum w:abstractNumId="312">
    <w:nsid w:val="41B2770C"/>
    <w:multiLevelType w:val="singleLevel"/>
    <w:tmpl w:val="41B2770C"/>
    <w:lvl w:ilvl="0" w:tentative="0">
      <w:start w:val="1"/>
      <w:numFmt w:val="chineseCounting"/>
      <w:suff w:val="nothing"/>
      <w:lvlText w:val="（%1）"/>
      <w:lvlJc w:val="left"/>
      <w:pPr>
        <w:ind w:left="0" w:firstLine="420"/>
      </w:pPr>
      <w:rPr>
        <w:rFonts w:hint="eastAsia"/>
      </w:rPr>
    </w:lvl>
  </w:abstractNum>
  <w:abstractNum w:abstractNumId="313">
    <w:nsid w:val="41E7961C"/>
    <w:multiLevelType w:val="singleLevel"/>
    <w:tmpl w:val="41E7961C"/>
    <w:lvl w:ilvl="0" w:tentative="0">
      <w:start w:val="1"/>
      <w:numFmt w:val="chineseCounting"/>
      <w:suff w:val="nothing"/>
      <w:lvlText w:val="（%1）"/>
      <w:lvlJc w:val="left"/>
      <w:pPr>
        <w:ind w:left="0" w:firstLine="420"/>
      </w:pPr>
      <w:rPr>
        <w:rFonts w:hint="eastAsia"/>
      </w:rPr>
    </w:lvl>
  </w:abstractNum>
  <w:abstractNum w:abstractNumId="314">
    <w:nsid w:val="44281EC0"/>
    <w:multiLevelType w:val="singleLevel"/>
    <w:tmpl w:val="44281EC0"/>
    <w:lvl w:ilvl="0" w:tentative="0">
      <w:start w:val="1"/>
      <w:numFmt w:val="chineseCounting"/>
      <w:suff w:val="nothing"/>
      <w:lvlText w:val="（%1）"/>
      <w:lvlJc w:val="left"/>
      <w:pPr>
        <w:ind w:left="0" w:firstLine="420"/>
      </w:pPr>
      <w:rPr>
        <w:rFonts w:hint="eastAsia"/>
      </w:rPr>
    </w:lvl>
  </w:abstractNum>
  <w:abstractNum w:abstractNumId="315">
    <w:nsid w:val="4462BDA3"/>
    <w:multiLevelType w:val="singleLevel"/>
    <w:tmpl w:val="4462BDA3"/>
    <w:lvl w:ilvl="0" w:tentative="0">
      <w:start w:val="1"/>
      <w:numFmt w:val="chineseCounting"/>
      <w:suff w:val="nothing"/>
      <w:lvlText w:val="（%1）"/>
      <w:lvlJc w:val="left"/>
      <w:pPr>
        <w:ind w:left="0" w:firstLine="420"/>
      </w:pPr>
      <w:rPr>
        <w:rFonts w:hint="eastAsia"/>
      </w:rPr>
    </w:lvl>
  </w:abstractNum>
  <w:abstractNum w:abstractNumId="316">
    <w:nsid w:val="44FA5845"/>
    <w:multiLevelType w:val="singleLevel"/>
    <w:tmpl w:val="44FA5845"/>
    <w:lvl w:ilvl="0" w:tentative="0">
      <w:start w:val="1"/>
      <w:numFmt w:val="decimal"/>
      <w:suff w:val="nothing"/>
      <w:lvlText w:val="%1."/>
      <w:lvlJc w:val="left"/>
      <w:pPr>
        <w:ind w:left="0" w:firstLine="0"/>
      </w:pPr>
      <w:rPr>
        <w:rFonts w:hint="default"/>
      </w:rPr>
    </w:lvl>
  </w:abstractNum>
  <w:abstractNum w:abstractNumId="317">
    <w:nsid w:val="45697DB0"/>
    <w:multiLevelType w:val="singleLevel"/>
    <w:tmpl w:val="45697DB0"/>
    <w:lvl w:ilvl="0" w:tentative="0">
      <w:start w:val="1"/>
      <w:numFmt w:val="chineseCounting"/>
      <w:suff w:val="nothing"/>
      <w:lvlText w:val="（%1）"/>
      <w:lvlJc w:val="left"/>
      <w:pPr>
        <w:ind w:left="0" w:firstLine="420"/>
      </w:pPr>
      <w:rPr>
        <w:rFonts w:hint="eastAsia"/>
      </w:rPr>
    </w:lvl>
  </w:abstractNum>
  <w:abstractNum w:abstractNumId="318">
    <w:nsid w:val="4713A3B4"/>
    <w:multiLevelType w:val="singleLevel"/>
    <w:tmpl w:val="4713A3B4"/>
    <w:lvl w:ilvl="0" w:tentative="0">
      <w:start w:val="1"/>
      <w:numFmt w:val="chineseCounting"/>
      <w:suff w:val="nothing"/>
      <w:lvlText w:val="（%1）"/>
      <w:lvlJc w:val="left"/>
      <w:pPr>
        <w:ind w:left="0" w:firstLine="420"/>
      </w:pPr>
      <w:rPr>
        <w:rFonts w:hint="eastAsia"/>
      </w:rPr>
    </w:lvl>
  </w:abstractNum>
  <w:abstractNum w:abstractNumId="319">
    <w:nsid w:val="47B77F70"/>
    <w:multiLevelType w:val="multilevel"/>
    <w:tmpl w:val="47B77F70"/>
    <w:lvl w:ilvl="0" w:tentative="0">
      <w:start w:val="1"/>
      <w:numFmt w:val="japaneseCounting"/>
      <w:lvlText w:val="第%1条"/>
      <w:lvlJc w:val="left"/>
      <w:pPr>
        <w:ind w:left="1557" w:hanging="990"/>
      </w:pPr>
      <w:rPr>
        <w:rFonts w:hint="eastAsia" w:ascii="仿宋" w:hAnsi="仿宋" w:eastAsia="仿宋" w:cs="仿宋"/>
        <w:b/>
        <w:color w:val="auto"/>
        <w:sz w:val="28"/>
        <w:szCs w:val="28"/>
        <w:lang w:val="en-US"/>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320">
    <w:nsid w:val="47CC7D7C"/>
    <w:multiLevelType w:val="singleLevel"/>
    <w:tmpl w:val="47CC7D7C"/>
    <w:lvl w:ilvl="0" w:tentative="0">
      <w:start w:val="1"/>
      <w:numFmt w:val="decimal"/>
      <w:suff w:val="nothing"/>
      <w:lvlText w:val="%1."/>
      <w:lvlJc w:val="left"/>
      <w:pPr>
        <w:ind w:left="0" w:firstLine="0"/>
      </w:pPr>
      <w:rPr>
        <w:rFonts w:hint="default"/>
      </w:rPr>
    </w:lvl>
  </w:abstractNum>
  <w:abstractNum w:abstractNumId="321">
    <w:nsid w:val="48E11D20"/>
    <w:multiLevelType w:val="multilevel"/>
    <w:tmpl w:val="48E11D20"/>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22">
    <w:nsid w:val="49124997"/>
    <w:multiLevelType w:val="singleLevel"/>
    <w:tmpl w:val="49124997"/>
    <w:lvl w:ilvl="0" w:tentative="0">
      <w:start w:val="1"/>
      <w:numFmt w:val="decimal"/>
      <w:suff w:val="nothing"/>
      <w:lvlText w:val="%1．"/>
      <w:lvlJc w:val="left"/>
      <w:pPr>
        <w:ind w:left="0" w:firstLine="400"/>
      </w:pPr>
      <w:rPr>
        <w:rFonts w:hint="default"/>
      </w:rPr>
    </w:lvl>
  </w:abstractNum>
  <w:abstractNum w:abstractNumId="323">
    <w:nsid w:val="494073E3"/>
    <w:multiLevelType w:val="singleLevel"/>
    <w:tmpl w:val="494073E3"/>
    <w:lvl w:ilvl="0" w:tentative="0">
      <w:start w:val="1"/>
      <w:numFmt w:val="chineseCounting"/>
      <w:suff w:val="nothing"/>
      <w:lvlText w:val="（%1）"/>
      <w:lvlJc w:val="left"/>
      <w:pPr>
        <w:ind w:left="0" w:firstLine="420"/>
      </w:pPr>
      <w:rPr>
        <w:rFonts w:hint="eastAsia"/>
      </w:rPr>
    </w:lvl>
  </w:abstractNum>
  <w:abstractNum w:abstractNumId="324">
    <w:nsid w:val="494EB3BC"/>
    <w:multiLevelType w:val="singleLevel"/>
    <w:tmpl w:val="494EB3BC"/>
    <w:lvl w:ilvl="0" w:tentative="0">
      <w:start w:val="1"/>
      <w:numFmt w:val="decimal"/>
      <w:suff w:val="nothing"/>
      <w:lvlText w:val="%1."/>
      <w:lvlJc w:val="left"/>
      <w:pPr>
        <w:ind w:left="0" w:firstLine="0"/>
      </w:pPr>
      <w:rPr>
        <w:rFonts w:hint="default"/>
        <w:b w:val="0"/>
        <w:bCs w:val="0"/>
      </w:rPr>
    </w:lvl>
  </w:abstractNum>
  <w:abstractNum w:abstractNumId="325">
    <w:nsid w:val="49E046F2"/>
    <w:multiLevelType w:val="singleLevel"/>
    <w:tmpl w:val="49E046F2"/>
    <w:lvl w:ilvl="0" w:tentative="0">
      <w:start w:val="1"/>
      <w:numFmt w:val="chineseCounting"/>
      <w:suff w:val="nothing"/>
      <w:lvlText w:val="（%1）"/>
      <w:lvlJc w:val="left"/>
      <w:pPr>
        <w:ind w:left="0" w:firstLine="420"/>
      </w:pPr>
      <w:rPr>
        <w:rFonts w:hint="eastAsia"/>
      </w:rPr>
    </w:lvl>
  </w:abstractNum>
  <w:abstractNum w:abstractNumId="326">
    <w:nsid w:val="4A0F638C"/>
    <w:multiLevelType w:val="multilevel"/>
    <w:tmpl w:val="4A0F638C"/>
    <w:lvl w:ilvl="0" w:tentative="0">
      <w:start w:val="3"/>
      <w:numFmt w:val="bullet"/>
      <w:pStyle w:val="25"/>
      <w:lvlText w:val="·"/>
      <w:lvlJc w:val="left"/>
      <w:pPr>
        <w:tabs>
          <w:tab w:val="left" w:pos="420"/>
        </w:tabs>
        <w:ind w:left="1140" w:hanging="360"/>
      </w:pPr>
      <w:rPr>
        <w:rFonts w:hint="eastAsia" w:ascii="等线" w:hAnsi="等线" w:eastAsia="等线" w:cs="Times New Roman"/>
      </w:rPr>
    </w:lvl>
    <w:lvl w:ilvl="1" w:tentative="0">
      <w:start w:val="1"/>
      <w:numFmt w:val="bullet"/>
      <w:lvlText w:val="o"/>
      <w:lvlJc w:val="left"/>
      <w:pPr>
        <w:tabs>
          <w:tab w:val="left" w:pos="420"/>
        </w:tabs>
        <w:ind w:left="1980" w:hanging="360"/>
      </w:pPr>
      <w:rPr>
        <w:rFonts w:hint="default" w:ascii="Courier New" w:hAnsi="Courier New" w:cs="Courier New"/>
      </w:rPr>
    </w:lvl>
    <w:lvl w:ilvl="2" w:tentative="0">
      <w:start w:val="1"/>
      <w:numFmt w:val="bullet"/>
      <w:lvlText w:val=""/>
      <w:lvlJc w:val="left"/>
      <w:pPr>
        <w:tabs>
          <w:tab w:val="left" w:pos="420"/>
        </w:tabs>
        <w:ind w:left="2580" w:hanging="360"/>
      </w:pPr>
      <w:rPr>
        <w:rFonts w:hint="default" w:ascii="Wingdings" w:hAnsi="Wingdings"/>
      </w:rPr>
    </w:lvl>
    <w:lvl w:ilvl="3" w:tentative="0">
      <w:start w:val="1"/>
      <w:numFmt w:val="bullet"/>
      <w:lvlText w:val=""/>
      <w:lvlJc w:val="left"/>
      <w:pPr>
        <w:tabs>
          <w:tab w:val="left" w:pos="420"/>
        </w:tabs>
        <w:ind w:left="3300" w:hanging="360"/>
      </w:pPr>
      <w:rPr>
        <w:rFonts w:hint="default" w:ascii="Symbol" w:hAnsi="Symbol"/>
      </w:rPr>
    </w:lvl>
    <w:lvl w:ilvl="4" w:tentative="0">
      <w:start w:val="1"/>
      <w:numFmt w:val="bullet"/>
      <w:lvlText w:val="o"/>
      <w:lvlJc w:val="left"/>
      <w:pPr>
        <w:tabs>
          <w:tab w:val="left" w:pos="420"/>
        </w:tabs>
        <w:ind w:left="4020" w:hanging="360"/>
      </w:pPr>
      <w:rPr>
        <w:rFonts w:hint="default" w:ascii="Courier New" w:hAnsi="Courier New" w:cs="Courier New"/>
      </w:rPr>
    </w:lvl>
    <w:lvl w:ilvl="5" w:tentative="0">
      <w:start w:val="1"/>
      <w:numFmt w:val="bullet"/>
      <w:lvlText w:val=""/>
      <w:lvlJc w:val="left"/>
      <w:pPr>
        <w:tabs>
          <w:tab w:val="left" w:pos="420"/>
        </w:tabs>
        <w:ind w:left="4740" w:hanging="360"/>
      </w:pPr>
      <w:rPr>
        <w:rFonts w:hint="default" w:ascii="Wingdings" w:hAnsi="Wingdings"/>
      </w:rPr>
    </w:lvl>
    <w:lvl w:ilvl="6" w:tentative="0">
      <w:start w:val="1"/>
      <w:numFmt w:val="bullet"/>
      <w:lvlText w:val=""/>
      <w:lvlJc w:val="left"/>
      <w:pPr>
        <w:tabs>
          <w:tab w:val="left" w:pos="420"/>
        </w:tabs>
        <w:ind w:left="5460" w:hanging="360"/>
      </w:pPr>
      <w:rPr>
        <w:rFonts w:hint="default" w:ascii="Symbol" w:hAnsi="Symbol"/>
      </w:rPr>
    </w:lvl>
    <w:lvl w:ilvl="7" w:tentative="0">
      <w:start w:val="1"/>
      <w:numFmt w:val="bullet"/>
      <w:lvlText w:val="o"/>
      <w:lvlJc w:val="left"/>
      <w:pPr>
        <w:tabs>
          <w:tab w:val="left" w:pos="420"/>
        </w:tabs>
        <w:ind w:left="6180" w:hanging="360"/>
      </w:pPr>
      <w:rPr>
        <w:rFonts w:hint="default" w:ascii="Courier New" w:hAnsi="Courier New" w:cs="Courier New"/>
      </w:rPr>
    </w:lvl>
    <w:lvl w:ilvl="8" w:tentative="0">
      <w:start w:val="1"/>
      <w:numFmt w:val="bullet"/>
      <w:lvlText w:val=""/>
      <w:lvlJc w:val="left"/>
      <w:pPr>
        <w:tabs>
          <w:tab w:val="left" w:pos="420"/>
        </w:tabs>
        <w:ind w:left="6900" w:hanging="360"/>
      </w:pPr>
      <w:rPr>
        <w:rFonts w:hint="default" w:ascii="Wingdings" w:hAnsi="Wingdings"/>
      </w:rPr>
    </w:lvl>
  </w:abstractNum>
  <w:abstractNum w:abstractNumId="327">
    <w:nsid w:val="4A479E78"/>
    <w:multiLevelType w:val="singleLevel"/>
    <w:tmpl w:val="4A479E78"/>
    <w:lvl w:ilvl="0" w:tentative="0">
      <w:start w:val="1"/>
      <w:numFmt w:val="chineseCounting"/>
      <w:suff w:val="space"/>
      <w:lvlText w:val="第%1章"/>
      <w:lvlJc w:val="left"/>
      <w:rPr>
        <w:rFonts w:hint="eastAsia"/>
      </w:rPr>
    </w:lvl>
  </w:abstractNum>
  <w:abstractNum w:abstractNumId="328">
    <w:nsid w:val="4A8A885B"/>
    <w:multiLevelType w:val="singleLevel"/>
    <w:tmpl w:val="4A8A885B"/>
    <w:lvl w:ilvl="0" w:tentative="0">
      <w:start w:val="1"/>
      <w:numFmt w:val="chineseCounting"/>
      <w:suff w:val="nothing"/>
      <w:lvlText w:val="（%1）"/>
      <w:lvlJc w:val="left"/>
      <w:pPr>
        <w:ind w:left="0" w:firstLine="420"/>
      </w:pPr>
      <w:rPr>
        <w:rFonts w:hint="eastAsia"/>
      </w:rPr>
    </w:lvl>
  </w:abstractNum>
  <w:abstractNum w:abstractNumId="329">
    <w:nsid w:val="4B34399D"/>
    <w:multiLevelType w:val="singleLevel"/>
    <w:tmpl w:val="4B34399D"/>
    <w:lvl w:ilvl="0" w:tentative="0">
      <w:start w:val="1"/>
      <w:numFmt w:val="chineseCounting"/>
      <w:suff w:val="nothing"/>
      <w:lvlText w:val="（%1）"/>
      <w:lvlJc w:val="left"/>
      <w:rPr>
        <w:rFonts w:hint="eastAsia"/>
      </w:rPr>
    </w:lvl>
  </w:abstractNum>
  <w:abstractNum w:abstractNumId="330">
    <w:nsid w:val="4BAB3169"/>
    <w:multiLevelType w:val="singleLevel"/>
    <w:tmpl w:val="4BAB3169"/>
    <w:lvl w:ilvl="0" w:tentative="0">
      <w:start w:val="1"/>
      <w:numFmt w:val="decimal"/>
      <w:suff w:val="nothing"/>
      <w:lvlText w:val="%1."/>
      <w:lvlJc w:val="left"/>
      <w:pPr>
        <w:ind w:left="0" w:firstLine="0"/>
      </w:pPr>
      <w:rPr>
        <w:rFonts w:hint="default"/>
      </w:rPr>
    </w:lvl>
  </w:abstractNum>
  <w:abstractNum w:abstractNumId="331">
    <w:nsid w:val="4BF25829"/>
    <w:multiLevelType w:val="singleLevel"/>
    <w:tmpl w:val="4BF25829"/>
    <w:lvl w:ilvl="0" w:tentative="0">
      <w:start w:val="1"/>
      <w:numFmt w:val="decimal"/>
      <w:suff w:val="nothing"/>
      <w:lvlText w:val="%1."/>
      <w:lvlJc w:val="left"/>
      <w:pPr>
        <w:ind w:left="0" w:firstLine="0"/>
      </w:pPr>
      <w:rPr>
        <w:rFonts w:hint="default"/>
      </w:rPr>
    </w:lvl>
  </w:abstractNum>
  <w:abstractNum w:abstractNumId="332">
    <w:nsid w:val="4CBE5F98"/>
    <w:multiLevelType w:val="singleLevel"/>
    <w:tmpl w:val="4CBE5F98"/>
    <w:lvl w:ilvl="0" w:tentative="0">
      <w:start w:val="1"/>
      <w:numFmt w:val="decimal"/>
      <w:suff w:val="nothing"/>
      <w:lvlText w:val="%1."/>
      <w:lvlJc w:val="left"/>
      <w:pPr>
        <w:ind w:left="0" w:firstLine="0"/>
      </w:pPr>
      <w:rPr>
        <w:rFonts w:hint="default"/>
      </w:rPr>
    </w:lvl>
  </w:abstractNum>
  <w:abstractNum w:abstractNumId="333">
    <w:nsid w:val="4D34254F"/>
    <w:multiLevelType w:val="singleLevel"/>
    <w:tmpl w:val="4D34254F"/>
    <w:lvl w:ilvl="0" w:tentative="0">
      <w:start w:val="1"/>
      <w:numFmt w:val="chineseCounting"/>
      <w:suff w:val="nothing"/>
      <w:lvlText w:val="（%1）"/>
      <w:lvlJc w:val="left"/>
      <w:pPr>
        <w:ind w:left="0" w:firstLine="420"/>
      </w:pPr>
      <w:rPr>
        <w:rFonts w:hint="eastAsia"/>
      </w:rPr>
    </w:lvl>
  </w:abstractNum>
  <w:abstractNum w:abstractNumId="334">
    <w:nsid w:val="4E48114F"/>
    <w:multiLevelType w:val="singleLevel"/>
    <w:tmpl w:val="4E48114F"/>
    <w:lvl w:ilvl="0" w:tentative="0">
      <w:start w:val="1"/>
      <w:numFmt w:val="chineseCounting"/>
      <w:suff w:val="nothing"/>
      <w:lvlText w:val="（%1）"/>
      <w:lvlJc w:val="left"/>
      <w:pPr>
        <w:ind w:left="0" w:firstLine="420"/>
      </w:pPr>
      <w:rPr>
        <w:rFonts w:hint="eastAsia"/>
      </w:rPr>
    </w:lvl>
  </w:abstractNum>
  <w:abstractNum w:abstractNumId="335">
    <w:nsid w:val="4F8DF1B9"/>
    <w:multiLevelType w:val="singleLevel"/>
    <w:tmpl w:val="4F8DF1B9"/>
    <w:lvl w:ilvl="0" w:tentative="0">
      <w:start w:val="1"/>
      <w:numFmt w:val="chineseCounting"/>
      <w:suff w:val="nothing"/>
      <w:lvlText w:val="（%1）"/>
      <w:lvlJc w:val="left"/>
      <w:pPr>
        <w:ind w:left="0" w:firstLine="420"/>
      </w:pPr>
      <w:rPr>
        <w:rFonts w:hint="eastAsia"/>
      </w:rPr>
    </w:lvl>
  </w:abstractNum>
  <w:abstractNum w:abstractNumId="336">
    <w:nsid w:val="5053E65B"/>
    <w:multiLevelType w:val="singleLevel"/>
    <w:tmpl w:val="5053E65B"/>
    <w:lvl w:ilvl="0" w:tentative="0">
      <w:start w:val="1"/>
      <w:numFmt w:val="chineseCounting"/>
      <w:suff w:val="nothing"/>
      <w:lvlText w:val="（%1）"/>
      <w:lvlJc w:val="left"/>
      <w:pPr>
        <w:ind w:left="0" w:firstLine="420"/>
      </w:pPr>
      <w:rPr>
        <w:rFonts w:hint="eastAsia"/>
      </w:rPr>
    </w:lvl>
  </w:abstractNum>
  <w:abstractNum w:abstractNumId="337">
    <w:nsid w:val="5083658A"/>
    <w:multiLevelType w:val="singleLevel"/>
    <w:tmpl w:val="5083658A"/>
    <w:lvl w:ilvl="0" w:tentative="0">
      <w:start w:val="1"/>
      <w:numFmt w:val="chineseCounting"/>
      <w:suff w:val="nothing"/>
      <w:lvlText w:val="（%1）"/>
      <w:lvlJc w:val="left"/>
      <w:pPr>
        <w:ind w:left="0" w:firstLine="420"/>
      </w:pPr>
      <w:rPr>
        <w:rFonts w:hint="eastAsia"/>
      </w:rPr>
    </w:lvl>
  </w:abstractNum>
  <w:abstractNum w:abstractNumId="338">
    <w:nsid w:val="50F7018B"/>
    <w:multiLevelType w:val="singleLevel"/>
    <w:tmpl w:val="50F7018B"/>
    <w:lvl w:ilvl="0" w:tentative="0">
      <w:start w:val="1"/>
      <w:numFmt w:val="chineseCounting"/>
      <w:suff w:val="nothing"/>
      <w:lvlText w:val="（%1）"/>
      <w:lvlJc w:val="left"/>
      <w:pPr>
        <w:ind w:left="0" w:firstLine="420"/>
      </w:pPr>
      <w:rPr>
        <w:rFonts w:hint="eastAsia"/>
      </w:rPr>
    </w:lvl>
  </w:abstractNum>
  <w:abstractNum w:abstractNumId="339">
    <w:nsid w:val="5156A598"/>
    <w:multiLevelType w:val="singleLevel"/>
    <w:tmpl w:val="5156A598"/>
    <w:lvl w:ilvl="0" w:tentative="0">
      <w:start w:val="1"/>
      <w:numFmt w:val="decimal"/>
      <w:suff w:val="nothing"/>
      <w:lvlText w:val="%1."/>
      <w:lvlJc w:val="left"/>
      <w:pPr>
        <w:ind w:left="0" w:firstLine="0"/>
      </w:pPr>
      <w:rPr>
        <w:rFonts w:hint="default"/>
      </w:rPr>
    </w:lvl>
  </w:abstractNum>
  <w:abstractNum w:abstractNumId="340">
    <w:nsid w:val="517FA5A1"/>
    <w:multiLevelType w:val="singleLevel"/>
    <w:tmpl w:val="517FA5A1"/>
    <w:lvl w:ilvl="0" w:tentative="0">
      <w:start w:val="1"/>
      <w:numFmt w:val="chineseCounting"/>
      <w:suff w:val="nothing"/>
      <w:lvlText w:val="（%1）"/>
      <w:lvlJc w:val="left"/>
      <w:rPr>
        <w:rFonts w:hint="eastAsia"/>
      </w:rPr>
    </w:lvl>
  </w:abstractNum>
  <w:abstractNum w:abstractNumId="341">
    <w:nsid w:val="52C6AB37"/>
    <w:multiLevelType w:val="singleLevel"/>
    <w:tmpl w:val="52C6AB37"/>
    <w:lvl w:ilvl="0" w:tentative="0">
      <w:start w:val="1"/>
      <w:numFmt w:val="chineseCounting"/>
      <w:suff w:val="nothing"/>
      <w:lvlText w:val="（%1）"/>
      <w:lvlJc w:val="left"/>
      <w:pPr>
        <w:ind w:left="0" w:firstLine="420"/>
      </w:pPr>
      <w:rPr>
        <w:rFonts w:hint="eastAsia"/>
      </w:rPr>
    </w:lvl>
  </w:abstractNum>
  <w:abstractNum w:abstractNumId="342">
    <w:nsid w:val="5301183A"/>
    <w:multiLevelType w:val="singleLevel"/>
    <w:tmpl w:val="5301183A"/>
    <w:lvl w:ilvl="0" w:tentative="0">
      <w:start w:val="1"/>
      <w:numFmt w:val="decimal"/>
      <w:suff w:val="nothing"/>
      <w:lvlText w:val="%1."/>
      <w:lvlJc w:val="left"/>
      <w:pPr>
        <w:ind w:left="0" w:firstLine="0"/>
      </w:pPr>
      <w:rPr>
        <w:rFonts w:hint="default"/>
      </w:rPr>
    </w:lvl>
  </w:abstractNum>
  <w:abstractNum w:abstractNumId="343">
    <w:nsid w:val="5370C16B"/>
    <w:multiLevelType w:val="singleLevel"/>
    <w:tmpl w:val="5370C16B"/>
    <w:lvl w:ilvl="0" w:tentative="0">
      <w:start w:val="1"/>
      <w:numFmt w:val="decimalEnclosedCircleChinese"/>
      <w:suff w:val="nothing"/>
      <w:lvlText w:val="%1　"/>
      <w:lvlJc w:val="left"/>
      <w:pPr>
        <w:ind w:left="0" w:firstLine="0"/>
      </w:pPr>
      <w:rPr>
        <w:rFonts w:hint="eastAsia"/>
        <w:sz w:val="32"/>
        <w:szCs w:val="32"/>
      </w:rPr>
    </w:lvl>
  </w:abstractNum>
  <w:abstractNum w:abstractNumId="344">
    <w:nsid w:val="549F9585"/>
    <w:multiLevelType w:val="singleLevel"/>
    <w:tmpl w:val="549F9585"/>
    <w:lvl w:ilvl="0" w:tentative="0">
      <w:start w:val="1"/>
      <w:numFmt w:val="decimal"/>
      <w:suff w:val="nothing"/>
      <w:lvlText w:val="%1."/>
      <w:lvlJc w:val="left"/>
      <w:pPr>
        <w:ind w:left="0" w:firstLine="0"/>
      </w:pPr>
      <w:rPr>
        <w:rFonts w:hint="default"/>
      </w:rPr>
    </w:lvl>
  </w:abstractNum>
  <w:abstractNum w:abstractNumId="345">
    <w:nsid w:val="55E72CB2"/>
    <w:multiLevelType w:val="singleLevel"/>
    <w:tmpl w:val="55E72CB2"/>
    <w:lvl w:ilvl="0" w:tentative="0">
      <w:start w:val="1"/>
      <w:numFmt w:val="chineseCounting"/>
      <w:suff w:val="nothing"/>
      <w:lvlText w:val="（%1）"/>
      <w:lvlJc w:val="left"/>
      <w:pPr>
        <w:ind w:left="0" w:firstLine="420"/>
      </w:pPr>
      <w:rPr>
        <w:rFonts w:hint="eastAsia"/>
      </w:rPr>
    </w:lvl>
  </w:abstractNum>
  <w:abstractNum w:abstractNumId="346">
    <w:nsid w:val="5663B8F3"/>
    <w:multiLevelType w:val="singleLevel"/>
    <w:tmpl w:val="5663B8F3"/>
    <w:lvl w:ilvl="0" w:tentative="0">
      <w:start w:val="1"/>
      <w:numFmt w:val="decimal"/>
      <w:suff w:val="nothing"/>
      <w:lvlText w:val="%1."/>
      <w:lvlJc w:val="left"/>
      <w:pPr>
        <w:ind w:left="0" w:firstLine="0"/>
      </w:pPr>
      <w:rPr>
        <w:rFonts w:hint="default"/>
      </w:rPr>
    </w:lvl>
  </w:abstractNum>
  <w:abstractNum w:abstractNumId="347">
    <w:nsid w:val="56B4C857"/>
    <w:multiLevelType w:val="singleLevel"/>
    <w:tmpl w:val="56B4C857"/>
    <w:lvl w:ilvl="0" w:tentative="0">
      <w:start w:val="1"/>
      <w:numFmt w:val="chineseCounting"/>
      <w:suff w:val="nothing"/>
      <w:lvlText w:val="（%1）"/>
      <w:lvlJc w:val="left"/>
      <w:pPr>
        <w:ind w:left="0" w:firstLine="420"/>
      </w:pPr>
      <w:rPr>
        <w:rFonts w:hint="eastAsia"/>
      </w:rPr>
    </w:lvl>
  </w:abstractNum>
  <w:abstractNum w:abstractNumId="348">
    <w:nsid w:val="57200A21"/>
    <w:multiLevelType w:val="singleLevel"/>
    <w:tmpl w:val="57200A21"/>
    <w:lvl w:ilvl="0" w:tentative="0">
      <w:start w:val="1"/>
      <w:numFmt w:val="decimal"/>
      <w:suff w:val="nothing"/>
      <w:lvlText w:val="%1."/>
      <w:lvlJc w:val="left"/>
      <w:pPr>
        <w:ind w:left="0" w:firstLine="0"/>
      </w:pPr>
      <w:rPr>
        <w:rFonts w:hint="default"/>
      </w:rPr>
    </w:lvl>
  </w:abstractNum>
  <w:abstractNum w:abstractNumId="349">
    <w:nsid w:val="578C979A"/>
    <w:multiLevelType w:val="singleLevel"/>
    <w:tmpl w:val="578C979A"/>
    <w:lvl w:ilvl="0" w:tentative="0">
      <w:start w:val="1"/>
      <w:numFmt w:val="chineseCounting"/>
      <w:suff w:val="nothing"/>
      <w:lvlText w:val="（%1）"/>
      <w:lvlJc w:val="left"/>
      <w:pPr>
        <w:ind w:left="0" w:firstLine="420"/>
      </w:pPr>
      <w:rPr>
        <w:rFonts w:hint="eastAsia"/>
      </w:rPr>
    </w:lvl>
  </w:abstractNum>
  <w:abstractNum w:abstractNumId="350">
    <w:nsid w:val="5792B175"/>
    <w:multiLevelType w:val="singleLevel"/>
    <w:tmpl w:val="5792B175"/>
    <w:lvl w:ilvl="0" w:tentative="0">
      <w:start w:val="1"/>
      <w:numFmt w:val="decimal"/>
      <w:suff w:val="nothing"/>
      <w:lvlText w:val="%1."/>
      <w:lvlJc w:val="left"/>
      <w:pPr>
        <w:ind w:left="0" w:firstLine="0"/>
      </w:pPr>
      <w:rPr>
        <w:rFonts w:hint="default"/>
      </w:rPr>
    </w:lvl>
  </w:abstractNum>
  <w:abstractNum w:abstractNumId="351">
    <w:nsid w:val="579B5FEE"/>
    <w:multiLevelType w:val="singleLevel"/>
    <w:tmpl w:val="579B5FEE"/>
    <w:lvl w:ilvl="0" w:tentative="0">
      <w:start w:val="1"/>
      <w:numFmt w:val="decimal"/>
      <w:suff w:val="nothing"/>
      <w:lvlText w:val="%1."/>
      <w:lvlJc w:val="left"/>
      <w:pPr>
        <w:ind w:left="0" w:firstLine="0"/>
      </w:pPr>
      <w:rPr>
        <w:rFonts w:hint="default"/>
      </w:rPr>
    </w:lvl>
  </w:abstractNum>
  <w:abstractNum w:abstractNumId="352">
    <w:nsid w:val="58765686"/>
    <w:multiLevelType w:val="multilevel"/>
    <w:tmpl w:val="58765686"/>
    <w:lvl w:ilvl="0" w:tentative="0">
      <w:start w:val="1"/>
      <w:numFmt w:val="decimal"/>
      <w:lvlText w:val="（%1）"/>
      <w:lvlJc w:val="left"/>
      <w:pPr>
        <w:ind w:left="120" w:hanging="707"/>
      </w:pPr>
      <w:rPr>
        <w:rFonts w:hint="default" w:ascii="仿宋" w:hAnsi="仿宋" w:eastAsia="仿宋" w:cs="仿宋"/>
        <w:spacing w:val="-1"/>
        <w:w w:val="100"/>
        <w:sz w:val="32"/>
        <w:szCs w:val="32"/>
        <w:lang w:val="zh-CN" w:eastAsia="zh-CN" w:bidi="zh-CN"/>
      </w:rPr>
    </w:lvl>
    <w:lvl w:ilvl="1" w:tentative="0">
      <w:start w:val="0"/>
      <w:numFmt w:val="bullet"/>
      <w:lvlText w:val="•"/>
      <w:lvlJc w:val="left"/>
      <w:pPr>
        <w:ind w:left="1130" w:hanging="707"/>
      </w:pPr>
      <w:rPr>
        <w:rFonts w:hint="default"/>
        <w:lang w:val="zh-CN" w:eastAsia="zh-CN" w:bidi="zh-CN"/>
      </w:rPr>
    </w:lvl>
    <w:lvl w:ilvl="2" w:tentative="0">
      <w:start w:val="0"/>
      <w:numFmt w:val="bullet"/>
      <w:lvlText w:val="•"/>
      <w:lvlJc w:val="left"/>
      <w:pPr>
        <w:ind w:left="2141" w:hanging="707"/>
      </w:pPr>
      <w:rPr>
        <w:rFonts w:hint="default"/>
        <w:lang w:val="zh-CN" w:eastAsia="zh-CN" w:bidi="zh-CN"/>
      </w:rPr>
    </w:lvl>
    <w:lvl w:ilvl="3" w:tentative="0">
      <w:start w:val="0"/>
      <w:numFmt w:val="bullet"/>
      <w:lvlText w:val="•"/>
      <w:lvlJc w:val="left"/>
      <w:pPr>
        <w:ind w:left="3151" w:hanging="707"/>
      </w:pPr>
      <w:rPr>
        <w:rFonts w:hint="default"/>
        <w:lang w:val="zh-CN" w:eastAsia="zh-CN" w:bidi="zh-CN"/>
      </w:rPr>
    </w:lvl>
    <w:lvl w:ilvl="4" w:tentative="0">
      <w:start w:val="0"/>
      <w:numFmt w:val="bullet"/>
      <w:lvlText w:val="•"/>
      <w:lvlJc w:val="left"/>
      <w:pPr>
        <w:ind w:left="4162" w:hanging="707"/>
      </w:pPr>
      <w:rPr>
        <w:rFonts w:hint="default"/>
        <w:lang w:val="zh-CN" w:eastAsia="zh-CN" w:bidi="zh-CN"/>
      </w:rPr>
    </w:lvl>
    <w:lvl w:ilvl="5" w:tentative="0">
      <w:start w:val="0"/>
      <w:numFmt w:val="bullet"/>
      <w:lvlText w:val="•"/>
      <w:lvlJc w:val="left"/>
      <w:pPr>
        <w:ind w:left="5173" w:hanging="707"/>
      </w:pPr>
      <w:rPr>
        <w:rFonts w:hint="default"/>
        <w:lang w:val="zh-CN" w:eastAsia="zh-CN" w:bidi="zh-CN"/>
      </w:rPr>
    </w:lvl>
    <w:lvl w:ilvl="6" w:tentative="0">
      <w:start w:val="0"/>
      <w:numFmt w:val="bullet"/>
      <w:lvlText w:val="•"/>
      <w:lvlJc w:val="left"/>
      <w:pPr>
        <w:ind w:left="6183" w:hanging="707"/>
      </w:pPr>
      <w:rPr>
        <w:rFonts w:hint="default"/>
        <w:lang w:val="zh-CN" w:eastAsia="zh-CN" w:bidi="zh-CN"/>
      </w:rPr>
    </w:lvl>
    <w:lvl w:ilvl="7" w:tentative="0">
      <w:start w:val="0"/>
      <w:numFmt w:val="bullet"/>
      <w:lvlText w:val="•"/>
      <w:lvlJc w:val="left"/>
      <w:pPr>
        <w:ind w:left="7194" w:hanging="707"/>
      </w:pPr>
      <w:rPr>
        <w:rFonts w:hint="default"/>
        <w:lang w:val="zh-CN" w:eastAsia="zh-CN" w:bidi="zh-CN"/>
      </w:rPr>
    </w:lvl>
    <w:lvl w:ilvl="8" w:tentative="0">
      <w:start w:val="0"/>
      <w:numFmt w:val="bullet"/>
      <w:lvlText w:val="•"/>
      <w:lvlJc w:val="left"/>
      <w:pPr>
        <w:ind w:left="8204" w:hanging="707"/>
      </w:pPr>
      <w:rPr>
        <w:rFonts w:hint="default"/>
        <w:lang w:val="zh-CN" w:eastAsia="zh-CN" w:bidi="zh-CN"/>
      </w:rPr>
    </w:lvl>
  </w:abstractNum>
  <w:abstractNum w:abstractNumId="353">
    <w:nsid w:val="58DE4E27"/>
    <w:multiLevelType w:val="singleLevel"/>
    <w:tmpl w:val="58DE4E27"/>
    <w:lvl w:ilvl="0" w:tentative="0">
      <w:start w:val="1"/>
      <w:numFmt w:val="chineseCounting"/>
      <w:suff w:val="nothing"/>
      <w:lvlText w:val="（%1）"/>
      <w:lvlJc w:val="left"/>
      <w:pPr>
        <w:ind w:left="0" w:firstLine="420"/>
      </w:pPr>
      <w:rPr>
        <w:rFonts w:hint="eastAsia"/>
      </w:rPr>
    </w:lvl>
  </w:abstractNum>
  <w:abstractNum w:abstractNumId="354">
    <w:nsid w:val="5B842B6C"/>
    <w:multiLevelType w:val="singleLevel"/>
    <w:tmpl w:val="5B842B6C"/>
    <w:lvl w:ilvl="0" w:tentative="0">
      <w:start w:val="1"/>
      <w:numFmt w:val="chineseCounting"/>
      <w:suff w:val="nothing"/>
      <w:lvlText w:val="（%1）"/>
      <w:lvlJc w:val="left"/>
      <w:pPr>
        <w:ind w:left="0" w:firstLine="420"/>
      </w:pPr>
      <w:rPr>
        <w:rFonts w:hint="eastAsia"/>
      </w:rPr>
    </w:lvl>
  </w:abstractNum>
  <w:abstractNum w:abstractNumId="355">
    <w:nsid w:val="5C0B8BB2"/>
    <w:multiLevelType w:val="singleLevel"/>
    <w:tmpl w:val="5C0B8BB2"/>
    <w:lvl w:ilvl="0" w:tentative="0">
      <w:start w:val="1"/>
      <w:numFmt w:val="decimal"/>
      <w:suff w:val="nothing"/>
      <w:lvlText w:val="%1."/>
      <w:lvlJc w:val="left"/>
      <w:pPr>
        <w:ind w:left="0" w:firstLine="0"/>
      </w:pPr>
      <w:rPr>
        <w:rFonts w:hint="default"/>
      </w:rPr>
    </w:lvl>
  </w:abstractNum>
  <w:abstractNum w:abstractNumId="356">
    <w:nsid w:val="5CAD6193"/>
    <w:multiLevelType w:val="singleLevel"/>
    <w:tmpl w:val="5CAD6193"/>
    <w:lvl w:ilvl="0" w:tentative="0">
      <w:start w:val="1"/>
      <w:numFmt w:val="chineseCounting"/>
      <w:suff w:val="nothing"/>
      <w:lvlText w:val="（%1）"/>
      <w:lvlJc w:val="left"/>
      <w:pPr>
        <w:ind w:left="0" w:firstLine="420"/>
      </w:pPr>
      <w:rPr>
        <w:rFonts w:hint="eastAsia"/>
      </w:rPr>
    </w:lvl>
  </w:abstractNum>
  <w:abstractNum w:abstractNumId="357">
    <w:nsid w:val="5E151967"/>
    <w:multiLevelType w:val="singleLevel"/>
    <w:tmpl w:val="5E151967"/>
    <w:lvl w:ilvl="0" w:tentative="0">
      <w:start w:val="1"/>
      <w:numFmt w:val="decimal"/>
      <w:suff w:val="nothing"/>
      <w:lvlText w:val="%1."/>
      <w:lvlJc w:val="left"/>
      <w:pPr>
        <w:ind w:left="0" w:firstLine="0"/>
      </w:pPr>
      <w:rPr>
        <w:rFonts w:hint="default"/>
      </w:rPr>
    </w:lvl>
  </w:abstractNum>
  <w:abstractNum w:abstractNumId="358">
    <w:nsid w:val="5E240E07"/>
    <w:multiLevelType w:val="singleLevel"/>
    <w:tmpl w:val="5E240E07"/>
    <w:lvl w:ilvl="0" w:tentative="0">
      <w:start w:val="1"/>
      <w:numFmt w:val="chineseCounting"/>
      <w:suff w:val="nothing"/>
      <w:lvlText w:val="（%1）"/>
      <w:lvlJc w:val="left"/>
      <w:pPr>
        <w:ind w:left="0" w:firstLine="420"/>
      </w:pPr>
      <w:rPr>
        <w:rFonts w:hint="eastAsia"/>
      </w:rPr>
    </w:lvl>
  </w:abstractNum>
  <w:abstractNum w:abstractNumId="359">
    <w:nsid w:val="5EB51422"/>
    <w:multiLevelType w:val="multilevel"/>
    <w:tmpl w:val="5EB51422"/>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60">
    <w:nsid w:val="5F685A0B"/>
    <w:multiLevelType w:val="singleLevel"/>
    <w:tmpl w:val="5F685A0B"/>
    <w:lvl w:ilvl="0" w:tentative="0">
      <w:start w:val="1"/>
      <w:numFmt w:val="decimal"/>
      <w:suff w:val="nothing"/>
      <w:lvlText w:val="%1."/>
      <w:lvlJc w:val="left"/>
      <w:pPr>
        <w:ind w:left="454" w:hanging="454"/>
      </w:pPr>
      <w:rPr>
        <w:rFonts w:hint="default"/>
      </w:rPr>
    </w:lvl>
  </w:abstractNum>
  <w:abstractNum w:abstractNumId="361">
    <w:nsid w:val="5F8B5014"/>
    <w:multiLevelType w:val="singleLevel"/>
    <w:tmpl w:val="5F8B5014"/>
    <w:lvl w:ilvl="0" w:tentative="0">
      <w:start w:val="1"/>
      <w:numFmt w:val="chineseCounting"/>
      <w:suff w:val="nothing"/>
      <w:lvlText w:val="（%1）"/>
      <w:lvlJc w:val="left"/>
      <w:pPr>
        <w:ind w:left="0" w:firstLine="420"/>
      </w:pPr>
      <w:rPr>
        <w:rFonts w:hint="eastAsia"/>
      </w:rPr>
    </w:lvl>
  </w:abstractNum>
  <w:abstractNum w:abstractNumId="362">
    <w:nsid w:val="5FFBAE2F"/>
    <w:multiLevelType w:val="singleLevel"/>
    <w:tmpl w:val="5FFBAE2F"/>
    <w:lvl w:ilvl="0" w:tentative="0">
      <w:start w:val="1"/>
      <w:numFmt w:val="chineseCounting"/>
      <w:suff w:val="nothing"/>
      <w:lvlText w:val="（%1）"/>
      <w:lvlJc w:val="left"/>
      <w:pPr>
        <w:ind w:left="0" w:firstLine="420"/>
      </w:pPr>
      <w:rPr>
        <w:rFonts w:hint="eastAsia"/>
      </w:rPr>
    </w:lvl>
  </w:abstractNum>
  <w:abstractNum w:abstractNumId="363">
    <w:nsid w:val="603E7600"/>
    <w:multiLevelType w:val="singleLevel"/>
    <w:tmpl w:val="603E7600"/>
    <w:lvl w:ilvl="0" w:tentative="0">
      <w:start w:val="1"/>
      <w:numFmt w:val="decimal"/>
      <w:suff w:val="nothing"/>
      <w:lvlText w:val="%1."/>
      <w:lvlJc w:val="left"/>
      <w:pPr>
        <w:ind w:left="0" w:firstLine="0"/>
      </w:pPr>
      <w:rPr>
        <w:rFonts w:hint="default"/>
      </w:rPr>
    </w:lvl>
  </w:abstractNum>
  <w:abstractNum w:abstractNumId="364">
    <w:nsid w:val="60B3DEE7"/>
    <w:multiLevelType w:val="singleLevel"/>
    <w:tmpl w:val="60B3DEE7"/>
    <w:lvl w:ilvl="0" w:tentative="0">
      <w:start w:val="1"/>
      <w:numFmt w:val="decimal"/>
      <w:suff w:val="nothing"/>
      <w:lvlText w:val="%1."/>
      <w:lvlJc w:val="left"/>
      <w:pPr>
        <w:ind w:left="0" w:firstLine="0"/>
      </w:pPr>
      <w:rPr>
        <w:rFonts w:hint="default"/>
      </w:rPr>
    </w:lvl>
  </w:abstractNum>
  <w:abstractNum w:abstractNumId="365">
    <w:nsid w:val="60DB53BC"/>
    <w:multiLevelType w:val="singleLevel"/>
    <w:tmpl w:val="60DB53BC"/>
    <w:lvl w:ilvl="0" w:tentative="0">
      <w:start w:val="1"/>
      <w:numFmt w:val="chineseCounting"/>
      <w:suff w:val="nothing"/>
      <w:lvlText w:val="%1、"/>
      <w:lvlJc w:val="left"/>
    </w:lvl>
  </w:abstractNum>
  <w:abstractNum w:abstractNumId="366">
    <w:nsid w:val="622E2BF3"/>
    <w:multiLevelType w:val="singleLevel"/>
    <w:tmpl w:val="622E2BF3"/>
    <w:lvl w:ilvl="0" w:tentative="0">
      <w:start w:val="1"/>
      <w:numFmt w:val="decimal"/>
      <w:suff w:val="nothing"/>
      <w:lvlText w:val="%1."/>
      <w:lvlJc w:val="left"/>
      <w:pPr>
        <w:ind w:left="0" w:firstLine="0"/>
      </w:pPr>
      <w:rPr>
        <w:rFonts w:hint="default"/>
      </w:rPr>
    </w:lvl>
  </w:abstractNum>
  <w:abstractNum w:abstractNumId="367">
    <w:nsid w:val="629F7852"/>
    <w:multiLevelType w:val="multilevel"/>
    <w:tmpl w:val="629F7852"/>
    <w:lvl w:ilvl="0" w:tentative="0">
      <w:start w:val="1"/>
      <w:numFmt w:val="decimal"/>
      <w:lvlText w:val="（%1）"/>
      <w:lvlJc w:val="left"/>
      <w:pPr>
        <w:ind w:left="1381" w:hanging="702"/>
      </w:pPr>
      <w:rPr>
        <w:rFonts w:hint="default" w:ascii="仿宋" w:hAnsi="仿宋" w:eastAsia="仿宋" w:cs="仿宋"/>
        <w:spacing w:val="-2"/>
        <w:w w:val="100"/>
        <w:sz w:val="32"/>
        <w:szCs w:val="32"/>
        <w:lang w:val="zh-CN" w:eastAsia="zh-CN" w:bidi="zh-CN"/>
      </w:rPr>
    </w:lvl>
    <w:lvl w:ilvl="1" w:tentative="0">
      <w:start w:val="0"/>
      <w:numFmt w:val="bullet"/>
      <w:lvlText w:val="•"/>
      <w:lvlJc w:val="left"/>
      <w:pPr>
        <w:ind w:left="2264" w:hanging="702"/>
      </w:pPr>
      <w:rPr>
        <w:rFonts w:hint="default"/>
        <w:lang w:val="zh-CN" w:eastAsia="zh-CN" w:bidi="zh-CN"/>
      </w:rPr>
    </w:lvl>
    <w:lvl w:ilvl="2" w:tentative="0">
      <w:start w:val="0"/>
      <w:numFmt w:val="bullet"/>
      <w:lvlText w:val="•"/>
      <w:lvlJc w:val="left"/>
      <w:pPr>
        <w:ind w:left="3149" w:hanging="702"/>
      </w:pPr>
      <w:rPr>
        <w:rFonts w:hint="default"/>
        <w:lang w:val="zh-CN" w:eastAsia="zh-CN" w:bidi="zh-CN"/>
      </w:rPr>
    </w:lvl>
    <w:lvl w:ilvl="3" w:tentative="0">
      <w:start w:val="0"/>
      <w:numFmt w:val="bullet"/>
      <w:lvlText w:val="•"/>
      <w:lvlJc w:val="left"/>
      <w:pPr>
        <w:ind w:left="4033" w:hanging="702"/>
      </w:pPr>
      <w:rPr>
        <w:rFonts w:hint="default"/>
        <w:lang w:val="zh-CN" w:eastAsia="zh-CN" w:bidi="zh-CN"/>
      </w:rPr>
    </w:lvl>
    <w:lvl w:ilvl="4" w:tentative="0">
      <w:start w:val="0"/>
      <w:numFmt w:val="bullet"/>
      <w:lvlText w:val="•"/>
      <w:lvlJc w:val="left"/>
      <w:pPr>
        <w:ind w:left="4918" w:hanging="702"/>
      </w:pPr>
      <w:rPr>
        <w:rFonts w:hint="default"/>
        <w:lang w:val="zh-CN" w:eastAsia="zh-CN" w:bidi="zh-CN"/>
      </w:rPr>
    </w:lvl>
    <w:lvl w:ilvl="5" w:tentative="0">
      <w:start w:val="0"/>
      <w:numFmt w:val="bullet"/>
      <w:lvlText w:val="•"/>
      <w:lvlJc w:val="left"/>
      <w:pPr>
        <w:ind w:left="5803" w:hanging="702"/>
      </w:pPr>
      <w:rPr>
        <w:rFonts w:hint="default"/>
        <w:lang w:val="zh-CN" w:eastAsia="zh-CN" w:bidi="zh-CN"/>
      </w:rPr>
    </w:lvl>
    <w:lvl w:ilvl="6" w:tentative="0">
      <w:start w:val="0"/>
      <w:numFmt w:val="bullet"/>
      <w:lvlText w:val="•"/>
      <w:lvlJc w:val="left"/>
      <w:pPr>
        <w:ind w:left="6687" w:hanging="702"/>
      </w:pPr>
      <w:rPr>
        <w:rFonts w:hint="default"/>
        <w:lang w:val="zh-CN" w:eastAsia="zh-CN" w:bidi="zh-CN"/>
      </w:rPr>
    </w:lvl>
    <w:lvl w:ilvl="7" w:tentative="0">
      <w:start w:val="0"/>
      <w:numFmt w:val="bullet"/>
      <w:lvlText w:val="•"/>
      <w:lvlJc w:val="left"/>
      <w:pPr>
        <w:ind w:left="7572" w:hanging="702"/>
      </w:pPr>
      <w:rPr>
        <w:rFonts w:hint="default"/>
        <w:lang w:val="zh-CN" w:eastAsia="zh-CN" w:bidi="zh-CN"/>
      </w:rPr>
    </w:lvl>
    <w:lvl w:ilvl="8" w:tentative="0">
      <w:start w:val="0"/>
      <w:numFmt w:val="bullet"/>
      <w:lvlText w:val="•"/>
      <w:lvlJc w:val="left"/>
      <w:pPr>
        <w:ind w:left="8456" w:hanging="702"/>
      </w:pPr>
      <w:rPr>
        <w:rFonts w:hint="default"/>
        <w:lang w:val="zh-CN" w:eastAsia="zh-CN" w:bidi="zh-CN"/>
      </w:rPr>
    </w:lvl>
  </w:abstractNum>
  <w:abstractNum w:abstractNumId="368">
    <w:nsid w:val="6563201D"/>
    <w:multiLevelType w:val="singleLevel"/>
    <w:tmpl w:val="6563201D"/>
    <w:lvl w:ilvl="0" w:tentative="0">
      <w:start w:val="1"/>
      <w:numFmt w:val="decimal"/>
      <w:suff w:val="nothing"/>
      <w:lvlText w:val="(%1)"/>
      <w:lvlJc w:val="left"/>
      <w:pPr>
        <w:ind w:left="0" w:firstLine="0"/>
      </w:pPr>
      <w:rPr>
        <w:rFonts w:hint="default"/>
      </w:rPr>
    </w:lvl>
  </w:abstractNum>
  <w:abstractNum w:abstractNumId="369">
    <w:nsid w:val="65656671"/>
    <w:multiLevelType w:val="singleLevel"/>
    <w:tmpl w:val="65656671"/>
    <w:lvl w:ilvl="0" w:tentative="0">
      <w:start w:val="1"/>
      <w:numFmt w:val="chineseCounting"/>
      <w:suff w:val="nothing"/>
      <w:lvlText w:val="（%1）"/>
      <w:lvlJc w:val="left"/>
      <w:pPr>
        <w:ind w:left="0" w:firstLine="420"/>
      </w:pPr>
      <w:rPr>
        <w:rFonts w:hint="eastAsia"/>
      </w:rPr>
    </w:lvl>
  </w:abstractNum>
  <w:abstractNum w:abstractNumId="370">
    <w:nsid w:val="65AB98B7"/>
    <w:multiLevelType w:val="singleLevel"/>
    <w:tmpl w:val="65AB98B7"/>
    <w:lvl w:ilvl="0" w:tentative="0">
      <w:start w:val="1"/>
      <w:numFmt w:val="decimal"/>
      <w:suff w:val="nothing"/>
      <w:lvlText w:val="(%1)"/>
      <w:lvlJc w:val="left"/>
      <w:pPr>
        <w:ind w:left="0" w:firstLine="0"/>
      </w:pPr>
      <w:rPr>
        <w:rFonts w:hint="default"/>
      </w:rPr>
    </w:lvl>
  </w:abstractNum>
  <w:abstractNum w:abstractNumId="371">
    <w:nsid w:val="664A264C"/>
    <w:multiLevelType w:val="singleLevel"/>
    <w:tmpl w:val="664A264C"/>
    <w:lvl w:ilvl="0" w:tentative="0">
      <w:start w:val="1"/>
      <w:numFmt w:val="chineseCounting"/>
      <w:suff w:val="nothing"/>
      <w:lvlText w:val="（%1）"/>
      <w:lvlJc w:val="left"/>
      <w:pPr>
        <w:ind w:left="0" w:firstLine="420"/>
      </w:pPr>
      <w:rPr>
        <w:rFonts w:hint="eastAsia"/>
      </w:rPr>
    </w:lvl>
  </w:abstractNum>
  <w:abstractNum w:abstractNumId="372">
    <w:nsid w:val="66D57083"/>
    <w:multiLevelType w:val="singleLevel"/>
    <w:tmpl w:val="66D57083"/>
    <w:lvl w:ilvl="0" w:tentative="0">
      <w:start w:val="1"/>
      <w:numFmt w:val="decimal"/>
      <w:suff w:val="nothing"/>
      <w:lvlText w:val="%1．"/>
      <w:lvlJc w:val="left"/>
      <w:pPr>
        <w:ind w:left="0" w:firstLine="400"/>
      </w:pPr>
      <w:rPr>
        <w:rFonts w:hint="default"/>
      </w:rPr>
    </w:lvl>
  </w:abstractNum>
  <w:abstractNum w:abstractNumId="373">
    <w:nsid w:val="674A2A58"/>
    <w:multiLevelType w:val="singleLevel"/>
    <w:tmpl w:val="674A2A58"/>
    <w:lvl w:ilvl="0" w:tentative="0">
      <w:start w:val="1"/>
      <w:numFmt w:val="chineseCounting"/>
      <w:suff w:val="nothing"/>
      <w:lvlText w:val="（%1）"/>
      <w:lvlJc w:val="left"/>
      <w:pPr>
        <w:ind w:left="0" w:firstLine="420"/>
      </w:pPr>
      <w:rPr>
        <w:rFonts w:hint="eastAsia"/>
      </w:rPr>
    </w:lvl>
  </w:abstractNum>
  <w:abstractNum w:abstractNumId="374">
    <w:nsid w:val="67C75DCB"/>
    <w:multiLevelType w:val="singleLevel"/>
    <w:tmpl w:val="67C75DCB"/>
    <w:lvl w:ilvl="0" w:tentative="0">
      <w:start w:val="4"/>
      <w:numFmt w:val="chineseCounting"/>
      <w:suff w:val="nothing"/>
      <w:lvlText w:val="（%1）"/>
      <w:lvlJc w:val="left"/>
      <w:pPr>
        <w:ind w:left="201"/>
      </w:pPr>
      <w:rPr>
        <w:rFonts w:hint="eastAsia"/>
      </w:rPr>
    </w:lvl>
  </w:abstractNum>
  <w:abstractNum w:abstractNumId="375">
    <w:nsid w:val="6824495B"/>
    <w:multiLevelType w:val="singleLevel"/>
    <w:tmpl w:val="6824495B"/>
    <w:lvl w:ilvl="0" w:tentative="0">
      <w:start w:val="1"/>
      <w:numFmt w:val="decimal"/>
      <w:suff w:val="nothing"/>
      <w:lvlText w:val="%1."/>
      <w:lvlJc w:val="left"/>
      <w:pPr>
        <w:ind w:left="0" w:firstLine="0"/>
      </w:pPr>
      <w:rPr>
        <w:rFonts w:hint="default"/>
      </w:rPr>
    </w:lvl>
  </w:abstractNum>
  <w:abstractNum w:abstractNumId="376">
    <w:nsid w:val="682ECBD9"/>
    <w:multiLevelType w:val="singleLevel"/>
    <w:tmpl w:val="682ECBD9"/>
    <w:lvl w:ilvl="0" w:tentative="0">
      <w:start w:val="1"/>
      <w:numFmt w:val="decimal"/>
      <w:suff w:val="nothing"/>
      <w:lvlText w:val="%1."/>
      <w:lvlJc w:val="left"/>
      <w:pPr>
        <w:ind w:left="0" w:firstLine="0"/>
      </w:pPr>
      <w:rPr>
        <w:rFonts w:hint="default"/>
      </w:rPr>
    </w:lvl>
  </w:abstractNum>
  <w:abstractNum w:abstractNumId="377">
    <w:nsid w:val="6963AFA8"/>
    <w:multiLevelType w:val="singleLevel"/>
    <w:tmpl w:val="6963AFA8"/>
    <w:lvl w:ilvl="0" w:tentative="0">
      <w:start w:val="1"/>
      <w:numFmt w:val="decimal"/>
      <w:suff w:val="nothing"/>
      <w:lvlText w:val="(%1)"/>
      <w:lvlJc w:val="left"/>
      <w:pPr>
        <w:ind w:left="0" w:firstLine="0"/>
      </w:pPr>
      <w:rPr>
        <w:rFonts w:hint="default"/>
      </w:rPr>
    </w:lvl>
  </w:abstractNum>
  <w:abstractNum w:abstractNumId="378">
    <w:nsid w:val="6B728F5A"/>
    <w:multiLevelType w:val="singleLevel"/>
    <w:tmpl w:val="6B728F5A"/>
    <w:lvl w:ilvl="0" w:tentative="0">
      <w:start w:val="1"/>
      <w:numFmt w:val="decimal"/>
      <w:suff w:val="nothing"/>
      <w:lvlText w:val="%1."/>
      <w:lvlJc w:val="left"/>
      <w:pPr>
        <w:ind w:left="454" w:hanging="454"/>
      </w:pPr>
      <w:rPr>
        <w:rFonts w:hint="default"/>
      </w:rPr>
    </w:lvl>
  </w:abstractNum>
  <w:abstractNum w:abstractNumId="379">
    <w:nsid w:val="6C5137E1"/>
    <w:multiLevelType w:val="singleLevel"/>
    <w:tmpl w:val="6C5137E1"/>
    <w:lvl w:ilvl="0" w:tentative="0">
      <w:start w:val="1"/>
      <w:numFmt w:val="chineseCounting"/>
      <w:suff w:val="nothing"/>
      <w:lvlText w:val="（%1）"/>
      <w:lvlJc w:val="left"/>
      <w:pPr>
        <w:ind w:left="0" w:firstLine="420"/>
      </w:pPr>
      <w:rPr>
        <w:rFonts w:hint="eastAsia"/>
      </w:rPr>
    </w:lvl>
  </w:abstractNum>
  <w:abstractNum w:abstractNumId="380">
    <w:nsid w:val="6CDE89B0"/>
    <w:multiLevelType w:val="singleLevel"/>
    <w:tmpl w:val="6CDE89B0"/>
    <w:lvl w:ilvl="0" w:tentative="0">
      <w:start w:val="1"/>
      <w:numFmt w:val="chineseCounting"/>
      <w:suff w:val="nothing"/>
      <w:lvlText w:val="（%1）"/>
      <w:lvlJc w:val="left"/>
      <w:pPr>
        <w:ind w:left="0" w:firstLine="420"/>
      </w:pPr>
      <w:rPr>
        <w:rFonts w:hint="eastAsia"/>
      </w:rPr>
    </w:lvl>
  </w:abstractNum>
  <w:abstractNum w:abstractNumId="381">
    <w:nsid w:val="6CF12D7C"/>
    <w:multiLevelType w:val="singleLevel"/>
    <w:tmpl w:val="6CF12D7C"/>
    <w:lvl w:ilvl="0" w:tentative="0">
      <w:start w:val="1"/>
      <w:numFmt w:val="decimal"/>
      <w:suff w:val="nothing"/>
      <w:lvlText w:val="%1、"/>
      <w:lvlJc w:val="left"/>
    </w:lvl>
  </w:abstractNum>
  <w:abstractNum w:abstractNumId="382">
    <w:nsid w:val="6D0207B5"/>
    <w:multiLevelType w:val="singleLevel"/>
    <w:tmpl w:val="6D0207B5"/>
    <w:lvl w:ilvl="0" w:tentative="0">
      <w:start w:val="1"/>
      <w:numFmt w:val="chineseCounting"/>
      <w:suff w:val="nothing"/>
      <w:lvlText w:val="（%1）"/>
      <w:lvlJc w:val="left"/>
      <w:pPr>
        <w:ind w:left="0" w:firstLine="420"/>
      </w:pPr>
      <w:rPr>
        <w:rFonts w:hint="eastAsia"/>
      </w:rPr>
    </w:lvl>
  </w:abstractNum>
  <w:abstractNum w:abstractNumId="383">
    <w:nsid w:val="6ED4C373"/>
    <w:multiLevelType w:val="singleLevel"/>
    <w:tmpl w:val="6ED4C373"/>
    <w:lvl w:ilvl="0" w:tentative="0">
      <w:start w:val="1"/>
      <w:numFmt w:val="decimal"/>
      <w:suff w:val="nothing"/>
      <w:lvlText w:val="%1."/>
      <w:lvlJc w:val="left"/>
      <w:pPr>
        <w:ind w:left="0" w:firstLine="0"/>
      </w:pPr>
      <w:rPr>
        <w:rFonts w:hint="default"/>
      </w:rPr>
    </w:lvl>
  </w:abstractNum>
  <w:abstractNum w:abstractNumId="384">
    <w:nsid w:val="6F0D37D4"/>
    <w:multiLevelType w:val="singleLevel"/>
    <w:tmpl w:val="6F0D37D4"/>
    <w:lvl w:ilvl="0" w:tentative="0">
      <w:start w:val="1"/>
      <w:numFmt w:val="decimal"/>
      <w:suff w:val="nothing"/>
      <w:lvlText w:val="%1."/>
      <w:lvlJc w:val="left"/>
      <w:pPr>
        <w:ind w:left="0" w:firstLine="0"/>
      </w:pPr>
      <w:rPr>
        <w:rFonts w:hint="default"/>
      </w:rPr>
    </w:lvl>
  </w:abstractNum>
  <w:abstractNum w:abstractNumId="385">
    <w:nsid w:val="6F5A19C9"/>
    <w:multiLevelType w:val="singleLevel"/>
    <w:tmpl w:val="6F5A19C9"/>
    <w:lvl w:ilvl="0" w:tentative="0">
      <w:start w:val="1"/>
      <w:numFmt w:val="chineseCounting"/>
      <w:suff w:val="nothing"/>
      <w:lvlText w:val="（%1）"/>
      <w:lvlJc w:val="left"/>
      <w:pPr>
        <w:ind w:left="0" w:firstLine="420"/>
      </w:pPr>
      <w:rPr>
        <w:rFonts w:hint="eastAsia"/>
      </w:rPr>
    </w:lvl>
  </w:abstractNum>
  <w:abstractNum w:abstractNumId="386">
    <w:nsid w:val="6F70D3A0"/>
    <w:multiLevelType w:val="singleLevel"/>
    <w:tmpl w:val="6F70D3A0"/>
    <w:lvl w:ilvl="0" w:tentative="0">
      <w:start w:val="1"/>
      <w:numFmt w:val="chineseCounting"/>
      <w:suff w:val="nothing"/>
      <w:lvlText w:val="（%1）"/>
      <w:lvlJc w:val="left"/>
      <w:pPr>
        <w:ind w:left="0" w:firstLine="420"/>
      </w:pPr>
      <w:rPr>
        <w:rFonts w:hint="eastAsia"/>
      </w:rPr>
    </w:lvl>
  </w:abstractNum>
  <w:abstractNum w:abstractNumId="387">
    <w:nsid w:val="6FCB869C"/>
    <w:multiLevelType w:val="singleLevel"/>
    <w:tmpl w:val="6FCB869C"/>
    <w:lvl w:ilvl="0" w:tentative="0">
      <w:start w:val="1"/>
      <w:numFmt w:val="chineseCounting"/>
      <w:suff w:val="nothing"/>
      <w:lvlText w:val="（%1）"/>
      <w:lvlJc w:val="left"/>
      <w:pPr>
        <w:ind w:left="0" w:firstLine="420"/>
      </w:pPr>
      <w:rPr>
        <w:rFonts w:hint="eastAsia"/>
      </w:rPr>
    </w:lvl>
  </w:abstractNum>
  <w:abstractNum w:abstractNumId="388">
    <w:nsid w:val="70644EDA"/>
    <w:multiLevelType w:val="singleLevel"/>
    <w:tmpl w:val="70644EDA"/>
    <w:lvl w:ilvl="0" w:tentative="0">
      <w:start w:val="1"/>
      <w:numFmt w:val="decimal"/>
      <w:suff w:val="nothing"/>
      <w:lvlText w:val="%1."/>
      <w:lvlJc w:val="left"/>
      <w:pPr>
        <w:ind w:left="0" w:firstLine="0"/>
      </w:pPr>
      <w:rPr>
        <w:rFonts w:hint="default"/>
      </w:rPr>
    </w:lvl>
  </w:abstractNum>
  <w:abstractNum w:abstractNumId="389">
    <w:nsid w:val="72FB06EA"/>
    <w:multiLevelType w:val="singleLevel"/>
    <w:tmpl w:val="72FB06EA"/>
    <w:lvl w:ilvl="0" w:tentative="0">
      <w:start w:val="1"/>
      <w:numFmt w:val="chineseCounting"/>
      <w:suff w:val="nothing"/>
      <w:lvlText w:val="（%1）"/>
      <w:lvlJc w:val="left"/>
      <w:pPr>
        <w:ind w:left="0" w:firstLine="420"/>
      </w:pPr>
      <w:rPr>
        <w:rFonts w:hint="eastAsia"/>
      </w:rPr>
    </w:lvl>
  </w:abstractNum>
  <w:abstractNum w:abstractNumId="390">
    <w:nsid w:val="7339AD8B"/>
    <w:multiLevelType w:val="singleLevel"/>
    <w:tmpl w:val="7339AD8B"/>
    <w:lvl w:ilvl="0" w:tentative="0">
      <w:start w:val="1"/>
      <w:numFmt w:val="chineseCounting"/>
      <w:suff w:val="nothing"/>
      <w:lvlText w:val="（%1）"/>
      <w:lvlJc w:val="left"/>
      <w:pPr>
        <w:ind w:left="0" w:firstLine="420"/>
      </w:pPr>
      <w:rPr>
        <w:rFonts w:hint="eastAsia"/>
      </w:rPr>
    </w:lvl>
  </w:abstractNum>
  <w:abstractNum w:abstractNumId="391">
    <w:nsid w:val="735EBFDE"/>
    <w:multiLevelType w:val="singleLevel"/>
    <w:tmpl w:val="735EBFDE"/>
    <w:lvl w:ilvl="0" w:tentative="0">
      <w:start w:val="1"/>
      <w:numFmt w:val="chineseCounting"/>
      <w:suff w:val="nothing"/>
      <w:lvlText w:val="（%1）"/>
      <w:lvlJc w:val="left"/>
      <w:pPr>
        <w:ind w:left="0" w:firstLine="420"/>
      </w:pPr>
      <w:rPr>
        <w:rFonts w:hint="eastAsia"/>
      </w:rPr>
    </w:lvl>
  </w:abstractNum>
  <w:abstractNum w:abstractNumId="392">
    <w:nsid w:val="767FB4AB"/>
    <w:multiLevelType w:val="singleLevel"/>
    <w:tmpl w:val="767FB4AB"/>
    <w:lvl w:ilvl="0" w:tentative="0">
      <w:start w:val="1"/>
      <w:numFmt w:val="decimal"/>
      <w:suff w:val="nothing"/>
      <w:lvlText w:val="%1."/>
      <w:lvlJc w:val="left"/>
      <w:pPr>
        <w:ind w:left="0" w:firstLine="0"/>
      </w:pPr>
      <w:rPr>
        <w:rFonts w:hint="default"/>
      </w:rPr>
    </w:lvl>
  </w:abstractNum>
  <w:abstractNum w:abstractNumId="393">
    <w:nsid w:val="77955905"/>
    <w:multiLevelType w:val="multilevel"/>
    <w:tmpl w:val="77955905"/>
    <w:lvl w:ilvl="0" w:tentative="0">
      <w:start w:val="1"/>
      <w:numFmt w:val="chineseCountingThousand"/>
      <w:lvlText w:val="第%1章"/>
      <w:lvlJc w:val="left"/>
      <w:pPr>
        <w:ind w:left="0" w:firstLine="560"/>
      </w:pPr>
      <w:rPr>
        <w:rFonts w:hint="eastAsia"/>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394">
    <w:nsid w:val="77CD4742"/>
    <w:multiLevelType w:val="singleLevel"/>
    <w:tmpl w:val="77CD4742"/>
    <w:lvl w:ilvl="0" w:tentative="0">
      <w:start w:val="1"/>
      <w:numFmt w:val="decimal"/>
      <w:suff w:val="nothing"/>
      <w:lvlText w:val="%1."/>
      <w:lvlJc w:val="left"/>
      <w:pPr>
        <w:ind w:left="0" w:firstLine="0"/>
      </w:pPr>
      <w:rPr>
        <w:rFonts w:hint="default"/>
      </w:rPr>
    </w:lvl>
  </w:abstractNum>
  <w:abstractNum w:abstractNumId="395">
    <w:nsid w:val="7801F42C"/>
    <w:multiLevelType w:val="singleLevel"/>
    <w:tmpl w:val="7801F42C"/>
    <w:lvl w:ilvl="0" w:tentative="0">
      <w:start w:val="1"/>
      <w:numFmt w:val="decimal"/>
      <w:suff w:val="nothing"/>
      <w:lvlText w:val="%1."/>
      <w:lvlJc w:val="left"/>
      <w:pPr>
        <w:ind w:left="0" w:firstLine="0"/>
      </w:pPr>
      <w:rPr>
        <w:rFonts w:hint="default"/>
      </w:rPr>
    </w:lvl>
  </w:abstractNum>
  <w:abstractNum w:abstractNumId="396">
    <w:nsid w:val="78DD4C73"/>
    <w:multiLevelType w:val="singleLevel"/>
    <w:tmpl w:val="78DD4C73"/>
    <w:lvl w:ilvl="0" w:tentative="0">
      <w:start w:val="1"/>
      <w:numFmt w:val="chineseCounting"/>
      <w:suff w:val="nothing"/>
      <w:lvlText w:val="（%1）"/>
      <w:lvlJc w:val="left"/>
      <w:pPr>
        <w:ind w:left="0" w:firstLine="420"/>
      </w:pPr>
      <w:rPr>
        <w:rFonts w:hint="eastAsia"/>
      </w:rPr>
    </w:lvl>
  </w:abstractNum>
  <w:abstractNum w:abstractNumId="397">
    <w:nsid w:val="79994338"/>
    <w:multiLevelType w:val="multilevel"/>
    <w:tmpl w:val="7999433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8">
    <w:nsid w:val="79BEBD93"/>
    <w:multiLevelType w:val="singleLevel"/>
    <w:tmpl w:val="79BEBD93"/>
    <w:lvl w:ilvl="0" w:tentative="0">
      <w:start w:val="1"/>
      <w:numFmt w:val="chineseCounting"/>
      <w:suff w:val="nothing"/>
      <w:lvlText w:val="（%1）"/>
      <w:lvlJc w:val="left"/>
      <w:pPr>
        <w:ind w:left="0" w:firstLine="420"/>
      </w:pPr>
      <w:rPr>
        <w:rFonts w:hint="eastAsia"/>
      </w:rPr>
    </w:lvl>
  </w:abstractNum>
  <w:abstractNum w:abstractNumId="399">
    <w:nsid w:val="79F545B2"/>
    <w:multiLevelType w:val="singleLevel"/>
    <w:tmpl w:val="79F545B2"/>
    <w:lvl w:ilvl="0" w:tentative="0">
      <w:start w:val="1"/>
      <w:numFmt w:val="chineseCounting"/>
      <w:suff w:val="nothing"/>
      <w:lvlText w:val="（%1）"/>
      <w:lvlJc w:val="left"/>
      <w:pPr>
        <w:ind w:left="0" w:firstLine="420"/>
      </w:pPr>
      <w:rPr>
        <w:rFonts w:hint="eastAsia"/>
      </w:rPr>
    </w:lvl>
  </w:abstractNum>
  <w:abstractNum w:abstractNumId="400">
    <w:nsid w:val="7A484406"/>
    <w:multiLevelType w:val="singleLevel"/>
    <w:tmpl w:val="7A484406"/>
    <w:lvl w:ilvl="0" w:tentative="0">
      <w:start w:val="1"/>
      <w:numFmt w:val="chineseCounting"/>
      <w:suff w:val="nothing"/>
      <w:lvlText w:val="（%1）"/>
      <w:lvlJc w:val="left"/>
      <w:pPr>
        <w:ind w:left="0" w:firstLine="420"/>
      </w:pPr>
      <w:rPr>
        <w:rFonts w:hint="eastAsia"/>
      </w:rPr>
    </w:lvl>
  </w:abstractNum>
  <w:abstractNum w:abstractNumId="401">
    <w:nsid w:val="7A650E0B"/>
    <w:multiLevelType w:val="singleLevel"/>
    <w:tmpl w:val="7A650E0B"/>
    <w:lvl w:ilvl="0" w:tentative="0">
      <w:start w:val="1"/>
      <w:numFmt w:val="chineseCounting"/>
      <w:suff w:val="nothing"/>
      <w:lvlText w:val="（%1）"/>
      <w:lvlJc w:val="left"/>
      <w:pPr>
        <w:ind w:left="0" w:firstLine="420"/>
      </w:pPr>
      <w:rPr>
        <w:rFonts w:hint="eastAsia"/>
      </w:rPr>
    </w:lvl>
  </w:abstractNum>
  <w:abstractNum w:abstractNumId="402">
    <w:nsid w:val="7B36B3CF"/>
    <w:multiLevelType w:val="singleLevel"/>
    <w:tmpl w:val="7B36B3CF"/>
    <w:lvl w:ilvl="0" w:tentative="0">
      <w:start w:val="1"/>
      <w:numFmt w:val="chineseCounting"/>
      <w:suff w:val="nothing"/>
      <w:lvlText w:val="（%1）"/>
      <w:lvlJc w:val="left"/>
      <w:pPr>
        <w:ind w:left="0" w:firstLine="420"/>
      </w:pPr>
      <w:rPr>
        <w:rFonts w:hint="eastAsia"/>
      </w:rPr>
    </w:lvl>
  </w:abstractNum>
  <w:abstractNum w:abstractNumId="403">
    <w:nsid w:val="7BB13E54"/>
    <w:multiLevelType w:val="singleLevel"/>
    <w:tmpl w:val="7BB13E54"/>
    <w:lvl w:ilvl="0" w:tentative="0">
      <w:start w:val="1"/>
      <w:numFmt w:val="decimal"/>
      <w:suff w:val="nothing"/>
      <w:lvlText w:val="%1."/>
      <w:lvlJc w:val="left"/>
      <w:pPr>
        <w:ind w:left="0" w:firstLine="0"/>
      </w:pPr>
      <w:rPr>
        <w:rFonts w:hint="default"/>
      </w:rPr>
    </w:lvl>
  </w:abstractNum>
  <w:abstractNum w:abstractNumId="404">
    <w:nsid w:val="7BF98249"/>
    <w:multiLevelType w:val="singleLevel"/>
    <w:tmpl w:val="7BF98249"/>
    <w:lvl w:ilvl="0" w:tentative="0">
      <w:start w:val="1"/>
      <w:numFmt w:val="chineseCounting"/>
      <w:suff w:val="nothing"/>
      <w:lvlText w:val="（%1）"/>
      <w:lvlJc w:val="left"/>
      <w:pPr>
        <w:ind w:left="0" w:firstLine="420"/>
      </w:pPr>
      <w:rPr>
        <w:rFonts w:hint="eastAsia"/>
      </w:rPr>
    </w:lvl>
  </w:abstractNum>
  <w:abstractNum w:abstractNumId="405">
    <w:nsid w:val="7C3C24F6"/>
    <w:multiLevelType w:val="singleLevel"/>
    <w:tmpl w:val="7C3C24F6"/>
    <w:lvl w:ilvl="0" w:tentative="0">
      <w:start w:val="1"/>
      <w:numFmt w:val="chineseCounting"/>
      <w:suff w:val="nothing"/>
      <w:lvlText w:val="（%1）"/>
      <w:lvlJc w:val="left"/>
      <w:pPr>
        <w:ind w:left="0" w:firstLine="420"/>
      </w:pPr>
      <w:rPr>
        <w:rFonts w:hint="eastAsia"/>
      </w:rPr>
    </w:lvl>
  </w:abstractNum>
  <w:abstractNum w:abstractNumId="406">
    <w:nsid w:val="7C7F6C75"/>
    <w:multiLevelType w:val="singleLevel"/>
    <w:tmpl w:val="7C7F6C75"/>
    <w:lvl w:ilvl="0" w:tentative="0">
      <w:start w:val="1"/>
      <w:numFmt w:val="chineseCounting"/>
      <w:suff w:val="nothing"/>
      <w:lvlText w:val="（%1）"/>
      <w:lvlJc w:val="left"/>
      <w:pPr>
        <w:ind w:left="0" w:firstLine="420"/>
      </w:pPr>
      <w:rPr>
        <w:rFonts w:hint="eastAsia"/>
      </w:rPr>
    </w:lvl>
  </w:abstractNum>
  <w:abstractNum w:abstractNumId="407">
    <w:nsid w:val="7C89D1CF"/>
    <w:multiLevelType w:val="singleLevel"/>
    <w:tmpl w:val="7C89D1CF"/>
    <w:lvl w:ilvl="0" w:tentative="0">
      <w:start w:val="1"/>
      <w:numFmt w:val="chineseCounting"/>
      <w:suff w:val="nothing"/>
      <w:lvlText w:val="（%1）"/>
      <w:lvlJc w:val="left"/>
      <w:pPr>
        <w:ind w:left="0" w:firstLine="420"/>
      </w:pPr>
      <w:rPr>
        <w:rFonts w:hint="eastAsia"/>
      </w:rPr>
    </w:lvl>
  </w:abstractNum>
  <w:abstractNum w:abstractNumId="408">
    <w:nsid w:val="7D8E7B8E"/>
    <w:multiLevelType w:val="singleLevel"/>
    <w:tmpl w:val="7D8E7B8E"/>
    <w:lvl w:ilvl="0" w:tentative="0">
      <w:start w:val="1"/>
      <w:numFmt w:val="chineseCounting"/>
      <w:suff w:val="nothing"/>
      <w:lvlText w:val="（%1）"/>
      <w:lvlJc w:val="left"/>
      <w:pPr>
        <w:ind w:left="0" w:firstLine="420"/>
      </w:pPr>
      <w:rPr>
        <w:rFonts w:hint="eastAsia"/>
      </w:rPr>
    </w:lvl>
  </w:abstractNum>
  <w:abstractNum w:abstractNumId="409">
    <w:nsid w:val="7FA5B051"/>
    <w:multiLevelType w:val="singleLevel"/>
    <w:tmpl w:val="7FA5B051"/>
    <w:lvl w:ilvl="0" w:tentative="0">
      <w:start w:val="1"/>
      <w:numFmt w:val="decimal"/>
      <w:suff w:val="nothing"/>
      <w:lvlText w:val="%1."/>
      <w:lvlJc w:val="left"/>
      <w:pPr>
        <w:ind w:left="0" w:firstLine="0"/>
      </w:pPr>
      <w:rPr>
        <w:rFonts w:hint="default"/>
      </w:rPr>
    </w:lvl>
  </w:abstractNum>
  <w:num w:numId="1">
    <w:abstractNumId w:val="326"/>
  </w:num>
  <w:num w:numId="2">
    <w:abstractNumId w:val="69"/>
  </w:num>
  <w:num w:numId="3">
    <w:abstractNumId w:val="143"/>
  </w:num>
  <w:num w:numId="4">
    <w:abstractNumId w:val="90"/>
  </w:num>
  <w:num w:numId="5">
    <w:abstractNumId w:val="274"/>
  </w:num>
  <w:num w:numId="6">
    <w:abstractNumId w:val="362"/>
  </w:num>
  <w:num w:numId="7">
    <w:abstractNumId w:val="387"/>
  </w:num>
  <w:num w:numId="8">
    <w:abstractNumId w:val="197"/>
  </w:num>
  <w:num w:numId="9">
    <w:abstractNumId w:val="400"/>
  </w:num>
  <w:num w:numId="10">
    <w:abstractNumId w:val="31"/>
  </w:num>
  <w:num w:numId="11">
    <w:abstractNumId w:val="301"/>
  </w:num>
  <w:num w:numId="12">
    <w:abstractNumId w:val="115"/>
  </w:num>
  <w:num w:numId="13">
    <w:abstractNumId w:val="181"/>
  </w:num>
  <w:num w:numId="14">
    <w:abstractNumId w:val="180"/>
  </w:num>
  <w:num w:numId="15">
    <w:abstractNumId w:val="191"/>
  </w:num>
  <w:num w:numId="16">
    <w:abstractNumId w:val="189"/>
  </w:num>
  <w:num w:numId="17">
    <w:abstractNumId w:val="187"/>
  </w:num>
  <w:num w:numId="18">
    <w:abstractNumId w:val="190"/>
  </w:num>
  <w:num w:numId="19">
    <w:abstractNumId w:val="184"/>
  </w:num>
  <w:num w:numId="20">
    <w:abstractNumId w:val="178"/>
  </w:num>
  <w:num w:numId="21">
    <w:abstractNumId w:val="182"/>
  </w:num>
  <w:num w:numId="22">
    <w:abstractNumId w:val="185"/>
  </w:num>
  <w:num w:numId="23">
    <w:abstractNumId w:val="186"/>
  </w:num>
  <w:num w:numId="24">
    <w:abstractNumId w:val="188"/>
  </w:num>
  <w:num w:numId="25">
    <w:abstractNumId w:val="179"/>
  </w:num>
  <w:num w:numId="26">
    <w:abstractNumId w:val="271"/>
  </w:num>
  <w:num w:numId="27">
    <w:abstractNumId w:val="309"/>
  </w:num>
  <w:num w:numId="28">
    <w:abstractNumId w:val="381"/>
  </w:num>
  <w:num w:numId="29">
    <w:abstractNumId w:val="397"/>
  </w:num>
  <w:num w:numId="30">
    <w:abstractNumId w:val="57"/>
  </w:num>
  <w:num w:numId="31">
    <w:abstractNumId w:val="348"/>
  </w:num>
  <w:num w:numId="32">
    <w:abstractNumId w:val="60"/>
  </w:num>
  <w:num w:numId="33">
    <w:abstractNumId w:val="248"/>
  </w:num>
  <w:num w:numId="34">
    <w:abstractNumId w:val="183"/>
  </w:num>
  <w:num w:numId="35">
    <w:abstractNumId w:val="11"/>
  </w:num>
  <w:num w:numId="36">
    <w:abstractNumId w:val="262"/>
  </w:num>
  <w:num w:numId="37">
    <w:abstractNumId w:val="67"/>
  </w:num>
  <w:num w:numId="38">
    <w:abstractNumId w:val="403"/>
  </w:num>
  <w:num w:numId="39">
    <w:abstractNumId w:val="265"/>
  </w:num>
  <w:num w:numId="40">
    <w:abstractNumId w:val="192"/>
  </w:num>
  <w:num w:numId="41">
    <w:abstractNumId w:val="121"/>
  </w:num>
  <w:num w:numId="42">
    <w:abstractNumId w:val="249"/>
  </w:num>
  <w:num w:numId="43">
    <w:abstractNumId w:val="132"/>
  </w:num>
  <w:num w:numId="44">
    <w:abstractNumId w:val="27"/>
  </w:num>
  <w:num w:numId="45">
    <w:abstractNumId w:val="225"/>
  </w:num>
  <w:num w:numId="46">
    <w:abstractNumId w:val="103"/>
  </w:num>
  <w:num w:numId="47">
    <w:abstractNumId w:val="80"/>
  </w:num>
  <w:num w:numId="48">
    <w:abstractNumId w:val="137"/>
  </w:num>
  <w:num w:numId="49">
    <w:abstractNumId w:val="108"/>
  </w:num>
  <w:num w:numId="50">
    <w:abstractNumId w:val="14"/>
  </w:num>
  <w:num w:numId="51">
    <w:abstractNumId w:val="358"/>
  </w:num>
  <w:num w:numId="52">
    <w:abstractNumId w:val="28"/>
  </w:num>
  <w:num w:numId="53">
    <w:abstractNumId w:val="347"/>
  </w:num>
  <w:num w:numId="54">
    <w:abstractNumId w:val="134"/>
  </w:num>
  <w:num w:numId="55">
    <w:abstractNumId w:val="113"/>
  </w:num>
  <w:num w:numId="56">
    <w:abstractNumId w:val="55"/>
  </w:num>
  <w:num w:numId="57">
    <w:abstractNumId w:val="116"/>
  </w:num>
  <w:num w:numId="58">
    <w:abstractNumId w:val="92"/>
  </w:num>
  <w:num w:numId="59">
    <w:abstractNumId w:val="152"/>
  </w:num>
  <w:num w:numId="60">
    <w:abstractNumId w:val="155"/>
  </w:num>
  <w:num w:numId="61">
    <w:abstractNumId w:val="391"/>
  </w:num>
  <w:num w:numId="62">
    <w:abstractNumId w:val="336"/>
  </w:num>
  <w:num w:numId="63">
    <w:abstractNumId w:val="112"/>
  </w:num>
  <w:num w:numId="64">
    <w:abstractNumId w:val="361"/>
  </w:num>
  <w:num w:numId="65">
    <w:abstractNumId w:val="22"/>
  </w:num>
  <w:num w:numId="66">
    <w:abstractNumId w:val="398"/>
  </w:num>
  <w:num w:numId="67">
    <w:abstractNumId w:val="17"/>
  </w:num>
  <w:num w:numId="68">
    <w:abstractNumId w:val="207"/>
  </w:num>
  <w:num w:numId="69">
    <w:abstractNumId w:val="370"/>
  </w:num>
  <w:num w:numId="70">
    <w:abstractNumId w:val="304"/>
  </w:num>
  <w:num w:numId="71">
    <w:abstractNumId w:val="264"/>
  </w:num>
  <w:num w:numId="72">
    <w:abstractNumId w:val="119"/>
  </w:num>
  <w:num w:numId="73">
    <w:abstractNumId w:val="139"/>
  </w:num>
  <w:num w:numId="74">
    <w:abstractNumId w:val="50"/>
  </w:num>
  <w:num w:numId="75">
    <w:abstractNumId w:val="390"/>
  </w:num>
  <w:num w:numId="76">
    <w:abstractNumId w:val="382"/>
  </w:num>
  <w:num w:numId="77">
    <w:abstractNumId w:val="41"/>
  </w:num>
  <w:num w:numId="78">
    <w:abstractNumId w:val="251"/>
  </w:num>
  <w:num w:numId="79">
    <w:abstractNumId w:val="267"/>
  </w:num>
  <w:num w:numId="80">
    <w:abstractNumId w:val="303"/>
  </w:num>
  <w:num w:numId="81">
    <w:abstractNumId w:val="247"/>
  </w:num>
  <w:num w:numId="82">
    <w:abstractNumId w:val="53"/>
  </w:num>
  <w:num w:numId="83">
    <w:abstractNumId w:val="233"/>
  </w:num>
  <w:num w:numId="84">
    <w:abstractNumId w:val="299"/>
  </w:num>
  <w:num w:numId="85">
    <w:abstractNumId w:val="169"/>
  </w:num>
  <w:num w:numId="86">
    <w:abstractNumId w:val="94"/>
  </w:num>
  <w:num w:numId="87">
    <w:abstractNumId w:val="174"/>
  </w:num>
  <w:num w:numId="88">
    <w:abstractNumId w:val="45"/>
  </w:num>
  <w:num w:numId="89">
    <w:abstractNumId w:val="229"/>
  </w:num>
  <w:num w:numId="90">
    <w:abstractNumId w:val="214"/>
  </w:num>
  <w:num w:numId="91">
    <w:abstractNumId w:val="373"/>
  </w:num>
  <w:num w:numId="92">
    <w:abstractNumId w:val="196"/>
  </w:num>
  <w:num w:numId="93">
    <w:abstractNumId w:val="355"/>
  </w:num>
  <w:num w:numId="94">
    <w:abstractNumId w:val="209"/>
  </w:num>
  <w:num w:numId="95">
    <w:abstractNumId w:val="402"/>
  </w:num>
  <w:num w:numId="96">
    <w:abstractNumId w:val="36"/>
  </w:num>
  <w:num w:numId="97">
    <w:abstractNumId w:val="39"/>
  </w:num>
  <w:num w:numId="98">
    <w:abstractNumId w:val="123"/>
  </w:num>
  <w:num w:numId="99">
    <w:abstractNumId w:val="295"/>
  </w:num>
  <w:num w:numId="100">
    <w:abstractNumId w:val="37"/>
  </w:num>
  <w:num w:numId="101">
    <w:abstractNumId w:val="215"/>
  </w:num>
  <w:num w:numId="102">
    <w:abstractNumId w:val="287"/>
  </w:num>
  <w:num w:numId="103">
    <w:abstractNumId w:val="206"/>
  </w:num>
  <w:num w:numId="104">
    <w:abstractNumId w:val="343"/>
  </w:num>
  <w:num w:numId="105">
    <w:abstractNumId w:val="105"/>
  </w:num>
  <w:num w:numId="106">
    <w:abstractNumId w:val="175"/>
  </w:num>
  <w:num w:numId="107">
    <w:abstractNumId w:val="223"/>
  </w:num>
  <w:num w:numId="108">
    <w:abstractNumId w:val="172"/>
  </w:num>
  <w:num w:numId="109">
    <w:abstractNumId w:val="167"/>
  </w:num>
  <w:num w:numId="110">
    <w:abstractNumId w:val="159"/>
  </w:num>
  <w:num w:numId="111">
    <w:abstractNumId w:val="288"/>
  </w:num>
  <w:num w:numId="112">
    <w:abstractNumId w:val="97"/>
  </w:num>
  <w:num w:numId="113">
    <w:abstractNumId w:val="7"/>
  </w:num>
  <w:num w:numId="114">
    <w:abstractNumId w:val="246"/>
  </w:num>
  <w:num w:numId="115">
    <w:abstractNumId w:val="227"/>
  </w:num>
  <w:num w:numId="116">
    <w:abstractNumId w:val="146"/>
  </w:num>
  <w:num w:numId="117">
    <w:abstractNumId w:val="281"/>
  </w:num>
  <w:num w:numId="118">
    <w:abstractNumId w:val="86"/>
  </w:num>
  <w:num w:numId="119">
    <w:abstractNumId w:val="234"/>
  </w:num>
  <w:num w:numId="120">
    <w:abstractNumId w:val="135"/>
  </w:num>
  <w:num w:numId="121">
    <w:abstractNumId w:val="68"/>
  </w:num>
  <w:num w:numId="122">
    <w:abstractNumId w:val="54"/>
  </w:num>
  <w:num w:numId="123">
    <w:abstractNumId w:val="276"/>
  </w:num>
  <w:num w:numId="124">
    <w:abstractNumId w:val="226"/>
  </w:num>
  <w:num w:numId="125">
    <w:abstractNumId w:val="237"/>
  </w:num>
  <w:num w:numId="126">
    <w:abstractNumId w:val="72"/>
  </w:num>
  <w:num w:numId="127">
    <w:abstractNumId w:val="9"/>
  </w:num>
  <w:num w:numId="128">
    <w:abstractNumId w:val="213"/>
  </w:num>
  <w:num w:numId="129">
    <w:abstractNumId w:val="16"/>
  </w:num>
  <w:num w:numId="130">
    <w:abstractNumId w:val="241"/>
  </w:num>
  <w:num w:numId="131">
    <w:abstractNumId w:val="277"/>
  </w:num>
  <w:num w:numId="132">
    <w:abstractNumId w:val="337"/>
  </w:num>
  <w:num w:numId="133">
    <w:abstractNumId w:val="212"/>
  </w:num>
  <w:num w:numId="134">
    <w:abstractNumId w:val="353"/>
  </w:num>
  <w:num w:numId="135">
    <w:abstractNumId w:val="195"/>
  </w:num>
  <w:num w:numId="136">
    <w:abstractNumId w:val="298"/>
  </w:num>
  <w:num w:numId="137">
    <w:abstractNumId w:val="85"/>
  </w:num>
  <w:num w:numId="138">
    <w:abstractNumId w:val="399"/>
  </w:num>
  <w:num w:numId="139">
    <w:abstractNumId w:val="203"/>
  </w:num>
  <w:num w:numId="140">
    <w:abstractNumId w:val="56"/>
  </w:num>
  <w:num w:numId="141">
    <w:abstractNumId w:val="282"/>
  </w:num>
  <w:num w:numId="142">
    <w:abstractNumId w:val="368"/>
  </w:num>
  <w:num w:numId="143">
    <w:abstractNumId w:val="93"/>
  </w:num>
  <w:num w:numId="144">
    <w:abstractNumId w:val="73"/>
  </w:num>
  <w:num w:numId="145">
    <w:abstractNumId w:val="111"/>
  </w:num>
  <w:num w:numId="146">
    <w:abstractNumId w:val="314"/>
  </w:num>
  <w:num w:numId="147">
    <w:abstractNumId w:val="79"/>
  </w:num>
  <w:num w:numId="148">
    <w:abstractNumId w:val="12"/>
  </w:num>
  <w:num w:numId="149">
    <w:abstractNumId w:val="46"/>
  </w:num>
  <w:num w:numId="150">
    <w:abstractNumId w:val="401"/>
  </w:num>
  <w:num w:numId="151">
    <w:abstractNumId w:val="95"/>
  </w:num>
  <w:num w:numId="152">
    <w:abstractNumId w:val="176"/>
  </w:num>
  <w:num w:numId="153">
    <w:abstractNumId w:val="88"/>
  </w:num>
  <w:num w:numId="154">
    <w:abstractNumId w:val="345"/>
  </w:num>
  <w:num w:numId="155">
    <w:abstractNumId w:val="78"/>
  </w:num>
  <w:num w:numId="156">
    <w:abstractNumId w:val="341"/>
  </w:num>
  <w:num w:numId="157">
    <w:abstractNumId w:val="383"/>
  </w:num>
  <w:num w:numId="158">
    <w:abstractNumId w:val="208"/>
  </w:num>
  <w:num w:numId="159">
    <w:abstractNumId w:val="120"/>
  </w:num>
  <w:num w:numId="160">
    <w:abstractNumId w:val="342"/>
  </w:num>
  <w:num w:numId="161">
    <w:abstractNumId w:val="23"/>
  </w:num>
  <w:num w:numId="162">
    <w:abstractNumId w:val="144"/>
  </w:num>
  <w:num w:numId="163">
    <w:abstractNumId w:val="374"/>
  </w:num>
  <w:num w:numId="164">
    <w:abstractNumId w:val="4"/>
  </w:num>
  <w:num w:numId="165">
    <w:abstractNumId w:val="52"/>
  </w:num>
  <w:num w:numId="166">
    <w:abstractNumId w:val="100"/>
  </w:num>
  <w:num w:numId="167">
    <w:abstractNumId w:val="365"/>
  </w:num>
  <w:num w:numId="168">
    <w:abstractNumId w:val="245"/>
  </w:num>
  <w:num w:numId="169">
    <w:abstractNumId w:val="102"/>
  </w:num>
  <w:num w:numId="170">
    <w:abstractNumId w:val="369"/>
  </w:num>
  <w:num w:numId="171">
    <w:abstractNumId w:val="393"/>
  </w:num>
  <w:num w:numId="172">
    <w:abstractNumId w:val="217"/>
  </w:num>
  <w:num w:numId="173">
    <w:abstractNumId w:val="359"/>
  </w:num>
  <w:num w:numId="174">
    <w:abstractNumId w:val="329"/>
  </w:num>
  <w:num w:numId="175">
    <w:abstractNumId w:val="15"/>
  </w:num>
  <w:num w:numId="176">
    <w:abstractNumId w:val="231"/>
  </w:num>
  <w:num w:numId="177">
    <w:abstractNumId w:val="286"/>
  </w:num>
  <w:num w:numId="178">
    <w:abstractNumId w:val="321"/>
  </w:num>
  <w:num w:numId="179">
    <w:abstractNumId w:val="302"/>
  </w:num>
  <w:num w:numId="180">
    <w:abstractNumId w:val="201"/>
  </w:num>
  <w:num w:numId="181">
    <w:abstractNumId w:val="272"/>
  </w:num>
  <w:num w:numId="182">
    <w:abstractNumId w:val="340"/>
  </w:num>
  <w:num w:numId="183">
    <w:abstractNumId w:val="193"/>
  </w:num>
  <w:num w:numId="184">
    <w:abstractNumId w:val="275"/>
  </w:num>
  <w:num w:numId="185">
    <w:abstractNumId w:val="58"/>
  </w:num>
  <w:num w:numId="186">
    <w:abstractNumId w:val="372"/>
  </w:num>
  <w:num w:numId="187">
    <w:abstractNumId w:val="210"/>
  </w:num>
  <w:num w:numId="188">
    <w:abstractNumId w:val="322"/>
  </w:num>
  <w:num w:numId="189">
    <w:abstractNumId w:val="133"/>
  </w:num>
  <w:num w:numId="190">
    <w:abstractNumId w:val="148"/>
  </w:num>
  <w:num w:numId="191">
    <w:abstractNumId w:val="407"/>
  </w:num>
  <w:num w:numId="192">
    <w:abstractNumId w:val="256"/>
  </w:num>
  <w:num w:numId="193">
    <w:abstractNumId w:val="327"/>
  </w:num>
  <w:num w:numId="194">
    <w:abstractNumId w:val="32"/>
  </w:num>
  <w:num w:numId="195">
    <w:abstractNumId w:val="77"/>
  </w:num>
  <w:num w:numId="196">
    <w:abstractNumId w:val="161"/>
  </w:num>
  <w:num w:numId="197">
    <w:abstractNumId w:val="238"/>
  </w:num>
  <w:num w:numId="198">
    <w:abstractNumId w:val="26"/>
  </w:num>
  <w:num w:numId="199">
    <w:abstractNumId w:val="290"/>
  </w:num>
  <w:num w:numId="200">
    <w:abstractNumId w:val="47"/>
  </w:num>
  <w:num w:numId="201">
    <w:abstractNumId w:val="154"/>
  </w:num>
  <w:num w:numId="202">
    <w:abstractNumId w:val="24"/>
  </w:num>
  <w:num w:numId="203">
    <w:abstractNumId w:val="211"/>
  </w:num>
  <w:num w:numId="204">
    <w:abstractNumId w:val="125"/>
  </w:num>
  <w:num w:numId="205">
    <w:abstractNumId w:val="138"/>
  </w:num>
  <w:num w:numId="206">
    <w:abstractNumId w:val="65"/>
  </w:num>
  <w:num w:numId="207">
    <w:abstractNumId w:val="261"/>
  </w:num>
  <w:num w:numId="208">
    <w:abstractNumId w:val="33"/>
  </w:num>
  <w:num w:numId="209">
    <w:abstractNumId w:val="377"/>
  </w:num>
  <w:num w:numId="210">
    <w:abstractNumId w:val="242"/>
  </w:num>
  <w:num w:numId="211">
    <w:abstractNumId w:val="294"/>
  </w:num>
  <w:num w:numId="212">
    <w:abstractNumId w:val="278"/>
  </w:num>
  <w:num w:numId="213">
    <w:abstractNumId w:val="363"/>
  </w:num>
  <w:num w:numId="214">
    <w:abstractNumId w:val="297"/>
  </w:num>
  <w:num w:numId="215">
    <w:abstractNumId w:val="89"/>
  </w:num>
  <w:num w:numId="216">
    <w:abstractNumId w:val="96"/>
  </w:num>
  <w:num w:numId="217">
    <w:abstractNumId w:val="83"/>
  </w:num>
  <w:num w:numId="218">
    <w:abstractNumId w:val="331"/>
  </w:num>
  <w:num w:numId="219">
    <w:abstractNumId w:val="388"/>
  </w:num>
  <w:num w:numId="220">
    <w:abstractNumId w:val="293"/>
  </w:num>
  <w:num w:numId="221">
    <w:abstractNumId w:val="263"/>
  </w:num>
  <w:num w:numId="222">
    <w:abstractNumId w:val="29"/>
  </w:num>
  <w:num w:numId="223">
    <w:abstractNumId w:val="122"/>
  </w:num>
  <w:num w:numId="224">
    <w:abstractNumId w:val="305"/>
  </w:num>
  <w:num w:numId="225">
    <w:abstractNumId w:val="110"/>
  </w:num>
  <w:num w:numId="226">
    <w:abstractNumId w:val="59"/>
  </w:num>
  <w:num w:numId="227">
    <w:abstractNumId w:val="91"/>
  </w:num>
  <w:num w:numId="228">
    <w:abstractNumId w:val="153"/>
  </w:num>
  <w:num w:numId="229">
    <w:abstractNumId w:val="61"/>
  </w:num>
  <w:num w:numId="230">
    <w:abstractNumId w:val="260"/>
  </w:num>
  <w:num w:numId="231">
    <w:abstractNumId w:val="63"/>
  </w:num>
  <w:num w:numId="232">
    <w:abstractNumId w:val="177"/>
  </w:num>
  <w:num w:numId="233">
    <w:abstractNumId w:val="21"/>
  </w:num>
  <w:num w:numId="234">
    <w:abstractNumId w:val="117"/>
  </w:num>
  <w:num w:numId="235">
    <w:abstractNumId w:val="219"/>
  </w:num>
  <w:num w:numId="236">
    <w:abstractNumId w:val="376"/>
  </w:num>
  <w:num w:numId="237">
    <w:abstractNumId w:val="320"/>
  </w:num>
  <w:num w:numId="238">
    <w:abstractNumId w:val="147"/>
  </w:num>
  <w:num w:numId="239">
    <w:abstractNumId w:val="81"/>
  </w:num>
  <w:num w:numId="240">
    <w:abstractNumId w:val="380"/>
  </w:num>
  <w:num w:numId="241">
    <w:abstractNumId w:val="257"/>
  </w:num>
  <w:num w:numId="242">
    <w:abstractNumId w:val="310"/>
  </w:num>
  <w:num w:numId="243">
    <w:abstractNumId w:val="255"/>
  </w:num>
  <w:num w:numId="244">
    <w:abstractNumId w:val="107"/>
  </w:num>
  <w:num w:numId="245">
    <w:abstractNumId w:val="239"/>
  </w:num>
  <w:num w:numId="246">
    <w:abstractNumId w:val="82"/>
  </w:num>
  <w:num w:numId="247">
    <w:abstractNumId w:val="385"/>
  </w:num>
  <w:num w:numId="248">
    <w:abstractNumId w:val="118"/>
  </w:num>
  <w:num w:numId="249">
    <w:abstractNumId w:val="349"/>
  </w:num>
  <w:num w:numId="250">
    <w:abstractNumId w:val="158"/>
  </w:num>
  <w:num w:numId="251">
    <w:abstractNumId w:val="10"/>
  </w:num>
  <w:num w:numId="252">
    <w:abstractNumId w:val="268"/>
  </w:num>
  <w:num w:numId="253">
    <w:abstractNumId w:val="253"/>
  </w:num>
  <w:num w:numId="254">
    <w:abstractNumId w:val="150"/>
  </w:num>
  <w:num w:numId="255">
    <w:abstractNumId w:val="378"/>
  </w:num>
  <w:num w:numId="256">
    <w:abstractNumId w:val="30"/>
  </w:num>
  <w:num w:numId="257">
    <w:abstractNumId w:val="266"/>
  </w:num>
  <w:num w:numId="258">
    <w:abstractNumId w:val="124"/>
  </w:num>
  <w:num w:numId="259">
    <w:abstractNumId w:val="360"/>
  </w:num>
  <w:num w:numId="260">
    <w:abstractNumId w:val="254"/>
  </w:num>
  <w:num w:numId="261">
    <w:abstractNumId w:val="202"/>
  </w:num>
  <w:num w:numId="262">
    <w:abstractNumId w:val="104"/>
  </w:num>
  <w:num w:numId="263">
    <w:abstractNumId w:val="40"/>
  </w:num>
  <w:num w:numId="264">
    <w:abstractNumId w:val="244"/>
  </w:num>
  <w:num w:numId="265">
    <w:abstractNumId w:val="330"/>
  </w:num>
  <w:num w:numId="266">
    <w:abstractNumId w:val="66"/>
  </w:num>
  <w:num w:numId="267">
    <w:abstractNumId w:val="127"/>
  </w:num>
  <w:num w:numId="268">
    <w:abstractNumId w:val="198"/>
  </w:num>
  <w:num w:numId="269">
    <w:abstractNumId w:val="87"/>
  </w:num>
  <w:num w:numId="270">
    <w:abstractNumId w:val="367"/>
  </w:num>
  <w:num w:numId="271">
    <w:abstractNumId w:val="280"/>
  </w:num>
  <w:num w:numId="272">
    <w:abstractNumId w:val="308"/>
  </w:num>
  <w:num w:numId="273">
    <w:abstractNumId w:val="38"/>
  </w:num>
  <w:num w:numId="274">
    <w:abstractNumId w:val="8"/>
  </w:num>
  <w:num w:numId="275">
    <w:abstractNumId w:val="352"/>
  </w:num>
  <w:num w:numId="276">
    <w:abstractNumId w:val="296"/>
  </w:num>
  <w:num w:numId="277">
    <w:abstractNumId w:val="289"/>
  </w:num>
  <w:num w:numId="278">
    <w:abstractNumId w:val="240"/>
  </w:num>
  <w:num w:numId="279">
    <w:abstractNumId w:val="269"/>
  </w:num>
  <w:num w:numId="280">
    <w:abstractNumId w:val="386"/>
  </w:num>
  <w:num w:numId="281">
    <w:abstractNumId w:val="364"/>
  </w:num>
  <w:num w:numId="282">
    <w:abstractNumId w:val="332"/>
  </w:num>
  <w:num w:numId="283">
    <w:abstractNumId w:val="339"/>
  </w:num>
  <w:num w:numId="284">
    <w:abstractNumId w:val="384"/>
  </w:num>
  <w:num w:numId="285">
    <w:abstractNumId w:val="315"/>
  </w:num>
  <w:num w:numId="286">
    <w:abstractNumId w:val="114"/>
  </w:num>
  <w:num w:numId="287">
    <w:abstractNumId w:val="371"/>
  </w:num>
  <w:num w:numId="288">
    <w:abstractNumId w:val="13"/>
  </w:num>
  <w:num w:numId="289">
    <w:abstractNumId w:val="49"/>
  </w:num>
  <w:num w:numId="290">
    <w:abstractNumId w:val="0"/>
  </w:num>
  <w:num w:numId="291">
    <w:abstractNumId w:val="43"/>
  </w:num>
  <w:num w:numId="292">
    <w:abstractNumId w:val="99"/>
  </w:num>
  <w:num w:numId="293">
    <w:abstractNumId w:val="366"/>
  </w:num>
  <w:num w:numId="294">
    <w:abstractNumId w:val="316"/>
  </w:num>
  <w:num w:numId="295">
    <w:abstractNumId w:val="318"/>
  </w:num>
  <w:num w:numId="296">
    <w:abstractNumId w:val="312"/>
  </w:num>
  <w:num w:numId="297">
    <w:abstractNumId w:val="270"/>
  </w:num>
  <w:num w:numId="298">
    <w:abstractNumId w:val="338"/>
  </w:num>
  <w:num w:numId="299">
    <w:abstractNumId w:val="409"/>
  </w:num>
  <w:num w:numId="300">
    <w:abstractNumId w:val="346"/>
  </w:num>
  <w:num w:numId="301">
    <w:abstractNumId w:val="76"/>
  </w:num>
  <w:num w:numId="302">
    <w:abstractNumId w:val="224"/>
  </w:num>
  <w:num w:numId="303">
    <w:abstractNumId w:val="6"/>
  </w:num>
  <w:num w:numId="304">
    <w:abstractNumId w:val="64"/>
  </w:num>
  <w:num w:numId="305">
    <w:abstractNumId w:val="98"/>
  </w:num>
  <w:num w:numId="306">
    <w:abstractNumId w:val="284"/>
  </w:num>
  <w:num w:numId="307">
    <w:abstractNumId w:val="356"/>
  </w:num>
  <w:num w:numId="308">
    <w:abstractNumId w:val="283"/>
  </w:num>
  <w:num w:numId="309">
    <w:abstractNumId w:val="199"/>
  </w:num>
  <w:num w:numId="310">
    <w:abstractNumId w:val="163"/>
  </w:num>
  <w:num w:numId="311">
    <w:abstractNumId w:val="3"/>
  </w:num>
  <w:num w:numId="312">
    <w:abstractNumId w:val="328"/>
  </w:num>
  <w:num w:numId="313">
    <w:abstractNumId w:val="317"/>
  </w:num>
  <w:num w:numId="314">
    <w:abstractNumId w:val="344"/>
  </w:num>
  <w:num w:numId="315">
    <w:abstractNumId w:val="279"/>
  </w:num>
  <w:num w:numId="316">
    <w:abstractNumId w:val="200"/>
  </w:num>
  <w:num w:numId="317">
    <w:abstractNumId w:val="71"/>
  </w:num>
  <w:num w:numId="318">
    <w:abstractNumId w:val="379"/>
  </w:num>
  <w:num w:numId="319">
    <w:abstractNumId w:val="160"/>
  </w:num>
  <w:num w:numId="320">
    <w:abstractNumId w:val="84"/>
  </w:num>
  <w:num w:numId="321">
    <w:abstractNumId w:val="228"/>
  </w:num>
  <w:num w:numId="322">
    <w:abstractNumId w:val="285"/>
  </w:num>
  <w:num w:numId="323">
    <w:abstractNumId w:val="292"/>
  </w:num>
  <w:num w:numId="324">
    <w:abstractNumId w:val="42"/>
  </w:num>
  <w:num w:numId="325">
    <w:abstractNumId w:val="25"/>
  </w:num>
  <w:num w:numId="326">
    <w:abstractNumId w:val="250"/>
  </w:num>
  <w:num w:numId="327">
    <w:abstractNumId w:val="300"/>
  </w:num>
  <w:num w:numId="328">
    <w:abstractNumId w:val="306"/>
  </w:num>
  <w:num w:numId="329">
    <w:abstractNumId w:val="395"/>
  </w:num>
  <w:num w:numId="330">
    <w:abstractNumId w:val="142"/>
  </w:num>
  <w:num w:numId="331">
    <w:abstractNumId w:val="307"/>
  </w:num>
  <w:num w:numId="332">
    <w:abstractNumId w:val="34"/>
  </w:num>
  <w:num w:numId="333">
    <w:abstractNumId w:val="74"/>
  </w:num>
  <w:num w:numId="334">
    <w:abstractNumId w:val="109"/>
  </w:num>
  <w:num w:numId="335">
    <w:abstractNumId w:val="220"/>
  </w:num>
  <w:num w:numId="336">
    <w:abstractNumId w:val="252"/>
  </w:num>
  <w:num w:numId="337">
    <w:abstractNumId w:val="70"/>
  </w:num>
  <w:num w:numId="338">
    <w:abstractNumId w:val="375"/>
  </w:num>
  <w:num w:numId="339">
    <w:abstractNumId w:val="51"/>
  </w:num>
  <w:num w:numId="340">
    <w:abstractNumId w:val="351"/>
  </w:num>
  <w:num w:numId="341">
    <w:abstractNumId w:val="324"/>
  </w:num>
  <w:num w:numId="342">
    <w:abstractNumId w:val="230"/>
  </w:num>
  <w:num w:numId="343">
    <w:abstractNumId w:val="236"/>
  </w:num>
  <w:num w:numId="344">
    <w:abstractNumId w:val="408"/>
  </w:num>
  <w:num w:numId="345">
    <w:abstractNumId w:val="405"/>
  </w:num>
  <w:num w:numId="346">
    <w:abstractNumId w:val="392"/>
  </w:num>
  <w:num w:numId="347">
    <w:abstractNumId w:val="291"/>
  </w:num>
  <w:num w:numId="348">
    <w:abstractNumId w:val="259"/>
  </w:num>
  <w:num w:numId="349">
    <w:abstractNumId w:val="273"/>
  </w:num>
  <w:num w:numId="350">
    <w:abstractNumId w:val="140"/>
  </w:num>
  <w:num w:numId="351">
    <w:abstractNumId w:val="156"/>
  </w:num>
  <w:num w:numId="352">
    <w:abstractNumId w:val="164"/>
  </w:num>
  <w:num w:numId="353">
    <w:abstractNumId w:val="165"/>
  </w:num>
  <w:num w:numId="354">
    <w:abstractNumId w:val="136"/>
  </w:num>
  <w:num w:numId="355">
    <w:abstractNumId w:val="5"/>
  </w:num>
  <w:num w:numId="356">
    <w:abstractNumId w:val="325"/>
  </w:num>
  <w:num w:numId="357">
    <w:abstractNumId w:val="323"/>
  </w:num>
  <w:num w:numId="358">
    <w:abstractNumId w:val="357"/>
  </w:num>
  <w:num w:numId="359">
    <w:abstractNumId w:val="20"/>
  </w:num>
  <w:num w:numId="360">
    <w:abstractNumId w:val="232"/>
  </w:num>
  <w:num w:numId="361">
    <w:abstractNumId w:val="171"/>
  </w:num>
  <w:num w:numId="362">
    <w:abstractNumId w:val="350"/>
  </w:num>
  <w:num w:numId="363">
    <w:abstractNumId w:val="166"/>
  </w:num>
  <w:num w:numId="364">
    <w:abstractNumId w:val="145"/>
  </w:num>
  <w:num w:numId="365">
    <w:abstractNumId w:val="205"/>
  </w:num>
  <w:num w:numId="366">
    <w:abstractNumId w:val="129"/>
  </w:num>
  <w:num w:numId="367">
    <w:abstractNumId w:val="170"/>
  </w:num>
  <w:num w:numId="368">
    <w:abstractNumId w:val="151"/>
  </w:num>
  <w:num w:numId="369">
    <w:abstractNumId w:val="35"/>
  </w:num>
  <w:num w:numId="370">
    <w:abstractNumId w:val="48"/>
  </w:num>
  <w:num w:numId="371">
    <w:abstractNumId w:val="2"/>
  </w:num>
  <w:num w:numId="372">
    <w:abstractNumId w:val="335"/>
  </w:num>
  <w:num w:numId="373">
    <w:abstractNumId w:val="222"/>
  </w:num>
  <w:num w:numId="374">
    <w:abstractNumId w:val="19"/>
  </w:num>
  <w:num w:numId="375">
    <w:abstractNumId w:val="406"/>
  </w:num>
  <w:num w:numId="376">
    <w:abstractNumId w:val="218"/>
  </w:num>
  <w:num w:numId="377">
    <w:abstractNumId w:val="204"/>
  </w:num>
  <w:num w:numId="378">
    <w:abstractNumId w:val="221"/>
  </w:num>
  <w:num w:numId="379">
    <w:abstractNumId w:val="157"/>
  </w:num>
  <w:num w:numId="380">
    <w:abstractNumId w:val="394"/>
  </w:num>
  <w:num w:numId="381">
    <w:abstractNumId w:val="333"/>
  </w:num>
  <w:num w:numId="382">
    <w:abstractNumId w:val="1"/>
  </w:num>
  <w:num w:numId="383">
    <w:abstractNumId w:val="18"/>
  </w:num>
  <w:num w:numId="384">
    <w:abstractNumId w:val="131"/>
  </w:num>
  <w:num w:numId="385">
    <w:abstractNumId w:val="334"/>
  </w:num>
  <w:num w:numId="386">
    <w:abstractNumId w:val="194"/>
  </w:num>
  <w:num w:numId="387">
    <w:abstractNumId w:val="106"/>
  </w:num>
  <w:num w:numId="388">
    <w:abstractNumId w:val="168"/>
  </w:num>
  <w:num w:numId="389">
    <w:abstractNumId w:val="149"/>
  </w:num>
  <w:num w:numId="390">
    <w:abstractNumId w:val="101"/>
  </w:num>
  <w:num w:numId="391">
    <w:abstractNumId w:val="128"/>
  </w:num>
  <w:num w:numId="392">
    <w:abstractNumId w:val="126"/>
  </w:num>
  <w:num w:numId="393">
    <w:abstractNumId w:val="75"/>
  </w:num>
  <w:num w:numId="394">
    <w:abstractNumId w:val="313"/>
  </w:num>
  <w:num w:numId="395">
    <w:abstractNumId w:val="173"/>
  </w:num>
  <w:num w:numId="396">
    <w:abstractNumId w:val="311"/>
  </w:num>
  <w:num w:numId="397">
    <w:abstractNumId w:val="258"/>
  </w:num>
  <w:num w:numId="398">
    <w:abstractNumId w:val="389"/>
  </w:num>
  <w:num w:numId="399">
    <w:abstractNumId w:val="243"/>
  </w:num>
  <w:num w:numId="400">
    <w:abstractNumId w:val="44"/>
  </w:num>
  <w:num w:numId="401">
    <w:abstractNumId w:val="354"/>
  </w:num>
  <w:num w:numId="402">
    <w:abstractNumId w:val="62"/>
  </w:num>
  <w:num w:numId="403">
    <w:abstractNumId w:val="404"/>
  </w:num>
  <w:num w:numId="404">
    <w:abstractNumId w:val="141"/>
  </w:num>
  <w:num w:numId="405">
    <w:abstractNumId w:val="396"/>
  </w:num>
  <w:num w:numId="406">
    <w:abstractNumId w:val="235"/>
  </w:num>
  <w:num w:numId="407">
    <w:abstractNumId w:val="162"/>
  </w:num>
  <w:num w:numId="408">
    <w:abstractNumId w:val="319"/>
  </w:num>
  <w:num w:numId="409">
    <w:abstractNumId w:val="216"/>
  </w:num>
  <w:num w:numId="410">
    <w:abstractNumId w:val="1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footnotePr>
    <w:footnote w:id="34"/>
    <w:footnote w:id="35"/>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CFB4131"/>
    <w:rsid w:val="1CFB4131"/>
    <w:rsid w:val="28467B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1" w:semiHidden="0" w:name="heading 2"/>
    <w:lsdException w:qFormat="1" w:uiPriority="1" w:semiHidden="0" w:name="heading 3"/>
    <w:lsdException w:qFormat="1"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99"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cs="Times New Roman"/>
      <w:b/>
      <w:kern w:val="44"/>
      <w:sz w:val="48"/>
      <w:szCs w:val="48"/>
    </w:rPr>
  </w:style>
  <w:style w:type="paragraph" w:styleId="3">
    <w:name w:val="heading 2"/>
    <w:basedOn w:val="1"/>
    <w:next w:val="1"/>
    <w:unhideWhenUsed/>
    <w:qFormat/>
    <w:uiPriority w:val="1"/>
    <w:pPr>
      <w:keepNext/>
      <w:keepLines/>
      <w:spacing w:before="260" w:after="260" w:line="416" w:lineRule="auto"/>
      <w:outlineLvl w:val="1"/>
    </w:pPr>
    <w:rPr>
      <w:rFonts w:ascii="Cambria" w:hAnsi="Cambria" w:eastAsia="宋体" w:cs="Mongolian Baiti"/>
      <w:b/>
      <w:bCs/>
      <w:sz w:val="32"/>
      <w:szCs w:val="32"/>
    </w:rPr>
  </w:style>
  <w:style w:type="paragraph" w:styleId="4">
    <w:name w:val="heading 3"/>
    <w:basedOn w:val="1"/>
    <w:next w:val="1"/>
    <w:link w:val="23"/>
    <w:unhideWhenUsed/>
    <w:qFormat/>
    <w:uiPriority w:val="1"/>
    <w:pPr>
      <w:keepNext/>
      <w:keepLines/>
      <w:spacing w:before="260" w:after="260" w:line="416" w:lineRule="auto"/>
      <w:outlineLvl w:val="2"/>
    </w:pPr>
    <w:rPr>
      <w:b/>
      <w:bCs/>
      <w:sz w:val="32"/>
      <w:szCs w:val="32"/>
    </w:rPr>
  </w:style>
  <w:style w:type="paragraph" w:styleId="5">
    <w:name w:val="heading 4"/>
    <w:basedOn w:val="1"/>
    <w:next w:val="1"/>
    <w:link w:val="22"/>
    <w:unhideWhenUsed/>
    <w:qFormat/>
    <w:uiPriority w:val="1"/>
    <w:pPr>
      <w:keepNext/>
      <w:keepLines/>
      <w:widowControl w:val="0"/>
      <w:adjustRightInd/>
      <w:snapToGrid/>
      <w:spacing w:before="280" w:after="290" w:line="376" w:lineRule="auto"/>
      <w:jc w:val="both"/>
      <w:outlineLvl w:val="3"/>
    </w:pPr>
    <w:rPr>
      <w:rFonts w:ascii="Cambria" w:hAnsi="Cambria" w:eastAsia="宋体" w:cs="Times New Roman"/>
      <w:b/>
      <w:bCs/>
      <w:kern w:val="2"/>
      <w:sz w:val="28"/>
      <w:szCs w:val="28"/>
    </w:rPr>
  </w:style>
  <w:style w:type="character" w:default="1" w:styleId="17">
    <w:name w:val="Default Paragraph Font"/>
    <w:semiHidden/>
    <w:uiPriority w:val="0"/>
  </w:style>
  <w:style w:type="table" w:default="1" w:styleId="15">
    <w:name w:val="Normal Table"/>
    <w:semiHidden/>
    <w:uiPriority w:val="0"/>
    <w:tblPr>
      <w:tblCellMar>
        <w:top w:w="0" w:type="dxa"/>
        <w:left w:w="108" w:type="dxa"/>
        <w:bottom w:w="0" w:type="dxa"/>
        <w:right w:w="108" w:type="dxa"/>
      </w:tblCellMar>
    </w:tblPr>
  </w:style>
  <w:style w:type="paragraph" w:styleId="6">
    <w:name w:val="Normal Indent"/>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0"/>
    </w:rPr>
  </w:style>
  <w:style w:type="paragraph" w:styleId="7">
    <w:name w:val="Body Text"/>
    <w:basedOn w:val="1"/>
    <w:qFormat/>
    <w:uiPriority w:val="1"/>
    <w:pPr>
      <w:widowControl w:val="0"/>
      <w:adjustRightInd/>
      <w:spacing w:beforeLines="50" w:afterLines="50" w:line="300" w:lineRule="auto"/>
      <w:ind w:firstLine="200" w:firstLineChars="200"/>
    </w:pPr>
    <w:rPr>
      <w:rFonts w:ascii="宋体" w:hAnsi="宋体" w:eastAsia="FangSong_GB2312" w:cs="黑体"/>
      <w:sz w:val="28"/>
      <w:szCs w:val="24"/>
      <w:lang w:eastAsia="en-US"/>
    </w:rPr>
  </w:style>
  <w:style w:type="paragraph" w:styleId="8">
    <w:name w:val="Plain Text"/>
    <w:basedOn w:val="1"/>
    <w:unhideWhenUsed/>
    <w:qFormat/>
    <w:uiPriority w:val="0"/>
    <w:pPr>
      <w:widowControl w:val="0"/>
      <w:adjustRightInd/>
      <w:snapToGrid/>
      <w:spacing w:after="0"/>
      <w:jc w:val="both"/>
    </w:pPr>
    <w:rPr>
      <w:rFonts w:ascii="宋体" w:hAnsi="Courier New" w:eastAsia="宋体" w:cs="Courier New"/>
      <w:kern w:val="2"/>
      <w:sz w:val="21"/>
      <w:szCs w:val="21"/>
    </w:rPr>
  </w:style>
  <w:style w:type="paragraph" w:styleId="9">
    <w:name w:val="footer"/>
    <w:basedOn w:val="1"/>
    <w:unhideWhenUsed/>
    <w:qFormat/>
    <w:uiPriority w:val="99"/>
    <w:pPr>
      <w:tabs>
        <w:tab w:val="center" w:pos="4153"/>
        <w:tab w:val="right" w:pos="8306"/>
      </w:tabs>
      <w:snapToGrid w:val="0"/>
      <w:jc w:val="left"/>
    </w:pPr>
    <w:rPr>
      <w:sz w:val="18"/>
      <w:szCs w:val="18"/>
    </w:rPr>
  </w:style>
  <w:style w:type="paragraph" w:styleId="10">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tabs>
        <w:tab w:val="right" w:leader="dot" w:pos="8720"/>
      </w:tabs>
      <w:spacing w:line="500" w:lineRule="exact"/>
      <w:jc w:val="center"/>
    </w:pPr>
    <w:rPr>
      <w:rFonts w:ascii="方正小标宋简体" w:eastAsia="方正小标宋简体"/>
      <w:sz w:val="24"/>
      <w:szCs w:val="24"/>
    </w:rPr>
  </w:style>
  <w:style w:type="paragraph" w:styleId="12">
    <w:name w:val="footnote text"/>
    <w:basedOn w:val="1"/>
    <w:qFormat/>
    <w:uiPriority w:val="99"/>
    <w:pPr>
      <w:widowControl w:val="0"/>
      <w:adjustRightInd/>
      <w:spacing w:after="0"/>
    </w:pPr>
    <w:rPr>
      <w:rFonts w:ascii="Times New Roman" w:hAnsi="Times New Roman" w:eastAsia="宋体" w:cs="Times New Roman"/>
      <w:kern w:val="2"/>
      <w:sz w:val="18"/>
      <w:szCs w:val="18"/>
    </w:rPr>
  </w:style>
  <w:style w:type="paragraph" w:styleId="13">
    <w:name w:val="toc 2"/>
    <w:basedOn w:val="1"/>
    <w:next w:val="1"/>
    <w:unhideWhenUsed/>
    <w:qFormat/>
    <w:uiPriority w:val="39"/>
    <w:pPr>
      <w:spacing w:before="120"/>
      <w:ind w:left="210"/>
      <w:jc w:val="left"/>
    </w:pPr>
    <w:rPr>
      <w:rFonts w:ascii="Calibri" w:hAnsi="Calibri"/>
      <w:i/>
      <w:iCs/>
      <w:sz w:val="20"/>
      <w:szCs w:val="24"/>
    </w:rPr>
  </w:style>
  <w:style w:type="paragraph" w:styleId="14">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16">
    <w:name w:val="Table Gri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0"/>
    <w:rPr>
      <w:rFonts w:hint="default" w:ascii="Times New Roman" w:hAnsi="Times New Roman" w:eastAsia="宋体"/>
      <w:b/>
    </w:rPr>
  </w:style>
  <w:style w:type="character" w:styleId="19">
    <w:name w:val="page number"/>
    <w:unhideWhenUsed/>
    <w:qFormat/>
    <w:uiPriority w:val="0"/>
  </w:style>
  <w:style w:type="character" w:styleId="20">
    <w:name w:val="Hyperlink"/>
    <w:basedOn w:val="17"/>
    <w:qFormat/>
    <w:uiPriority w:val="99"/>
    <w:rPr>
      <w:color w:val="0000FF"/>
      <w:u w:val="single"/>
    </w:rPr>
  </w:style>
  <w:style w:type="character" w:styleId="21">
    <w:name w:val="footnote reference"/>
    <w:qFormat/>
    <w:uiPriority w:val="0"/>
    <w:rPr>
      <w:vertAlign w:val="superscript"/>
    </w:rPr>
  </w:style>
  <w:style w:type="character" w:customStyle="1" w:styleId="22">
    <w:name w:val="Heading 4 Char_2b3ef5d1-dbf0-4f49-aafc-749d4de39afd"/>
    <w:basedOn w:val="17"/>
    <w:link w:val="5"/>
    <w:qFormat/>
    <w:uiPriority w:val="0"/>
    <w:rPr>
      <w:rFonts w:ascii="Cambria" w:hAnsi="Cambria" w:eastAsia="宋体" w:cs="Times New Roman"/>
      <w:b/>
      <w:bCs/>
      <w:kern w:val="2"/>
      <w:sz w:val="28"/>
      <w:szCs w:val="28"/>
    </w:rPr>
  </w:style>
  <w:style w:type="character" w:customStyle="1" w:styleId="23">
    <w:name w:val="Heading 3 Char_88ba976b-3ac6-4e26-a8c1-e9d4ffda50f9"/>
    <w:basedOn w:val="17"/>
    <w:link w:val="4"/>
    <w:qFormat/>
    <w:uiPriority w:val="0"/>
    <w:rPr>
      <w:b/>
      <w:bCs/>
      <w:sz w:val="32"/>
      <w:szCs w:val="32"/>
    </w:rPr>
  </w:style>
  <w:style w:type="paragraph" w:customStyle="1" w:styleId="24">
    <w:name w:val="TOC 标题1"/>
    <w:basedOn w:val="2"/>
    <w:next w:val="1"/>
    <w:unhideWhenUsed/>
    <w:qFormat/>
    <w:uiPriority w:val="39"/>
    <w:pPr>
      <w:widowControl/>
      <w:spacing w:before="480" w:after="0" w:line="276" w:lineRule="auto"/>
      <w:jc w:val="left"/>
      <w:outlineLvl w:val="9"/>
    </w:pPr>
    <w:rPr>
      <w:rFonts w:ascii="等线 Light" w:hAnsi="等线 Light" w:eastAsia="等线 Light" w:cs="Times New Roman"/>
      <w:bCs/>
      <w:color w:val="2F5496"/>
      <w:kern w:val="0"/>
      <w:sz w:val="28"/>
      <w:szCs w:val="28"/>
    </w:rPr>
  </w:style>
  <w:style w:type="paragraph" w:customStyle="1" w:styleId="25">
    <w:name w:val="List Paragraph"/>
    <w:basedOn w:val="1"/>
    <w:qFormat/>
    <w:uiPriority w:val="34"/>
    <w:pPr>
      <w:numPr>
        <w:ilvl w:val="0"/>
        <w:numId w:val="1"/>
      </w:numPr>
      <w:adjustRightInd/>
      <w:snapToGrid/>
      <w:spacing w:after="0"/>
      <w:contextualSpacing/>
    </w:pPr>
    <w:rPr>
      <w:rFonts w:ascii="等线" w:hAnsi="等线" w:eastAsia="等线" w:cs="Times New Roman"/>
      <w:color w:val="5A5A5A"/>
      <w:sz w:val="18"/>
      <w:szCs w:val="18"/>
    </w:rPr>
  </w:style>
  <w:style w:type="paragraph" w:customStyle="1" w:styleId="26">
    <w:name w:val="faguicon_p"/>
    <w:basedOn w:val="1"/>
    <w:qFormat/>
    <w:uiPriority w:val="0"/>
    <w:pPr>
      <w:widowControl w:val="0"/>
      <w:adjustRightInd/>
      <w:snapToGrid/>
      <w:spacing w:after="0"/>
      <w:ind w:firstLine="480"/>
      <w:jc w:val="both"/>
    </w:pPr>
    <w:rPr>
      <w:rFonts w:ascii="微软雅黑" w:hAnsi="微软雅黑" w:cs="微软雅黑"/>
      <w:kern w:val="2"/>
      <w:sz w:val="21"/>
      <w:szCs w:val="20"/>
    </w:rPr>
  </w:style>
  <w:style w:type="character" w:customStyle="1" w:styleId="27">
    <w:name w:val="sect2title"/>
    <w:qFormat/>
    <w:uiPriority w:val="0"/>
    <w:rPr>
      <w:rFonts w:ascii="微软雅黑" w:hAnsi="微软雅黑" w:eastAsia="微软雅黑" w:cs="微软雅黑"/>
      <w:b/>
      <w:bCs/>
      <w:sz w:val="26"/>
      <w:szCs w:val="26"/>
    </w:rPr>
  </w:style>
  <w:style w:type="paragraph" w:customStyle="1" w:styleId="28">
    <w:name w:val="p"/>
    <w:basedOn w:val="1"/>
    <w:qFormat/>
    <w:uiPriority w:val="0"/>
    <w:pPr>
      <w:adjustRightInd/>
      <w:snapToGrid/>
      <w:spacing w:before="100" w:beforeAutospacing="1" w:after="100" w:afterAutospacing="1"/>
    </w:pPr>
    <w:rPr>
      <w:rFonts w:ascii="宋体" w:hAnsi="宋体" w:eastAsia="宋体" w:cs="宋体"/>
      <w:sz w:val="24"/>
      <w:szCs w:val="24"/>
    </w:rPr>
  </w:style>
  <w:style w:type="paragraph" w:customStyle="1" w:styleId="29">
    <w:name w:val="WPSOffice手动目录 1"/>
    <w:qFormat/>
    <w:uiPriority w:val="0"/>
    <w:rPr>
      <w:rFonts w:ascii="Calibri" w:hAnsi="Calibri" w:eastAsia="宋体" w:cs="Mongolian Baiti"/>
      <w:lang w:val="en-US" w:eastAsia="zh-CN" w:bidi="mn-Mong-CN"/>
    </w:rPr>
  </w:style>
  <w:style w:type="character" w:customStyle="1" w:styleId="30">
    <w:name w:val="sect2title1"/>
    <w:basedOn w:val="17"/>
    <w:qFormat/>
    <w:uiPriority w:val="0"/>
    <w:rPr>
      <w:rFonts w:hint="eastAsia" w:ascii="微软雅黑" w:hAnsi="微软雅黑" w:eastAsia="微软雅黑"/>
      <w:b/>
      <w:bCs/>
      <w:sz w:val="21"/>
      <w:szCs w:val="21"/>
    </w:rPr>
  </w:style>
  <w:style w:type="paragraph" w:customStyle="1" w:styleId="31">
    <w:name w:val="No Spacing"/>
    <w:qFormat/>
    <w:uiPriority w:val="1"/>
    <w:rPr>
      <w:rFonts w:ascii="Calibri" w:hAnsi="Calibri" w:eastAsia="微软雅黑" w:cs="Mongolian Baiti"/>
      <w:sz w:val="22"/>
      <w:szCs w:val="22"/>
      <w:lang w:val="en-US" w:eastAsia="zh-CN" w:bidi="ar-SA"/>
    </w:rPr>
  </w:style>
  <w:style w:type="paragraph" w:customStyle="1" w:styleId="32">
    <w:name w:val="TOC 标题2"/>
    <w:basedOn w:val="2"/>
    <w:next w:val="1"/>
    <w:unhideWhenUsed/>
    <w:qFormat/>
    <w:uiPriority w:val="39"/>
    <w:pPr>
      <w:widowControl/>
      <w:adjustRightInd w:val="0"/>
      <w:snapToGrid w:val="0"/>
      <w:spacing w:line="578" w:lineRule="auto"/>
      <w:jc w:val="left"/>
      <w:outlineLvl w:val="9"/>
    </w:pPr>
    <w:rPr>
      <w:rFonts w:ascii="Tahoma" w:hAnsi="Tahoma" w:eastAsia="微软雅黑" w:cs="Mongolian Baiti"/>
      <w:bCs/>
      <w:szCs w:val="4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2.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3.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2021-12-24T08:23:00Z</dcterms:created>
  <dc:creator>          如魚</dc:creator>
  <cp:lastModifiedBy>          如魚</cp:lastModifiedBy>
  <dcterms:modified xsi:type="dcterms:W3CDTF">2021-12-24T08:31:14Z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963ADDFF40244890BF4B65421E884D6C</vt:lpwstr>
  </property>
</Properties>
</file>