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法律文书撰写要求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0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字数要求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00" w:left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5000字左右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0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标题宋体二号，一级标题黑体三号，二级标题楷体三号，三级标题仿宋三号加粗，正文仿宋三号。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（一）标题。根据案件涉及的事实进行提炼。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辩护词：姓名+案由+一审/二审/再审+辩护词，如张三故意伤害案一审辩护词。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代理词/非诉讼法律文书：某某与某某+案由，如张三与某公司劳动争议纠纷案。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内容。可参照“中国法律服务网（http://alk.12348.gov.cn/）”相关案例体例和技术规格编写。包括案情简介、代理意见、案例结果、案例评析、结语和建议。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600" w:leftChars="0" w:firstLine="0" w:firstLineChars="0"/>
        <w:jc w:val="both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1.参赛律师严格依法办理诉讼、非诉讼业务，坚持正确的政治方向，恪守律师职业道德、执业纪律及相关制度，勤勉尽责，维护当事人的合法权益。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2.承办律师的辩护、代理意见全部或大部分被办案机关、有关政府主管部门或委托人采纳，维护了委托人或当事人的合法权益。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3.文书格式规范，结构合理，要素齐全；事实脉络清晰，分析透彻，逻辑严密；论述全面，法律依据准确无误，文字精练，注意法言法语。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BD2998-6809-4A66-9C29-9ACCF7502F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D93C22-7678-4BEC-881C-397FAE87F65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3F2CD90-4A94-4C66-BEE5-F62E62437E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CAFB69C-E070-459B-A62F-8F7D47B05AC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WIyODMxMjJlODM0MzNiYWNkOTEwOGE0NjIxMTEifQ=="/>
  </w:docVars>
  <w:rsids>
    <w:rsidRoot w:val="450D6DB0"/>
    <w:rsid w:val="0F4B77A5"/>
    <w:rsid w:val="3E0569D1"/>
    <w:rsid w:val="450D6DB0"/>
    <w:rsid w:val="5F2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2"/>
      <w:sz w:val="84"/>
      <w:szCs w:val="32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W-Default"/>
    <w:qFormat/>
    <w:uiPriority w:val="0"/>
    <w:pPr>
      <w:widowControl w:val="0"/>
      <w:suppressAutoHyphens/>
      <w:autoSpaceDE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apple-style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2024-09-12T09:44:00Z</dcterms:created>
  <dc:creator>刘宇叶子</dc:creator>
  <cp:lastModifiedBy>刘宇叶子</cp:lastModifiedBy>
  <dcterms:modified xsi:type="dcterms:W3CDTF">2024-09-12T09:46:48Z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C88F067CE5A14BE3A30E253A17ACFD10_13</vt:lpwstr>
  </property>
</Properties>
</file>